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C6380">
      <w:pPr>
        <w:snapToGrid w:val="0"/>
        <w:jc w:val="center"/>
        <w:rPr>
          <w:rStyle w:val="21"/>
          <w:rFonts w:ascii="宋体" w:hAnsi="宋体" w:cs="宋体"/>
          <w:color w:val="000000" w:themeColor="text1"/>
          <w:sz w:val="30"/>
          <w14:textFill>
            <w14:solidFill>
              <w14:schemeClr w14:val="tx1"/>
            </w14:solidFill>
          </w14:textFill>
        </w:rPr>
      </w:pPr>
    </w:p>
    <w:p w14:paraId="560E770C">
      <w:pPr>
        <w:snapToGrid w:val="0"/>
        <w:jc w:val="center"/>
        <w:rPr>
          <w:rStyle w:val="21"/>
          <w:rFonts w:hint="eastAsia" w:ascii="宋体" w:hAnsi="宋体" w:eastAsia="宋体" w:cs="宋体"/>
          <w:b/>
          <w:bCs/>
          <w:color w:val="000000" w:themeColor="text1"/>
          <w:sz w:val="44"/>
          <w:szCs w:val="44"/>
          <w14:textFill>
            <w14:solidFill>
              <w14:schemeClr w14:val="tx1"/>
            </w14:solidFill>
          </w14:textFill>
        </w:rPr>
      </w:pPr>
    </w:p>
    <w:p w14:paraId="76572F05">
      <w:pPr>
        <w:snapToGrid w:val="0"/>
        <w:jc w:val="center"/>
        <w:rPr>
          <w:rStyle w:val="21"/>
          <w:rFonts w:hint="eastAsia" w:ascii="宋体" w:hAnsi="宋体" w:eastAsia="宋体" w:cs="宋体"/>
          <w:b/>
          <w:bCs/>
          <w:color w:val="000000" w:themeColor="text1"/>
          <w:sz w:val="44"/>
          <w:szCs w:val="44"/>
          <w14:textFill>
            <w14:solidFill>
              <w14:schemeClr w14:val="tx1"/>
            </w14:solidFill>
          </w14:textFill>
        </w:rPr>
      </w:pPr>
      <w:r>
        <w:rPr>
          <w:rStyle w:val="21"/>
          <w:rFonts w:hint="eastAsia" w:ascii="宋体" w:hAnsi="宋体" w:cs="宋体"/>
          <w:b/>
          <w:bCs/>
          <w:color w:val="000000" w:themeColor="text1"/>
          <w:sz w:val="44"/>
          <w:szCs w:val="44"/>
          <w:lang w:eastAsia="zh-CN"/>
          <w14:textFill>
            <w14:solidFill>
              <w14:schemeClr w14:val="tx1"/>
            </w14:solidFill>
          </w14:textFill>
        </w:rPr>
        <w:t>响水工业经济区绿化养护服务项目</w:t>
      </w:r>
    </w:p>
    <w:p w14:paraId="1AE956C8">
      <w:pPr>
        <w:snapToGrid w:val="0"/>
        <w:jc w:val="center"/>
        <w:rPr>
          <w:rStyle w:val="21"/>
          <w:rFonts w:hint="eastAsia" w:ascii="宋体" w:hAnsi="宋体" w:cs="宋体"/>
          <w:b/>
          <w:bCs/>
          <w:color w:val="000000" w:themeColor="text1"/>
          <w:sz w:val="44"/>
          <w:szCs w:val="44"/>
          <w14:textFill>
            <w14:solidFill>
              <w14:schemeClr w14:val="tx1"/>
            </w14:solidFill>
          </w14:textFill>
        </w:rPr>
      </w:pPr>
    </w:p>
    <w:p w14:paraId="03C558B5">
      <w:pPr>
        <w:snapToGrid w:val="0"/>
        <w:jc w:val="center"/>
        <w:rPr>
          <w:rStyle w:val="21"/>
          <w:rFonts w:ascii="宋体" w:hAnsi="宋体" w:cs="宋体"/>
          <w:b/>
          <w:bCs/>
          <w:color w:val="000000" w:themeColor="text1"/>
          <w:sz w:val="44"/>
          <w:szCs w:val="44"/>
          <w14:textFill>
            <w14:solidFill>
              <w14:schemeClr w14:val="tx1"/>
            </w14:solidFill>
          </w14:textFill>
        </w:rPr>
      </w:pPr>
      <w:r>
        <w:rPr>
          <w:rStyle w:val="21"/>
          <w:rFonts w:hint="eastAsia" w:ascii="宋体" w:hAnsi="宋体" w:cs="宋体"/>
          <w:b/>
          <w:bCs/>
          <w:color w:val="000000" w:themeColor="text1"/>
          <w:sz w:val="44"/>
          <w:szCs w:val="44"/>
          <w14:textFill>
            <w14:solidFill>
              <w14:schemeClr w14:val="tx1"/>
            </w14:solidFill>
          </w14:textFill>
        </w:rPr>
        <w:t>竞争性谈判文件</w:t>
      </w:r>
    </w:p>
    <w:p w14:paraId="70AABE3A">
      <w:pPr>
        <w:snapToGrid w:val="0"/>
        <w:rPr>
          <w:rStyle w:val="21"/>
          <w:rFonts w:ascii="宋体" w:hAnsi="宋体" w:cs="宋体"/>
          <w:color w:val="000000" w:themeColor="text1"/>
          <w:sz w:val="24"/>
          <w:u w:val="single" w:color="000000"/>
          <w14:textFill>
            <w14:solidFill>
              <w14:schemeClr w14:val="tx1"/>
            </w14:solidFill>
          </w14:textFill>
        </w:rPr>
      </w:pPr>
    </w:p>
    <w:p w14:paraId="5E1345EB">
      <w:pPr>
        <w:snapToGrid w:val="0"/>
        <w:spacing w:line="600" w:lineRule="atLeast"/>
        <w:jc w:val="center"/>
        <w:rPr>
          <w:rStyle w:val="21"/>
          <w:rFonts w:ascii="宋体" w:hAnsi="宋体" w:cs="宋体"/>
          <w:b/>
          <w:bCs/>
          <w:color w:val="000000" w:themeColor="text1"/>
          <w:sz w:val="28"/>
          <w:szCs w:val="28"/>
          <w14:textFill>
            <w14:solidFill>
              <w14:schemeClr w14:val="tx1"/>
            </w14:solidFill>
          </w14:textFill>
        </w:rPr>
      </w:pPr>
    </w:p>
    <w:p w14:paraId="2830CDE0">
      <w:pPr>
        <w:snapToGrid w:val="0"/>
        <w:spacing w:line="600" w:lineRule="atLeast"/>
        <w:ind w:firstLine="2530" w:firstLineChars="900"/>
        <w:rPr>
          <w:rStyle w:val="21"/>
          <w:rFonts w:hint="eastAsia" w:ascii="宋体" w:hAnsi="宋体" w:eastAsia="宋体" w:cs="宋体"/>
          <w:color w:val="000000" w:themeColor="text1"/>
          <w:kern w:val="0"/>
          <w:sz w:val="28"/>
          <w:szCs w:val="28"/>
          <w:lang w:val="en-US" w:eastAsia="zh-CN"/>
          <w14:textFill>
            <w14:solidFill>
              <w14:schemeClr w14:val="tx1"/>
            </w14:solidFill>
          </w14:textFill>
        </w:rPr>
      </w:pPr>
      <w:r>
        <w:rPr>
          <w:rStyle w:val="21"/>
          <w:rFonts w:hint="eastAsia" w:ascii="宋体" w:hAnsi="宋体" w:cs="宋体"/>
          <w:b/>
          <w:bCs/>
          <w:color w:val="000000" w:themeColor="text1"/>
          <w:sz w:val="28"/>
          <w:szCs w:val="28"/>
          <w14:textFill>
            <w14:solidFill>
              <w14:schemeClr w14:val="tx1"/>
            </w14:solidFill>
          </w14:textFill>
        </w:rPr>
        <w:t xml:space="preserve">项目编号： </w:t>
      </w:r>
      <w:r>
        <w:rPr>
          <w:rStyle w:val="21"/>
          <w:rFonts w:hint="eastAsia" w:ascii="宋体" w:hAnsi="宋体" w:cs="宋体"/>
          <w:b/>
          <w:bCs/>
          <w:color w:val="000000" w:themeColor="text1"/>
          <w:sz w:val="28"/>
          <w:szCs w:val="28"/>
          <w:lang w:val="en-US" w:eastAsia="zh-CN"/>
          <w14:textFill>
            <w14:solidFill>
              <w14:schemeClr w14:val="tx1"/>
            </w14:solidFill>
          </w14:textFill>
        </w:rPr>
        <w:t xml:space="preserve"> XSX-GQCG-202409037</w:t>
      </w:r>
    </w:p>
    <w:p w14:paraId="4E8DA5D3">
      <w:pPr>
        <w:snapToGrid w:val="0"/>
        <w:spacing w:line="600" w:lineRule="atLeast"/>
        <w:jc w:val="center"/>
        <w:rPr>
          <w:rStyle w:val="21"/>
          <w:rFonts w:ascii="宋体" w:hAnsi="宋体" w:cs="宋体"/>
          <w:b/>
          <w:bCs/>
          <w:color w:val="000000" w:themeColor="text1"/>
          <w:sz w:val="28"/>
          <w:szCs w:val="28"/>
          <w14:textFill>
            <w14:solidFill>
              <w14:schemeClr w14:val="tx1"/>
            </w14:solidFill>
          </w14:textFill>
        </w:rPr>
      </w:pPr>
    </w:p>
    <w:p w14:paraId="69FB8F64">
      <w:pPr>
        <w:snapToGrid w:val="0"/>
        <w:jc w:val="center"/>
        <w:rPr>
          <w:rStyle w:val="21"/>
          <w:rFonts w:ascii="宋体" w:hAnsi="宋体" w:cs="宋体"/>
          <w:color w:val="000000" w:themeColor="text1"/>
          <w:sz w:val="28"/>
          <w:szCs w:val="28"/>
          <w14:textFill>
            <w14:solidFill>
              <w14:schemeClr w14:val="tx1"/>
            </w14:solidFill>
          </w14:textFill>
        </w:rPr>
      </w:pPr>
    </w:p>
    <w:p w14:paraId="72224D27">
      <w:pPr>
        <w:tabs>
          <w:tab w:val="left" w:pos="7980"/>
        </w:tabs>
        <w:snapToGrid w:val="0"/>
        <w:spacing w:line="800" w:lineRule="exact"/>
        <w:ind w:firstLine="940" w:firstLineChars="294"/>
        <w:rPr>
          <w:rStyle w:val="21"/>
          <w:rFonts w:ascii="宋体" w:hAnsi="宋体" w:cs="宋体"/>
          <w:color w:val="000000" w:themeColor="text1"/>
          <w:sz w:val="32"/>
          <w:szCs w:val="32"/>
          <w14:textFill>
            <w14:solidFill>
              <w14:schemeClr w14:val="tx1"/>
            </w14:solidFill>
          </w14:textFill>
        </w:rPr>
      </w:pPr>
    </w:p>
    <w:p w14:paraId="04BC3841">
      <w:pPr>
        <w:tabs>
          <w:tab w:val="left" w:pos="7980"/>
        </w:tabs>
        <w:snapToGrid w:val="0"/>
        <w:spacing w:line="800" w:lineRule="exact"/>
        <w:ind w:firstLine="940" w:firstLineChars="294"/>
        <w:rPr>
          <w:rStyle w:val="21"/>
          <w:rFonts w:ascii="宋体" w:hAnsi="宋体" w:cs="宋体"/>
          <w:color w:val="000000" w:themeColor="text1"/>
          <w:sz w:val="32"/>
          <w:szCs w:val="32"/>
          <w14:textFill>
            <w14:solidFill>
              <w14:schemeClr w14:val="tx1"/>
            </w14:solidFill>
          </w14:textFill>
        </w:rPr>
      </w:pPr>
    </w:p>
    <w:p w14:paraId="3A1B5D13">
      <w:pPr>
        <w:tabs>
          <w:tab w:val="left" w:pos="7980"/>
        </w:tabs>
        <w:snapToGrid w:val="0"/>
        <w:spacing w:line="800" w:lineRule="exact"/>
        <w:ind w:firstLine="940" w:firstLineChars="294"/>
        <w:rPr>
          <w:rStyle w:val="21"/>
          <w:rFonts w:ascii="宋体" w:hAnsi="宋体" w:cs="宋体"/>
          <w:color w:val="000000" w:themeColor="text1"/>
          <w:sz w:val="32"/>
          <w:szCs w:val="32"/>
          <w14:textFill>
            <w14:solidFill>
              <w14:schemeClr w14:val="tx1"/>
            </w14:solidFill>
          </w14:textFill>
        </w:rPr>
      </w:pPr>
    </w:p>
    <w:p w14:paraId="46A7FA91">
      <w:pPr>
        <w:tabs>
          <w:tab w:val="left" w:pos="7980"/>
        </w:tabs>
        <w:snapToGrid w:val="0"/>
        <w:spacing w:line="800" w:lineRule="exact"/>
        <w:ind w:firstLine="940" w:firstLineChars="294"/>
        <w:rPr>
          <w:rStyle w:val="21"/>
          <w:rFonts w:ascii="宋体" w:hAnsi="宋体" w:cs="宋体"/>
          <w:color w:val="000000" w:themeColor="text1"/>
          <w:sz w:val="32"/>
          <w:szCs w:val="32"/>
          <w14:textFill>
            <w14:solidFill>
              <w14:schemeClr w14:val="tx1"/>
            </w14:solidFill>
          </w14:textFill>
        </w:rPr>
      </w:pPr>
    </w:p>
    <w:p w14:paraId="1E4D2817">
      <w:pPr>
        <w:tabs>
          <w:tab w:val="left" w:pos="7980"/>
        </w:tabs>
        <w:snapToGrid w:val="0"/>
        <w:spacing w:line="800" w:lineRule="exact"/>
        <w:rPr>
          <w:rStyle w:val="21"/>
          <w:rFonts w:ascii="宋体" w:hAnsi="宋体" w:cs="宋体"/>
          <w:b/>
          <w:color w:val="000000" w:themeColor="text1"/>
          <w:sz w:val="28"/>
          <w:szCs w:val="28"/>
          <w14:textFill>
            <w14:solidFill>
              <w14:schemeClr w14:val="tx1"/>
            </w14:solidFill>
          </w14:textFill>
        </w:rPr>
      </w:pPr>
    </w:p>
    <w:p w14:paraId="5F1FE707">
      <w:pPr>
        <w:spacing w:line="700" w:lineRule="exact"/>
        <w:jc w:val="center"/>
        <w:rPr>
          <w:rFonts w:hint="eastAsia" w:ascii="黑体" w:eastAsia="黑体"/>
          <w:bCs/>
          <w:color w:val="000000" w:themeColor="text1"/>
          <w:sz w:val="36"/>
          <w:szCs w:val="36"/>
          <w:lang w:eastAsia="zh-CN"/>
          <w14:textFill>
            <w14:solidFill>
              <w14:schemeClr w14:val="tx1"/>
            </w14:solidFill>
          </w14:textFill>
        </w:rPr>
      </w:pPr>
      <w:r>
        <w:rPr>
          <w:rFonts w:hint="eastAsia" w:ascii="黑体" w:eastAsia="黑体"/>
          <w:bCs/>
          <w:color w:val="000000"/>
          <w:sz w:val="36"/>
          <w:szCs w:val="36"/>
        </w:rPr>
        <w:t>采购人：</w:t>
      </w:r>
      <w:r>
        <w:rPr>
          <w:rFonts w:hint="eastAsia" w:ascii="黑体" w:eastAsia="黑体"/>
          <w:bCs/>
          <w:color w:val="000000" w:themeColor="text1"/>
          <w:sz w:val="36"/>
          <w:szCs w:val="36"/>
          <w:lang w:eastAsia="zh-CN"/>
          <w14:textFill>
            <w14:solidFill>
              <w14:schemeClr w14:val="tx1"/>
            </w14:solidFill>
          </w14:textFill>
        </w:rPr>
        <w:t>响水县兴港物业管理有限公司</w:t>
      </w:r>
    </w:p>
    <w:p w14:paraId="0145D0DB">
      <w:pPr>
        <w:spacing w:line="700" w:lineRule="exact"/>
        <w:jc w:val="center"/>
        <w:rPr>
          <w:rFonts w:hint="eastAsia" w:ascii="黑体" w:eastAsia="黑体"/>
          <w:bCs/>
          <w:color w:val="000000"/>
          <w:sz w:val="36"/>
          <w:szCs w:val="36"/>
          <w:lang w:eastAsia="zh-CN"/>
        </w:rPr>
      </w:pPr>
      <w:r>
        <w:rPr>
          <w:rFonts w:hint="eastAsia" w:ascii="黑体" w:eastAsia="黑体"/>
          <w:bCs/>
          <w:color w:val="000000"/>
          <w:sz w:val="36"/>
          <w:szCs w:val="36"/>
        </w:rPr>
        <w:t>代理机构：</w:t>
      </w:r>
      <w:r>
        <w:rPr>
          <w:rFonts w:hint="eastAsia" w:ascii="黑体" w:eastAsia="黑体"/>
          <w:bCs/>
          <w:color w:val="000000"/>
          <w:sz w:val="36"/>
          <w:szCs w:val="36"/>
          <w:lang w:eastAsia="zh-CN"/>
        </w:rPr>
        <w:t>江苏中辉工程咨询管理有限公司</w:t>
      </w:r>
    </w:p>
    <w:p w14:paraId="56CDA937">
      <w:pPr>
        <w:jc w:val="center"/>
        <w:rPr>
          <w:rFonts w:ascii="黑体" w:eastAsia="黑体"/>
          <w:bCs/>
          <w:color w:val="000000" w:themeColor="text1"/>
          <w:sz w:val="36"/>
          <w:szCs w:val="36"/>
          <w14:textFill>
            <w14:solidFill>
              <w14:schemeClr w14:val="tx1"/>
            </w14:solidFill>
          </w14:textFill>
        </w:rPr>
      </w:pPr>
    </w:p>
    <w:p w14:paraId="511E072F">
      <w:pPr>
        <w:jc w:val="center"/>
        <w:rPr>
          <w:rFonts w:ascii="黑体" w:eastAsia="黑体"/>
          <w:bCs/>
          <w:color w:val="000000" w:themeColor="text1"/>
          <w:sz w:val="36"/>
          <w:szCs w:val="36"/>
          <w14:textFill>
            <w14:solidFill>
              <w14:schemeClr w14:val="tx1"/>
            </w14:solidFill>
          </w14:textFill>
        </w:rPr>
      </w:pPr>
      <w:bookmarkStart w:id="0" w:name="XTSCRQ_1"/>
    </w:p>
    <w:p w14:paraId="1F2D1BE9">
      <w:pPr>
        <w:jc w:val="center"/>
        <w:rPr>
          <w:rStyle w:val="21"/>
          <w:rFonts w:ascii="黑体" w:eastAsia="黑体"/>
          <w:bCs/>
          <w:color w:val="000000" w:themeColor="text1"/>
          <w:sz w:val="36"/>
          <w:szCs w:val="36"/>
          <w14:textFill>
            <w14:solidFill>
              <w14:schemeClr w14:val="tx1"/>
            </w14:solidFill>
          </w14:textFill>
        </w:rPr>
      </w:pPr>
      <w:r>
        <w:rPr>
          <w:rFonts w:hint="eastAsia" w:ascii="黑体" w:eastAsia="黑体"/>
          <w:bCs/>
          <w:color w:val="000000" w:themeColor="text1"/>
          <w:sz w:val="36"/>
          <w:szCs w:val="36"/>
          <w14:textFill>
            <w14:solidFill>
              <w14:schemeClr w14:val="tx1"/>
            </w14:solidFill>
          </w14:textFill>
        </w:rPr>
        <w:t>2024年</w:t>
      </w:r>
      <w:r>
        <w:rPr>
          <w:rFonts w:hint="eastAsia" w:ascii="黑体" w:eastAsia="黑体"/>
          <w:bCs/>
          <w:color w:val="000000" w:themeColor="text1"/>
          <w:sz w:val="36"/>
          <w:szCs w:val="36"/>
          <w:lang w:val="en-US" w:eastAsia="zh-CN"/>
          <w14:textFill>
            <w14:solidFill>
              <w14:schemeClr w14:val="tx1"/>
            </w14:solidFill>
          </w14:textFill>
        </w:rPr>
        <w:t>9</w:t>
      </w:r>
      <w:r>
        <w:rPr>
          <w:rFonts w:hint="eastAsia" w:ascii="黑体" w:eastAsia="黑体"/>
          <w:bCs/>
          <w:color w:val="000000" w:themeColor="text1"/>
          <w:sz w:val="36"/>
          <w:szCs w:val="36"/>
          <w14:textFill>
            <w14:solidFill>
              <w14:schemeClr w14:val="tx1"/>
            </w14:solidFill>
          </w14:textFill>
        </w:rPr>
        <w:t>月</w:t>
      </w:r>
      <w:bookmarkEnd w:id="0"/>
      <w:r>
        <w:rPr>
          <w:rStyle w:val="21"/>
          <w:rFonts w:hint="eastAsia" w:ascii="宋体" w:hAnsi="宋体" w:cs="宋体"/>
          <w:color w:val="000000" w:themeColor="text1"/>
          <w:sz w:val="30"/>
          <w14:textFill>
            <w14:solidFill>
              <w14:schemeClr w14:val="tx1"/>
            </w14:solidFill>
          </w14:textFill>
        </w:rPr>
        <w:br w:type="page"/>
      </w:r>
    </w:p>
    <w:p w14:paraId="59356190">
      <w:pPr>
        <w:snapToGrid w:val="0"/>
        <w:jc w:val="center"/>
        <w:rPr>
          <w:rStyle w:val="21"/>
          <w:rFonts w:ascii="宋体" w:hAnsi="宋体" w:cs="宋体"/>
          <w:color w:val="000000" w:themeColor="text1"/>
          <w:sz w:val="30"/>
          <w14:textFill>
            <w14:solidFill>
              <w14:schemeClr w14:val="tx1"/>
            </w14:solidFill>
          </w14:textFill>
        </w:rPr>
      </w:pPr>
    </w:p>
    <w:p w14:paraId="6C4A497D">
      <w:pPr>
        <w:snapToGrid w:val="0"/>
        <w:jc w:val="center"/>
        <w:rPr>
          <w:rStyle w:val="21"/>
          <w:rFonts w:ascii="宋体" w:hAnsi="宋体" w:cs="宋体"/>
          <w:b/>
          <w:bCs/>
          <w:color w:val="000000" w:themeColor="text1"/>
          <w:sz w:val="32"/>
          <w:szCs w:val="32"/>
          <w14:textFill>
            <w14:solidFill>
              <w14:schemeClr w14:val="tx1"/>
            </w14:solidFill>
          </w14:textFill>
        </w:rPr>
      </w:pPr>
    </w:p>
    <w:p w14:paraId="71A10AE7">
      <w:pPr>
        <w:snapToGrid w:val="0"/>
        <w:jc w:val="center"/>
        <w:rPr>
          <w:rStyle w:val="21"/>
          <w:rFonts w:ascii="宋体" w:hAnsi="宋体" w:cs="宋体"/>
          <w:b/>
          <w:bCs/>
          <w:color w:val="000000" w:themeColor="text1"/>
          <w:sz w:val="32"/>
          <w:szCs w:val="32"/>
          <w14:textFill>
            <w14:solidFill>
              <w14:schemeClr w14:val="tx1"/>
            </w14:solidFill>
          </w14:textFill>
        </w:rPr>
      </w:pPr>
      <w:r>
        <w:rPr>
          <w:rStyle w:val="21"/>
          <w:rFonts w:hint="eastAsia" w:ascii="宋体" w:hAnsi="宋体" w:cs="宋体"/>
          <w:b/>
          <w:bCs/>
          <w:color w:val="000000" w:themeColor="text1"/>
          <w:sz w:val="32"/>
          <w:szCs w:val="32"/>
          <w14:textFill>
            <w14:solidFill>
              <w14:schemeClr w14:val="tx1"/>
            </w14:solidFill>
          </w14:textFill>
        </w:rPr>
        <w:t>目   录</w:t>
      </w:r>
    </w:p>
    <w:p w14:paraId="706D10F9">
      <w:pPr>
        <w:pStyle w:val="22"/>
        <w:tabs>
          <w:tab w:val="right" w:leader="dot" w:pos="8364"/>
        </w:tabs>
        <w:snapToGrid w:val="0"/>
        <w:rPr>
          <w:rStyle w:val="19"/>
          <w:rFonts w:ascii="宋体" w:hAnsi="宋体" w:cs="宋体"/>
          <w:b w:val="0"/>
          <w:color w:val="000000" w:themeColor="text1"/>
          <w:u w:color="0000FF"/>
          <w14:textFill>
            <w14:solidFill>
              <w14:schemeClr w14:val="tx1"/>
            </w14:solidFill>
          </w14:textFill>
        </w:rPr>
      </w:pPr>
    </w:p>
    <w:p w14:paraId="2476BEF7">
      <w:pPr>
        <w:pStyle w:val="22"/>
        <w:tabs>
          <w:tab w:val="right" w:leader="dot" w:pos="8364"/>
        </w:tabs>
        <w:snapToGrid w:val="0"/>
        <w:spacing w:line="440" w:lineRule="exact"/>
        <w:rPr>
          <w:rStyle w:val="21"/>
          <w:rFonts w:ascii="宋体" w:hAnsi="宋体" w:cs="宋体"/>
          <w:b w:val="0"/>
          <w:bCs w:val="0"/>
          <w:caps w:val="0"/>
          <w:color w:val="000000" w:themeColor="text1"/>
          <w:sz w:val="28"/>
          <w:szCs w:val="28"/>
          <w14:textFill>
            <w14:solidFill>
              <w14:schemeClr w14:val="tx1"/>
            </w14:solidFill>
          </w14:textFill>
        </w:rPr>
      </w:pPr>
      <w:r>
        <w:rPr>
          <w:rStyle w:val="19"/>
          <w:rFonts w:hint="eastAsia" w:ascii="宋体" w:hAnsi="宋体" w:cs="宋体"/>
          <w:b w:val="0"/>
          <w:color w:val="000000" w:themeColor="text1"/>
          <w:sz w:val="28"/>
          <w:szCs w:val="28"/>
          <w:u w:val="none"/>
          <w14:textFill>
            <w14:solidFill>
              <w14:schemeClr w14:val="tx1"/>
            </w14:solidFill>
          </w14:textFill>
        </w:rPr>
        <w:t>第一部分  竞争性谈判采购公告</w:t>
      </w:r>
      <w:r>
        <w:rPr>
          <w:rStyle w:val="21"/>
          <w:rFonts w:hint="eastAsia" w:ascii="宋体" w:hAnsi="宋体" w:cs="宋体"/>
          <w:b w:val="0"/>
          <w:color w:val="000000" w:themeColor="text1"/>
          <w:sz w:val="28"/>
          <w:szCs w:val="28"/>
          <w14:textFill>
            <w14:solidFill>
              <w14:schemeClr w14:val="tx1"/>
            </w14:solidFill>
          </w14:textFill>
        </w:rPr>
        <w:tab/>
      </w:r>
      <w:r>
        <w:rPr>
          <w:rStyle w:val="21"/>
          <w:rFonts w:hint="eastAsia" w:ascii="宋体" w:hAnsi="宋体" w:cs="宋体"/>
          <w:b w:val="0"/>
          <w:color w:val="000000" w:themeColor="text1"/>
          <w:sz w:val="28"/>
          <w:szCs w:val="28"/>
          <w14:textFill>
            <w14:solidFill>
              <w14:schemeClr w14:val="tx1"/>
            </w14:solidFill>
          </w14:textFill>
        </w:rPr>
        <w:t>3</w:t>
      </w:r>
    </w:p>
    <w:p w14:paraId="4421B473">
      <w:pPr>
        <w:pStyle w:val="22"/>
        <w:tabs>
          <w:tab w:val="right" w:leader="dot" w:pos="8364"/>
        </w:tabs>
        <w:snapToGrid w:val="0"/>
        <w:spacing w:line="440" w:lineRule="exact"/>
        <w:rPr>
          <w:rStyle w:val="21"/>
          <w:rFonts w:ascii="宋体" w:hAnsi="宋体" w:cs="宋体"/>
          <w:b w:val="0"/>
          <w:color w:val="000000" w:themeColor="text1"/>
          <w:sz w:val="28"/>
          <w:szCs w:val="28"/>
          <w14:textFill>
            <w14:solidFill>
              <w14:schemeClr w14:val="tx1"/>
            </w14:solidFill>
          </w14:textFill>
        </w:rPr>
      </w:pPr>
      <w:r>
        <w:rPr>
          <w:rStyle w:val="19"/>
          <w:rFonts w:hint="eastAsia" w:ascii="宋体" w:hAnsi="宋体" w:cs="宋体"/>
          <w:b w:val="0"/>
          <w:color w:val="000000" w:themeColor="text1"/>
          <w:sz w:val="28"/>
          <w:szCs w:val="28"/>
          <w:u w:val="none"/>
          <w14:textFill>
            <w14:solidFill>
              <w14:schemeClr w14:val="tx1"/>
            </w14:solidFill>
          </w14:textFill>
        </w:rPr>
        <w:t>第二部分  供应商须知</w:t>
      </w:r>
      <w:r>
        <w:rPr>
          <w:rStyle w:val="21"/>
          <w:rFonts w:hint="eastAsia" w:ascii="宋体" w:hAnsi="宋体" w:cs="宋体"/>
          <w:b w:val="0"/>
          <w:color w:val="000000" w:themeColor="text1"/>
          <w:sz w:val="28"/>
          <w:szCs w:val="28"/>
          <w14:textFill>
            <w14:solidFill>
              <w14:schemeClr w14:val="tx1"/>
            </w14:solidFill>
          </w14:textFill>
        </w:rPr>
        <w:tab/>
      </w:r>
      <w:r>
        <w:rPr>
          <w:rStyle w:val="21"/>
          <w:rFonts w:hint="eastAsia" w:ascii="宋体" w:hAnsi="宋体" w:cs="宋体"/>
          <w:b w:val="0"/>
          <w:color w:val="000000" w:themeColor="text1"/>
          <w:sz w:val="28"/>
          <w:szCs w:val="28"/>
          <w14:textFill>
            <w14:solidFill>
              <w14:schemeClr w14:val="tx1"/>
            </w14:solidFill>
          </w14:textFill>
        </w:rPr>
        <w:t>7</w:t>
      </w:r>
    </w:p>
    <w:p w14:paraId="40D38DBE">
      <w:pPr>
        <w:pStyle w:val="22"/>
        <w:tabs>
          <w:tab w:val="right" w:leader="dot" w:pos="8364"/>
        </w:tabs>
        <w:snapToGrid w:val="0"/>
        <w:spacing w:line="440" w:lineRule="exact"/>
        <w:rPr>
          <w:rStyle w:val="21"/>
          <w:rFonts w:ascii="宋体" w:hAnsi="宋体" w:cs="宋体"/>
          <w:b w:val="0"/>
          <w:bCs w:val="0"/>
          <w:caps w:val="0"/>
          <w:color w:val="000000" w:themeColor="text1"/>
          <w:sz w:val="28"/>
          <w:szCs w:val="28"/>
          <w14:textFill>
            <w14:solidFill>
              <w14:schemeClr w14:val="tx1"/>
            </w14:solidFill>
          </w14:textFill>
        </w:rPr>
      </w:pPr>
      <w:r>
        <w:rPr>
          <w:rStyle w:val="19"/>
          <w:rFonts w:hint="eastAsia" w:ascii="宋体" w:hAnsi="宋体" w:cs="宋体"/>
          <w:b w:val="0"/>
          <w:color w:val="000000" w:themeColor="text1"/>
          <w:sz w:val="28"/>
          <w:szCs w:val="28"/>
          <w:u w:val="none"/>
          <w14:textFill>
            <w14:solidFill>
              <w14:schemeClr w14:val="tx1"/>
            </w14:solidFill>
          </w14:textFill>
        </w:rPr>
        <w:t>第三部分  采购需求</w:t>
      </w:r>
      <w:r>
        <w:rPr>
          <w:rStyle w:val="21"/>
          <w:rFonts w:hint="eastAsia" w:ascii="宋体" w:hAnsi="宋体" w:cs="宋体"/>
          <w:b w:val="0"/>
          <w:color w:val="000000" w:themeColor="text1"/>
          <w:sz w:val="28"/>
          <w:szCs w:val="28"/>
          <w14:textFill>
            <w14:solidFill>
              <w14:schemeClr w14:val="tx1"/>
            </w14:solidFill>
          </w14:textFill>
        </w:rPr>
        <w:tab/>
      </w:r>
      <w:r>
        <w:rPr>
          <w:rStyle w:val="21"/>
          <w:rFonts w:hint="eastAsia" w:ascii="宋体" w:hAnsi="宋体" w:cs="宋体"/>
          <w:b w:val="0"/>
          <w:color w:val="000000" w:themeColor="text1"/>
          <w:sz w:val="28"/>
          <w:szCs w:val="28"/>
          <w14:textFill>
            <w14:solidFill>
              <w14:schemeClr w14:val="tx1"/>
            </w14:solidFill>
          </w14:textFill>
        </w:rPr>
        <w:t>15</w:t>
      </w:r>
    </w:p>
    <w:p w14:paraId="441A1CBA">
      <w:pPr>
        <w:pStyle w:val="22"/>
        <w:tabs>
          <w:tab w:val="right" w:leader="dot" w:pos="8364"/>
        </w:tabs>
        <w:snapToGrid w:val="0"/>
        <w:spacing w:line="440" w:lineRule="exact"/>
        <w:rPr>
          <w:rStyle w:val="21"/>
          <w:rFonts w:ascii="宋体" w:hAnsi="宋体" w:cs="宋体"/>
          <w:b w:val="0"/>
          <w:color w:val="000000" w:themeColor="text1"/>
          <w:sz w:val="28"/>
          <w:szCs w:val="28"/>
          <w14:textFill>
            <w14:solidFill>
              <w14:schemeClr w14:val="tx1"/>
            </w14:solidFill>
          </w14:textFill>
        </w:rPr>
      </w:pPr>
      <w:r>
        <w:rPr>
          <w:rStyle w:val="19"/>
          <w:rFonts w:hint="eastAsia" w:ascii="宋体" w:hAnsi="宋体" w:cs="宋体"/>
          <w:b w:val="0"/>
          <w:color w:val="000000" w:themeColor="text1"/>
          <w:kern w:val="0"/>
          <w:sz w:val="28"/>
          <w:szCs w:val="28"/>
          <w:u w:val="none"/>
          <w14:textFill>
            <w14:solidFill>
              <w14:schemeClr w14:val="tx1"/>
            </w14:solidFill>
          </w14:textFill>
        </w:rPr>
        <w:t>第四部分  合同主要条款</w:t>
      </w:r>
      <w:r>
        <w:rPr>
          <w:rStyle w:val="21"/>
          <w:rFonts w:hint="eastAsia" w:ascii="宋体" w:hAnsi="宋体" w:cs="宋体"/>
          <w:b w:val="0"/>
          <w:color w:val="000000" w:themeColor="text1"/>
          <w:sz w:val="28"/>
          <w:szCs w:val="28"/>
          <w14:textFill>
            <w14:solidFill>
              <w14:schemeClr w14:val="tx1"/>
            </w14:solidFill>
          </w14:textFill>
        </w:rPr>
        <w:tab/>
      </w:r>
      <w:r>
        <w:rPr>
          <w:rStyle w:val="21"/>
          <w:rFonts w:hint="eastAsia" w:ascii="宋体" w:hAnsi="宋体" w:cs="宋体"/>
          <w:b w:val="0"/>
          <w:color w:val="000000" w:themeColor="text1"/>
          <w:sz w:val="28"/>
          <w:szCs w:val="28"/>
          <w14:textFill>
            <w14:solidFill>
              <w14:schemeClr w14:val="tx1"/>
            </w14:solidFill>
          </w14:textFill>
        </w:rPr>
        <w:t>17</w:t>
      </w:r>
    </w:p>
    <w:p w14:paraId="6797597D">
      <w:pPr>
        <w:pStyle w:val="22"/>
        <w:tabs>
          <w:tab w:val="right" w:leader="dot" w:pos="8364"/>
        </w:tabs>
        <w:snapToGrid w:val="0"/>
        <w:spacing w:line="440" w:lineRule="exact"/>
        <w:rPr>
          <w:rStyle w:val="21"/>
          <w:rFonts w:ascii="宋体" w:hAnsi="宋体" w:cs="宋体"/>
          <w:b w:val="0"/>
          <w:bCs w:val="0"/>
          <w:caps w:val="0"/>
          <w:color w:val="000000" w:themeColor="text1"/>
          <w:sz w:val="28"/>
          <w:szCs w:val="28"/>
          <w14:textFill>
            <w14:solidFill>
              <w14:schemeClr w14:val="tx1"/>
            </w14:solidFill>
          </w14:textFill>
        </w:rPr>
      </w:pPr>
      <w:r>
        <w:rPr>
          <w:rStyle w:val="19"/>
          <w:rFonts w:hint="eastAsia" w:ascii="宋体" w:hAnsi="宋体" w:cs="宋体"/>
          <w:b w:val="0"/>
          <w:color w:val="000000" w:themeColor="text1"/>
          <w:sz w:val="28"/>
          <w:szCs w:val="28"/>
          <w:u w:val="none"/>
          <w14:textFill>
            <w14:solidFill>
              <w14:schemeClr w14:val="tx1"/>
            </w14:solidFill>
          </w14:textFill>
        </w:rPr>
        <w:t>第五部分  竞争性谈判响应文件</w:t>
      </w:r>
      <w:r>
        <w:rPr>
          <w:rStyle w:val="21"/>
          <w:rFonts w:hint="eastAsia" w:ascii="宋体" w:hAnsi="宋体" w:cs="宋体"/>
          <w:b w:val="0"/>
          <w:color w:val="000000" w:themeColor="text1"/>
          <w:sz w:val="28"/>
          <w:szCs w:val="28"/>
          <w14:textFill>
            <w14:solidFill>
              <w14:schemeClr w14:val="tx1"/>
            </w14:solidFill>
          </w14:textFill>
        </w:rPr>
        <w:tab/>
      </w:r>
      <w:r>
        <w:rPr>
          <w:rStyle w:val="21"/>
          <w:rFonts w:hint="eastAsia" w:ascii="宋体" w:hAnsi="宋体" w:cs="宋体"/>
          <w:b w:val="0"/>
          <w:color w:val="000000" w:themeColor="text1"/>
          <w:sz w:val="28"/>
          <w:szCs w:val="28"/>
          <w14:textFill>
            <w14:solidFill>
              <w14:schemeClr w14:val="tx1"/>
            </w14:solidFill>
          </w14:textFill>
        </w:rPr>
        <w:t>23</w:t>
      </w:r>
    </w:p>
    <w:p w14:paraId="1B8D9850">
      <w:pPr>
        <w:snapToGrid w:val="0"/>
        <w:spacing w:line="440" w:lineRule="exact"/>
        <w:ind w:firstLine="200" w:firstLineChars="100"/>
        <w:rPr>
          <w:rStyle w:val="21"/>
          <w:rFonts w:ascii="宋体" w:hAnsi="宋体" w:cs="宋体"/>
          <w:color w:val="000000" w:themeColor="text1"/>
          <w:sz w:val="20"/>
          <w14:textFill>
            <w14:solidFill>
              <w14:schemeClr w14:val="tx1"/>
            </w14:solidFill>
          </w14:textFill>
        </w:rPr>
      </w:pPr>
    </w:p>
    <w:p w14:paraId="358762BB">
      <w:pPr>
        <w:pStyle w:val="23"/>
        <w:tabs>
          <w:tab w:val="right" w:leader="dot" w:pos="9402"/>
        </w:tabs>
        <w:snapToGrid w:val="0"/>
        <w:spacing w:line="440" w:lineRule="exact"/>
        <w:rPr>
          <w:rStyle w:val="21"/>
          <w:rFonts w:ascii="宋体" w:hAnsi="宋体" w:cs="宋体"/>
          <w:color w:val="000000" w:themeColor="text1"/>
          <w:sz w:val="21"/>
          <w:szCs w:val="22"/>
          <w14:textFill>
            <w14:solidFill>
              <w14:schemeClr w14:val="tx1"/>
            </w14:solidFill>
          </w14:textFill>
        </w:rPr>
      </w:pPr>
    </w:p>
    <w:p w14:paraId="0EBB8CFB">
      <w:pPr>
        <w:pStyle w:val="23"/>
        <w:tabs>
          <w:tab w:val="right" w:leader="dot" w:pos="9402"/>
        </w:tabs>
        <w:snapToGrid w:val="0"/>
        <w:rPr>
          <w:rStyle w:val="21"/>
          <w:rFonts w:ascii="宋体" w:hAnsi="宋体" w:cs="宋体"/>
          <w:color w:val="000000" w:themeColor="text1"/>
          <w:sz w:val="21"/>
          <w:szCs w:val="22"/>
          <w14:textFill>
            <w14:solidFill>
              <w14:schemeClr w14:val="tx1"/>
            </w14:solidFill>
          </w14:textFill>
        </w:rPr>
      </w:pPr>
    </w:p>
    <w:p w14:paraId="77876F1E">
      <w:pPr>
        <w:pStyle w:val="23"/>
        <w:tabs>
          <w:tab w:val="right" w:leader="dot" w:pos="9402"/>
        </w:tabs>
        <w:snapToGrid w:val="0"/>
        <w:rPr>
          <w:rStyle w:val="21"/>
          <w:rFonts w:ascii="宋体" w:hAnsi="宋体" w:cs="宋体"/>
          <w:color w:val="000000" w:themeColor="text1"/>
          <w:sz w:val="21"/>
          <w:szCs w:val="22"/>
          <w14:textFill>
            <w14:solidFill>
              <w14:schemeClr w14:val="tx1"/>
            </w14:solidFill>
          </w14:textFill>
        </w:rPr>
      </w:pPr>
    </w:p>
    <w:p w14:paraId="1CB207A4">
      <w:pPr>
        <w:snapToGrid w:val="0"/>
        <w:jc w:val="center"/>
        <w:rPr>
          <w:rStyle w:val="21"/>
          <w:rFonts w:ascii="宋体" w:hAnsi="宋体" w:cs="宋体"/>
          <w:b/>
          <w:bCs/>
          <w:color w:val="000000" w:themeColor="text1"/>
          <w:sz w:val="32"/>
          <w:szCs w:val="32"/>
          <w14:textFill>
            <w14:solidFill>
              <w14:schemeClr w14:val="tx1"/>
            </w14:solidFill>
          </w14:textFill>
        </w:rPr>
      </w:pPr>
      <w:r>
        <w:rPr>
          <w:rStyle w:val="21"/>
          <w:rFonts w:hint="eastAsia" w:ascii="宋体" w:hAnsi="宋体" w:cs="宋体"/>
          <w:b/>
          <w:bCs/>
          <w:color w:val="000000" w:themeColor="text1"/>
          <w:sz w:val="32"/>
          <w:szCs w:val="32"/>
          <w14:textFill>
            <w14:solidFill>
              <w14:schemeClr w14:val="tx1"/>
            </w14:solidFill>
          </w14:textFill>
        </w:rPr>
        <w:br w:type="page"/>
      </w:r>
    </w:p>
    <w:p w14:paraId="1C909A01">
      <w:pPr>
        <w:snapToGrid w:val="0"/>
        <w:spacing w:line="480" w:lineRule="exact"/>
        <w:jc w:val="center"/>
        <w:rPr>
          <w:rStyle w:val="21"/>
          <w:rFonts w:ascii="宋体" w:hAnsi="宋体" w:cs="宋体"/>
          <w:b/>
          <w:bCs/>
          <w:color w:val="000000" w:themeColor="text1"/>
          <w:sz w:val="44"/>
          <w:szCs w:val="44"/>
          <w14:textFill>
            <w14:solidFill>
              <w14:schemeClr w14:val="tx1"/>
            </w14:solidFill>
          </w14:textFill>
        </w:rPr>
      </w:pPr>
      <w:r>
        <w:rPr>
          <w:rStyle w:val="21"/>
          <w:rFonts w:hint="eastAsia" w:ascii="宋体" w:hAnsi="宋体" w:cs="宋体"/>
          <w:b/>
          <w:color w:val="000000" w:themeColor="text1"/>
          <w:sz w:val="44"/>
          <w:szCs w:val="44"/>
          <w14:textFill>
            <w14:solidFill>
              <w14:schemeClr w14:val="tx1"/>
            </w14:solidFill>
          </w14:textFill>
        </w:rPr>
        <w:t xml:space="preserve">第一部分  </w:t>
      </w:r>
      <w:r>
        <w:rPr>
          <w:rStyle w:val="21"/>
          <w:rFonts w:hint="eastAsia" w:ascii="宋体" w:hAnsi="宋体" w:cs="宋体"/>
          <w:b/>
          <w:bCs/>
          <w:color w:val="000000" w:themeColor="text1"/>
          <w:sz w:val="44"/>
          <w:szCs w:val="44"/>
          <w14:textFill>
            <w14:solidFill>
              <w14:schemeClr w14:val="tx1"/>
            </w14:solidFill>
          </w14:textFill>
        </w:rPr>
        <w:t xml:space="preserve">竞争性谈判公告 </w:t>
      </w:r>
    </w:p>
    <w:p w14:paraId="674A2E2F">
      <w:pPr>
        <w:snapToGrid w:val="0"/>
        <w:spacing w:line="700" w:lineRule="exact"/>
        <w:jc w:val="center"/>
        <w:rPr>
          <w:rStyle w:val="21"/>
          <w:rFonts w:hint="eastAsia" w:ascii="宋体" w:hAnsi="宋体" w:cs="宋体"/>
          <w:b/>
          <w:bCs/>
          <w:color w:val="000000" w:themeColor="text1"/>
          <w:sz w:val="32"/>
          <w:szCs w:val="32"/>
          <w14:textFill>
            <w14:solidFill>
              <w14:schemeClr w14:val="tx1"/>
            </w14:solidFill>
          </w14:textFill>
        </w:rPr>
      </w:pPr>
      <w:r>
        <w:rPr>
          <w:rStyle w:val="21"/>
          <w:rFonts w:hint="eastAsia" w:ascii="宋体" w:hAnsi="宋体" w:cs="宋体"/>
          <w:b/>
          <w:bCs/>
          <w:color w:val="000000" w:themeColor="text1"/>
          <w:sz w:val="32"/>
          <w:szCs w:val="32"/>
          <w:lang w:eastAsia="zh-CN"/>
          <w14:textFill>
            <w14:solidFill>
              <w14:schemeClr w14:val="tx1"/>
            </w14:solidFill>
          </w14:textFill>
        </w:rPr>
        <w:t>响水工业经济区绿化养护服务项目</w:t>
      </w:r>
      <w:r>
        <w:rPr>
          <w:rStyle w:val="21"/>
          <w:rFonts w:hint="eastAsia" w:ascii="宋体" w:hAnsi="宋体" w:cs="宋体"/>
          <w:b/>
          <w:bCs/>
          <w:color w:val="000000" w:themeColor="text1"/>
          <w:sz w:val="32"/>
          <w:szCs w:val="32"/>
          <w14:textFill>
            <w14:solidFill>
              <w14:schemeClr w14:val="tx1"/>
            </w14:solidFill>
          </w14:textFill>
        </w:rPr>
        <w:t>竞争性谈判公告（不见面谈判）</w:t>
      </w:r>
    </w:p>
    <w:p w14:paraId="4FB60B2F">
      <w:pPr>
        <w:snapToGrid w:val="0"/>
        <w:spacing w:line="240" w:lineRule="auto"/>
        <w:jc w:val="center"/>
        <w:rPr>
          <w:rStyle w:val="21"/>
          <w:rFonts w:hint="eastAsia" w:ascii="宋体" w:hAnsi="宋体" w:cs="宋体"/>
          <w:b/>
          <w:bCs/>
          <w:color w:val="000000" w:themeColor="text1"/>
          <w:sz w:val="32"/>
          <w:szCs w:val="32"/>
          <w14:textFill>
            <w14:solidFill>
              <w14:schemeClr w14:val="tx1"/>
            </w14:solidFill>
          </w14:textFill>
        </w:rPr>
      </w:pPr>
      <w:r>
        <w:rPr>
          <w:rStyle w:val="21"/>
          <w:rFonts w:hint="eastAsia" w:ascii="宋体" w:hAnsi="宋体" w:cs="宋体"/>
          <w:b w:val="0"/>
          <w:bCs w:val="0"/>
          <w:color w:val="000000" w:themeColor="text1"/>
          <w:sz w:val="24"/>
          <w:szCs w:val="24"/>
          <w14:textFill>
            <w14:solidFill>
              <w14:schemeClr w14:val="tx1"/>
            </w14:solidFill>
          </w14:textFill>
        </w:rPr>
        <w:t>（本项目由采购人自行组织实施，响水县公共资源交易中心仅代采购人发布公告，不参加该项目的采购活动）</w:t>
      </w:r>
    </w:p>
    <w:tbl>
      <w:tblPr>
        <w:tblStyle w:val="15"/>
        <w:tblW w:w="954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49"/>
      </w:tblGrid>
      <w:tr w14:paraId="49F3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549" w:type="dxa"/>
            <w:tcBorders>
              <w:top w:val="single" w:color="000000" w:sz="4" w:space="0"/>
              <w:left w:val="single" w:color="000000" w:sz="4" w:space="0"/>
              <w:bottom w:val="single" w:color="000000" w:sz="4" w:space="0"/>
              <w:right w:val="single" w:color="000000" w:sz="4" w:space="0"/>
            </w:tcBorders>
          </w:tcPr>
          <w:p w14:paraId="4E387B21">
            <w:pPr>
              <w:pStyle w:val="20"/>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项目概况</w:t>
            </w:r>
          </w:p>
          <w:p w14:paraId="2BD6BC25">
            <w:pPr>
              <w:snapToGrid w:val="0"/>
              <w:spacing w:line="470" w:lineRule="exact"/>
              <w:ind w:firstLine="480" w:firstLineChars="200"/>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lang w:eastAsia="zh-CN"/>
                <w14:textFill>
                  <w14:solidFill>
                    <w14:schemeClr w14:val="tx1"/>
                  </w14:solidFill>
                </w14:textFill>
              </w:rPr>
              <w:t>响水工业经济区绿化养护服务项目</w:t>
            </w:r>
            <w:r>
              <w:rPr>
                <w:rStyle w:val="21"/>
                <w:rFonts w:hint="eastAsia" w:ascii="宋体" w:hAnsi="宋体" w:cs="宋体"/>
                <w:color w:val="000000" w:themeColor="text1"/>
                <w:kern w:val="0"/>
                <w:sz w:val="24"/>
                <w14:textFill>
                  <w14:solidFill>
                    <w14:schemeClr w14:val="tx1"/>
                  </w14:solidFill>
                </w14:textFill>
              </w:rPr>
              <w:t>的</w:t>
            </w:r>
            <w:bookmarkStart w:id="1" w:name="_Toc28359002"/>
            <w:bookmarkStart w:id="2" w:name="_Toc28359079"/>
            <w:bookmarkStart w:id="3" w:name="_Toc35393790"/>
            <w:bookmarkStart w:id="4" w:name="_Toc35393621"/>
            <w:r>
              <w:rPr>
                <w:rStyle w:val="21"/>
                <w:rFonts w:hint="eastAsia" w:ascii="宋体" w:hAnsi="宋体" w:cs="宋体"/>
                <w:color w:val="000000" w:themeColor="text1"/>
                <w:kern w:val="0"/>
                <w:sz w:val="24"/>
                <w14:textFill>
                  <w14:solidFill>
                    <w14:schemeClr w14:val="tx1"/>
                  </w14:solidFill>
                </w14:textFill>
              </w:rPr>
              <w:t>潜在投标人应在响水县人民政府网（</w:t>
            </w:r>
            <w:r>
              <w:fldChar w:fldCharType="begin"/>
            </w:r>
            <w:r>
              <w:instrText xml:space="preserve"> HYPERLINK "http://www.xiangshui.gov.cn/）获取招标文件，并于2023年10月" </w:instrText>
            </w:r>
            <w:r>
              <w:fldChar w:fldCharType="separate"/>
            </w:r>
            <w:r>
              <w:rPr>
                <w:rStyle w:val="21"/>
                <w:rFonts w:hint="eastAsia" w:ascii="宋体" w:hAnsi="宋体" w:cs="宋体"/>
                <w:color w:val="000000" w:themeColor="text1"/>
                <w:kern w:val="0"/>
                <w:sz w:val="24"/>
                <w14:textFill>
                  <w14:solidFill>
                    <w14:schemeClr w14:val="tx1"/>
                  </w14:solidFill>
                </w14:textFill>
              </w:rPr>
              <w:t>http://www.xiangshui.gov.cn/）获取</w:t>
            </w:r>
            <w:r>
              <w:rPr>
                <w:rStyle w:val="21"/>
                <w:rFonts w:hint="eastAsia" w:ascii="宋体" w:hAnsi="宋体" w:cs="宋体"/>
                <w:color w:val="000000" w:themeColor="text1"/>
                <w:kern w:val="0"/>
                <w:sz w:val="24"/>
                <w:lang w:val="en-US" w:eastAsia="zh-CN"/>
                <w14:textFill>
                  <w14:solidFill>
                    <w14:schemeClr w14:val="tx1"/>
                  </w14:solidFill>
                </w14:textFill>
              </w:rPr>
              <w:t>采购</w:t>
            </w:r>
            <w:r>
              <w:rPr>
                <w:rStyle w:val="21"/>
                <w:rFonts w:hint="eastAsia" w:ascii="宋体" w:hAnsi="宋体" w:cs="宋体"/>
                <w:color w:val="000000" w:themeColor="text1"/>
                <w:kern w:val="0"/>
                <w:sz w:val="24"/>
                <w14:textFill>
                  <w14:solidFill>
                    <w14:schemeClr w14:val="tx1"/>
                  </w14:solidFill>
                </w14:textFill>
              </w:rPr>
              <w:t>文件，并于</w:t>
            </w:r>
            <w:r>
              <w:rPr>
                <w:rStyle w:val="21"/>
                <w:rFonts w:hint="eastAsia" w:ascii="宋体" w:hAnsi="宋体" w:cs="宋体"/>
                <w:color w:val="000000" w:themeColor="text1"/>
                <w:kern w:val="0"/>
                <w:sz w:val="24"/>
                <w:u w:val="single"/>
                <w14:textFill>
                  <w14:solidFill>
                    <w14:schemeClr w14:val="tx1"/>
                  </w14:solidFill>
                </w14:textFill>
              </w:rPr>
              <w:t>2024</w:t>
            </w:r>
            <w:r>
              <w:rPr>
                <w:rStyle w:val="21"/>
                <w:rFonts w:hint="eastAsia" w:ascii="宋体" w:hAnsi="宋体" w:cs="宋体"/>
                <w:color w:val="000000" w:themeColor="text1"/>
                <w:kern w:val="0"/>
                <w:sz w:val="24"/>
                <w14:textFill>
                  <w14:solidFill>
                    <w14:schemeClr w14:val="tx1"/>
                  </w14:solidFill>
                </w14:textFill>
              </w:rPr>
              <w:t>年</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 9 </w:t>
            </w:r>
            <w:r>
              <w:rPr>
                <w:rStyle w:val="21"/>
                <w:rFonts w:hint="eastAsia" w:ascii="宋体" w:hAnsi="宋体" w:cs="宋体"/>
                <w:color w:val="000000" w:themeColor="text1"/>
                <w:kern w:val="0"/>
                <w:sz w:val="24"/>
                <w14:textFill>
                  <w14:solidFill>
                    <w14:schemeClr w14:val="tx1"/>
                  </w14:solidFill>
                </w14:textFill>
              </w:rPr>
              <w:t>月</w:t>
            </w:r>
            <w:r>
              <w:rPr>
                <w:rStyle w:val="21"/>
                <w:rFonts w:hint="eastAsia" w:ascii="宋体" w:hAnsi="宋体" w:cs="宋体"/>
                <w:color w:val="000000" w:themeColor="text1"/>
                <w:kern w:val="0"/>
                <w:sz w:val="24"/>
                <w14:textFill>
                  <w14:solidFill>
                    <w14:schemeClr w14:val="tx1"/>
                  </w14:solidFill>
                </w14:textFill>
              </w:rPr>
              <w:fldChar w:fldCharType="end"/>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u w:val="single"/>
                <w:lang w:val="en-US" w:eastAsia="zh-CN"/>
                <w14:textFill>
                  <w14:solidFill>
                    <w14:schemeClr w14:val="tx1"/>
                  </w14:solidFill>
                </w14:textFill>
              </w:rPr>
              <w:t>24</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日</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 9</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点</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00  </w:t>
            </w:r>
            <w:r>
              <w:rPr>
                <w:rStyle w:val="21"/>
                <w:rFonts w:hint="eastAsia" w:ascii="宋体" w:hAnsi="宋体" w:cs="宋体"/>
                <w:color w:val="000000" w:themeColor="text1"/>
                <w:kern w:val="0"/>
                <w:sz w:val="24"/>
                <w14:textFill>
                  <w14:solidFill>
                    <w14:schemeClr w14:val="tx1"/>
                  </w14:solidFill>
                </w14:textFill>
              </w:rPr>
              <w:t>分（北京时间）前递交</w:t>
            </w:r>
            <w:r>
              <w:rPr>
                <w:rStyle w:val="21"/>
                <w:rFonts w:hint="eastAsia" w:ascii="宋体" w:hAnsi="宋体" w:cs="宋体"/>
                <w:color w:val="000000" w:themeColor="text1"/>
                <w:kern w:val="0"/>
                <w:sz w:val="24"/>
                <w:lang w:val="en-US" w:eastAsia="zh-CN"/>
                <w14:textFill>
                  <w14:solidFill>
                    <w14:schemeClr w14:val="tx1"/>
                  </w14:solidFill>
                </w14:textFill>
              </w:rPr>
              <w:t>响应</w:t>
            </w:r>
            <w:r>
              <w:rPr>
                <w:rStyle w:val="21"/>
                <w:rFonts w:hint="eastAsia" w:ascii="宋体" w:hAnsi="宋体" w:cs="宋体"/>
                <w:color w:val="000000" w:themeColor="text1"/>
                <w:kern w:val="0"/>
                <w:sz w:val="24"/>
                <w14:textFill>
                  <w14:solidFill>
                    <w14:schemeClr w14:val="tx1"/>
                  </w14:solidFill>
                </w14:textFill>
              </w:rPr>
              <w:t>文件。</w:t>
            </w:r>
            <w:bookmarkEnd w:id="1"/>
            <w:bookmarkEnd w:id="2"/>
            <w:bookmarkEnd w:id="3"/>
            <w:bookmarkEnd w:id="4"/>
          </w:p>
        </w:tc>
      </w:tr>
    </w:tbl>
    <w:p w14:paraId="1B3D87A1">
      <w:pPr>
        <w:snapToGrid w:val="0"/>
        <w:spacing w:line="480" w:lineRule="exact"/>
        <w:ind w:firstLine="480" w:firstLineChars="200"/>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一、项目基本情况</w:t>
      </w:r>
    </w:p>
    <w:p w14:paraId="3B3416F3">
      <w:pPr>
        <w:snapToGrid w:val="0"/>
        <w:spacing w:line="480" w:lineRule="exact"/>
        <w:ind w:firstLine="480" w:firstLineChars="200"/>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参照《政府采购法》及财政部关于印发《政府采购非招标采购方式管理办法》[财政部第74号令]相关规定，</w:t>
      </w:r>
      <w:r>
        <w:rPr>
          <w:rStyle w:val="21"/>
          <w:rFonts w:hint="eastAsia" w:ascii="宋体" w:hAnsi="宋体" w:cs="宋体"/>
          <w:color w:val="000000" w:themeColor="text1"/>
          <w:kern w:val="0"/>
          <w:sz w:val="24"/>
          <w:lang w:eastAsia="zh-CN"/>
          <w14:textFill>
            <w14:solidFill>
              <w14:schemeClr w14:val="tx1"/>
            </w14:solidFill>
          </w14:textFill>
        </w:rPr>
        <w:t>响水县兴港物业管理有限公司</w:t>
      </w:r>
      <w:r>
        <w:rPr>
          <w:rStyle w:val="21"/>
          <w:rFonts w:hint="eastAsia" w:ascii="宋体" w:hAnsi="宋体" w:cs="宋体"/>
          <w:color w:val="000000" w:themeColor="text1"/>
          <w:kern w:val="0"/>
          <w:sz w:val="24"/>
          <w14:textFill>
            <w14:solidFill>
              <w14:schemeClr w14:val="tx1"/>
            </w14:solidFill>
          </w14:textFill>
        </w:rPr>
        <w:t>对“</w:t>
      </w:r>
      <w:r>
        <w:rPr>
          <w:rStyle w:val="21"/>
          <w:rFonts w:hint="eastAsia" w:ascii="宋体" w:hAnsi="宋体" w:cs="宋体"/>
          <w:color w:val="000000" w:themeColor="text1"/>
          <w:kern w:val="0"/>
          <w:sz w:val="24"/>
          <w:lang w:eastAsia="zh-CN"/>
          <w14:textFill>
            <w14:solidFill>
              <w14:schemeClr w14:val="tx1"/>
            </w14:solidFill>
          </w14:textFill>
        </w:rPr>
        <w:t>响水工业经济区绿化养护服务项目</w:t>
      </w:r>
      <w:r>
        <w:rPr>
          <w:rStyle w:val="21"/>
          <w:rFonts w:hint="eastAsia" w:ascii="宋体" w:hAnsi="宋体" w:cs="宋体"/>
          <w:color w:val="000000" w:themeColor="text1"/>
          <w:kern w:val="0"/>
          <w:sz w:val="24"/>
          <w14:textFill>
            <w14:solidFill>
              <w14:schemeClr w14:val="tx1"/>
            </w14:solidFill>
          </w14:textFill>
        </w:rPr>
        <w:t>”采取竞争性谈判方式实施采购，欢迎符合相应要求的供应商参加谈判，具体事项如下：</w:t>
      </w:r>
    </w:p>
    <w:p w14:paraId="0B912934">
      <w:pPr>
        <w:snapToGrid w:val="0"/>
        <w:spacing w:line="480" w:lineRule="exact"/>
        <w:ind w:firstLine="480" w:firstLineChars="200"/>
        <w:rPr>
          <w:rStyle w:val="21"/>
          <w:rFonts w:hint="eastAsia" w:ascii="宋体" w:hAnsi="宋体" w:cs="宋体"/>
          <w:color w:val="000000" w:themeColor="text1"/>
          <w:kern w:val="0"/>
          <w:sz w:val="24"/>
          <w:lang w:val="en-US" w:eastAsia="zh-CN"/>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项目编号：XSX-GQCG-202409037</w:t>
      </w:r>
      <w:r>
        <w:rPr>
          <w:rStyle w:val="21"/>
          <w:rFonts w:hint="eastAsia" w:ascii="宋体" w:hAnsi="宋体" w:cs="宋体"/>
          <w:color w:val="000000" w:themeColor="text1"/>
          <w:kern w:val="0"/>
          <w:sz w:val="24"/>
          <w:lang w:val="en-US" w:eastAsia="zh-CN"/>
          <w14:textFill>
            <w14:solidFill>
              <w14:schemeClr w14:val="tx1"/>
            </w14:solidFill>
          </w14:textFill>
        </w:rPr>
        <w:t xml:space="preserve"> </w:t>
      </w:r>
    </w:p>
    <w:p w14:paraId="642DBE57">
      <w:pPr>
        <w:snapToGrid w:val="0"/>
        <w:spacing w:line="480" w:lineRule="exact"/>
        <w:ind w:firstLine="480" w:firstLineChars="200"/>
        <w:rPr>
          <w:rStyle w:val="21"/>
          <w:rFonts w:hint="eastAsia" w:ascii="宋体" w:hAnsi="宋体" w:eastAsia="宋体" w:cs="宋体"/>
          <w:color w:val="000000" w:themeColor="text1"/>
          <w:kern w:val="0"/>
          <w:sz w:val="24"/>
          <w:lang w:eastAsia="zh-CN"/>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项目名称：</w:t>
      </w:r>
      <w:r>
        <w:rPr>
          <w:rStyle w:val="21"/>
          <w:rFonts w:hint="eastAsia" w:ascii="宋体" w:hAnsi="宋体" w:cs="宋体"/>
          <w:color w:val="000000" w:themeColor="text1"/>
          <w:kern w:val="0"/>
          <w:sz w:val="24"/>
          <w:lang w:eastAsia="zh-CN"/>
          <w14:textFill>
            <w14:solidFill>
              <w14:schemeClr w14:val="tx1"/>
            </w14:solidFill>
          </w14:textFill>
        </w:rPr>
        <w:t>响水工业经济区绿化养护服务项目</w:t>
      </w:r>
    </w:p>
    <w:p w14:paraId="70D88F3A">
      <w:pPr>
        <w:snapToGrid w:val="0"/>
        <w:spacing w:line="480" w:lineRule="exact"/>
        <w:ind w:firstLine="480" w:firstLineChars="200"/>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 xml:space="preserve">采购方式：竞争性谈判  </w:t>
      </w:r>
    </w:p>
    <w:p w14:paraId="51F67362">
      <w:pPr>
        <w:snapToGrid w:val="0"/>
        <w:spacing w:line="480" w:lineRule="exact"/>
        <w:ind w:firstLine="480" w:firstLineChars="200"/>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预算金额：</w:t>
      </w:r>
      <w:r>
        <w:rPr>
          <w:rFonts w:hint="eastAsia" w:ascii="宋体" w:hAnsi="宋体" w:eastAsia="宋体" w:cs="宋体"/>
          <w:color w:val="auto"/>
          <w:sz w:val="24"/>
          <w:highlight w:val="none"/>
          <w:lang w:val="en-US" w:eastAsia="zh-CN"/>
        </w:rPr>
        <w:t>369万元</w:t>
      </w:r>
      <w:r>
        <w:rPr>
          <w:rStyle w:val="21"/>
          <w:rFonts w:hint="eastAsia" w:ascii="宋体" w:hAnsi="宋体" w:cs="宋体"/>
          <w:color w:val="000000" w:themeColor="text1"/>
          <w:kern w:val="0"/>
          <w:sz w:val="24"/>
          <w14:textFill>
            <w14:solidFill>
              <w14:schemeClr w14:val="tx1"/>
            </w14:solidFill>
          </w14:textFill>
        </w:rPr>
        <w:t xml:space="preserve">。 </w:t>
      </w:r>
    </w:p>
    <w:p w14:paraId="7AB151D4">
      <w:pPr>
        <w:snapToGrid w:val="0"/>
        <w:spacing w:line="480" w:lineRule="exact"/>
        <w:ind w:firstLine="480" w:firstLineChars="200"/>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最高限价：</w:t>
      </w:r>
      <w:r>
        <w:rPr>
          <w:rFonts w:hint="eastAsia" w:ascii="宋体" w:hAnsi="宋体" w:eastAsia="宋体" w:cs="宋体"/>
          <w:color w:val="auto"/>
          <w:sz w:val="24"/>
          <w:highlight w:val="none"/>
          <w:lang w:val="en-US" w:eastAsia="zh-CN"/>
        </w:rPr>
        <w:t>369万元</w:t>
      </w:r>
      <w:r>
        <w:rPr>
          <w:rStyle w:val="21"/>
          <w:rFonts w:hint="eastAsia" w:ascii="宋体" w:hAnsi="宋体" w:cs="宋体"/>
          <w:color w:val="000000" w:themeColor="text1"/>
          <w:kern w:val="0"/>
          <w:sz w:val="24"/>
          <w14:textFill>
            <w14:solidFill>
              <w14:schemeClr w14:val="tx1"/>
            </w14:solidFill>
          </w14:textFill>
        </w:rPr>
        <w:t>，报价超过</w:t>
      </w:r>
      <w:r>
        <w:rPr>
          <w:rStyle w:val="21"/>
          <w:rFonts w:hint="eastAsia" w:ascii="宋体" w:hAnsi="宋体" w:cs="宋体"/>
          <w:color w:val="000000" w:themeColor="text1"/>
          <w:kern w:val="0"/>
          <w:sz w:val="24"/>
          <w:lang w:val="en-US" w:eastAsia="zh-CN"/>
          <w14:textFill>
            <w14:solidFill>
              <w14:schemeClr w14:val="tx1"/>
            </w14:solidFill>
          </w14:textFill>
        </w:rPr>
        <w:t>最高</w:t>
      </w:r>
      <w:r>
        <w:rPr>
          <w:rStyle w:val="21"/>
          <w:rFonts w:hint="eastAsia" w:ascii="宋体" w:hAnsi="宋体" w:cs="宋体"/>
          <w:color w:val="000000" w:themeColor="text1"/>
          <w:kern w:val="0"/>
          <w:sz w:val="24"/>
          <w14:textFill>
            <w14:solidFill>
              <w14:schemeClr w14:val="tx1"/>
            </w14:solidFill>
          </w14:textFill>
        </w:rPr>
        <w:t>限价</w:t>
      </w:r>
      <w:r>
        <w:rPr>
          <w:rStyle w:val="21"/>
          <w:rFonts w:hint="eastAsia" w:ascii="宋体" w:hAnsi="宋体" w:cs="宋体"/>
          <w:color w:val="000000" w:themeColor="text1"/>
          <w:kern w:val="0"/>
          <w:sz w:val="24"/>
          <w:lang w:val="en-US" w:eastAsia="zh-CN"/>
          <w14:textFill>
            <w14:solidFill>
              <w14:schemeClr w14:val="tx1"/>
            </w14:solidFill>
          </w14:textFill>
        </w:rPr>
        <w:t>的为</w:t>
      </w:r>
      <w:r>
        <w:rPr>
          <w:rStyle w:val="21"/>
          <w:rFonts w:hint="eastAsia" w:ascii="宋体" w:hAnsi="宋体" w:cs="宋体"/>
          <w:color w:val="000000" w:themeColor="text1"/>
          <w:kern w:val="0"/>
          <w:sz w:val="24"/>
          <w14:textFill>
            <w14:solidFill>
              <w14:schemeClr w14:val="tx1"/>
            </w14:solidFill>
          </w14:textFill>
        </w:rPr>
        <w:t>无效</w:t>
      </w:r>
      <w:r>
        <w:rPr>
          <w:rStyle w:val="21"/>
          <w:rFonts w:hint="eastAsia" w:ascii="宋体" w:hAnsi="宋体" w:cs="宋体"/>
          <w:color w:val="000000" w:themeColor="text1"/>
          <w:kern w:val="0"/>
          <w:sz w:val="24"/>
          <w:lang w:val="en-US" w:eastAsia="zh-CN"/>
          <w14:textFill>
            <w14:solidFill>
              <w14:schemeClr w14:val="tx1"/>
            </w14:solidFill>
          </w14:textFill>
        </w:rPr>
        <w:t>标</w:t>
      </w:r>
      <w:r>
        <w:rPr>
          <w:rStyle w:val="21"/>
          <w:rFonts w:hint="eastAsia" w:ascii="宋体" w:hAnsi="宋体" w:cs="宋体"/>
          <w:color w:val="000000" w:themeColor="text1"/>
          <w:kern w:val="0"/>
          <w:sz w:val="24"/>
          <w14:textFill>
            <w14:solidFill>
              <w14:schemeClr w14:val="tx1"/>
            </w14:solidFill>
          </w14:textFill>
        </w:rPr>
        <w:t>。</w:t>
      </w:r>
    </w:p>
    <w:p w14:paraId="3C3EC8AC">
      <w:pPr>
        <w:snapToGrid w:val="0"/>
        <w:spacing w:line="480" w:lineRule="exact"/>
        <w:ind w:firstLine="480" w:firstLineChars="200"/>
        <w:rPr>
          <w:rFonts w:hint="eastAsia" w:ascii="宋体" w:hAnsi="宋体" w:eastAsia="宋体" w:cs="宋体"/>
          <w:color w:val="auto"/>
          <w:sz w:val="24"/>
          <w:highlight w:val="none"/>
        </w:rPr>
      </w:pPr>
      <w:r>
        <w:rPr>
          <w:rStyle w:val="21"/>
          <w:rFonts w:hint="eastAsia" w:ascii="宋体" w:hAnsi="宋体" w:cs="宋体"/>
          <w:color w:val="000000" w:themeColor="text1"/>
          <w:kern w:val="0"/>
          <w:sz w:val="24"/>
          <w14:textFill>
            <w14:solidFill>
              <w14:schemeClr w14:val="tx1"/>
            </w14:solidFill>
          </w14:textFill>
        </w:rPr>
        <w:t>采购需求：</w:t>
      </w:r>
      <w:r>
        <w:rPr>
          <w:rFonts w:hint="eastAsia" w:ascii="宋体" w:hAnsi="宋体" w:eastAsia="宋体" w:cs="宋体"/>
          <w:color w:val="auto"/>
          <w:sz w:val="24"/>
          <w:highlight w:val="none"/>
          <w:lang w:val="en-US" w:eastAsia="zh-CN"/>
        </w:rPr>
        <w:t>响水县工业经济区范围内所有绿化养护，根据采购人的工作需求提供人员对园区范围内的所有绿化进行除草、灌木修剪、冬季刷白等一切工作。</w:t>
      </w:r>
      <w:r>
        <w:rPr>
          <w:rFonts w:hint="eastAsia" w:ascii="宋体" w:hAnsi="宋体" w:eastAsia="宋体" w:cs="宋体"/>
          <w:color w:val="auto"/>
          <w:sz w:val="24"/>
          <w:highlight w:val="none"/>
        </w:rPr>
        <w:t>具体内容详见</w:t>
      </w:r>
      <w:r>
        <w:rPr>
          <w:rFonts w:hint="eastAsia" w:ascii="宋体" w:hAnsi="宋体" w:eastAsia="宋体" w:cs="宋体"/>
          <w:color w:val="auto"/>
          <w:sz w:val="24"/>
          <w:highlight w:val="none"/>
          <w:lang w:val="en-US" w:eastAsia="zh-CN"/>
        </w:rPr>
        <w:t>采购需求</w:t>
      </w:r>
      <w:r>
        <w:rPr>
          <w:rFonts w:hint="eastAsia" w:ascii="宋体" w:hAnsi="宋体" w:eastAsia="宋体" w:cs="宋体"/>
          <w:color w:val="auto"/>
          <w:sz w:val="24"/>
          <w:highlight w:val="none"/>
        </w:rPr>
        <w:t>。</w:t>
      </w:r>
    </w:p>
    <w:p w14:paraId="74D46FDA">
      <w:pPr>
        <w:snapToGrid w:val="0"/>
        <w:spacing w:line="480" w:lineRule="exact"/>
        <w:ind w:firstLine="480" w:firstLineChars="200"/>
        <w:rPr>
          <w:rStyle w:val="21"/>
          <w:rFonts w:hint="eastAsia"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合同履</w:t>
      </w:r>
      <w:r>
        <w:rPr>
          <w:rStyle w:val="21"/>
          <w:rFonts w:hint="eastAsia" w:ascii="宋体" w:hAnsi="宋体" w:cs="宋体"/>
          <w:color w:val="auto"/>
          <w:kern w:val="0"/>
          <w:sz w:val="24"/>
        </w:rPr>
        <w:t>约期：</w:t>
      </w:r>
      <w:r>
        <w:rPr>
          <w:rStyle w:val="21"/>
          <w:rFonts w:hint="eastAsia" w:ascii="宋体" w:hAnsi="宋体" w:cs="宋体"/>
          <w:color w:val="000000" w:themeColor="text1"/>
          <w:kern w:val="0"/>
          <w:sz w:val="24"/>
          <w:lang w:val="en-US" w:eastAsia="zh-CN"/>
          <w14:textFill>
            <w14:solidFill>
              <w14:schemeClr w14:val="tx1"/>
            </w14:solidFill>
          </w14:textFill>
        </w:rPr>
        <w:t>一年</w:t>
      </w:r>
      <w:r>
        <w:rPr>
          <w:rStyle w:val="21"/>
          <w:rFonts w:hint="eastAsia" w:ascii="宋体" w:hAnsi="宋体" w:cs="宋体"/>
          <w:color w:val="000000" w:themeColor="text1"/>
          <w:kern w:val="0"/>
          <w:sz w:val="24"/>
          <w14:textFill>
            <w14:solidFill>
              <w14:schemeClr w14:val="tx1"/>
            </w14:solidFill>
          </w14:textFill>
        </w:rPr>
        <w:t>。</w:t>
      </w:r>
    </w:p>
    <w:p w14:paraId="0299577C">
      <w:pPr>
        <w:snapToGrid w:val="0"/>
        <w:spacing w:line="480" w:lineRule="exact"/>
        <w:ind w:firstLine="480" w:firstLineChars="200"/>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本项目不接受联合体投标。</w:t>
      </w:r>
    </w:p>
    <w:p w14:paraId="3E1879E0">
      <w:pPr>
        <w:adjustRightInd w:val="0"/>
        <w:snapToGrid w:val="0"/>
        <w:spacing w:line="480" w:lineRule="exact"/>
        <w:ind w:firstLine="482" w:firstLineChars="200"/>
        <w:textAlignment w:val="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058CB84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1、供应商应当具备独立承担民事责任的能力</w:t>
      </w:r>
      <w:r>
        <w:rPr>
          <w:rFonts w:hint="eastAsia" w:ascii="宋体" w:hAnsi="宋体" w:eastAsia="宋体" w:cs="宋体"/>
          <w:color w:val="auto"/>
          <w:sz w:val="24"/>
          <w:szCs w:val="24"/>
          <w:highlight w:val="none"/>
        </w:rPr>
        <w:t>，并提供下列材料；</w:t>
      </w:r>
    </w:p>
    <w:p w14:paraId="5FE009A5">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(1)法人或者其他组织的营业执照等证明文件；</w:t>
      </w:r>
    </w:p>
    <w:p w14:paraId="2661C74D">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(2)上一年度的财务报表（成立不满一年不需提供）；</w:t>
      </w:r>
    </w:p>
    <w:p w14:paraId="3AF950DF">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(3)依法缴纳税收和社会保障资金的相关材料；</w:t>
      </w:r>
    </w:p>
    <w:p w14:paraId="165B37F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(4)具备履行合同所必需的设备和专业技术能力的书面声明；</w:t>
      </w:r>
    </w:p>
    <w:p w14:paraId="3F8A979F">
      <w:pPr>
        <w:keepNext w:val="0"/>
        <w:keepLines w:val="0"/>
        <w:kinsoku/>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(5)参加</w:t>
      </w:r>
      <w:r>
        <w:rPr>
          <w:rFonts w:hint="eastAsia" w:ascii="宋体" w:hAnsi="宋体" w:eastAsia="宋体" w:cs="宋体"/>
          <w:color w:val="auto"/>
          <w:sz w:val="24"/>
          <w:szCs w:val="24"/>
          <w:highlight w:val="none"/>
          <w:lang w:val="en-US" w:eastAsia="zh-CN"/>
        </w:rPr>
        <w:t>本次</w:t>
      </w:r>
      <w:r>
        <w:rPr>
          <w:rFonts w:hint="eastAsia" w:ascii="宋体" w:hAnsi="宋体" w:eastAsia="宋体" w:cs="宋体"/>
          <w:color w:val="auto"/>
          <w:sz w:val="24"/>
          <w:szCs w:val="24"/>
          <w:highlight w:val="none"/>
        </w:rPr>
        <w:t>采购活动前3年内在经营活动中没有重大违法记录的书面声明；</w:t>
      </w:r>
      <w:r>
        <w:rPr>
          <w:rFonts w:hint="eastAsia" w:ascii="宋体" w:hAnsi="宋体" w:eastAsia="宋体" w:cs="宋体"/>
          <w:color w:val="auto"/>
          <w:sz w:val="24"/>
          <w:highlight w:val="none"/>
          <w:lang w:val="en-US" w:eastAsia="zh-CN"/>
        </w:rPr>
        <w:t>   </w:t>
      </w:r>
    </w:p>
    <w:p w14:paraId="5211E3B0">
      <w:pPr>
        <w:keepNext w:val="0"/>
        <w:keepLines w:val="0"/>
        <w:numPr>
          <w:ilvl w:val="0"/>
          <w:numId w:val="0"/>
        </w:numPr>
        <w:kinsoku/>
        <w:overflowPunct/>
        <w:topLinePunct w:val="0"/>
        <w:bidi w:val="0"/>
        <w:spacing w:beforeAutospacing="0" w:afterAutospacing="0" w:line="42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2、落实政府采购政策需满足的资格要求：无</w:t>
      </w:r>
    </w:p>
    <w:p w14:paraId="0F452351">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7CE18D54">
      <w:pPr>
        <w:spacing w:line="480" w:lineRule="exact"/>
        <w:ind w:firstLine="480" w:firstLineChars="200"/>
        <w:rPr>
          <w:rFonts w:hint="default" w:ascii="宋体" w:hAnsi="宋体" w:eastAsia="宋体" w:cs="宋体"/>
          <w:color w:val="FF0000"/>
          <w:sz w:val="24"/>
          <w:szCs w:val="24"/>
          <w:highlight w:val="none"/>
          <w:lang w:val="en-US"/>
        </w:rPr>
      </w:pPr>
      <w:r>
        <w:rPr>
          <w:rFonts w:hint="eastAsia" w:ascii="宋体" w:hAnsi="宋体" w:eastAsia="宋体" w:cs="宋体"/>
          <w:color w:val="FF0000"/>
          <w:sz w:val="24"/>
          <w:szCs w:val="24"/>
          <w:highlight w:val="none"/>
        </w:rPr>
        <w:t>（</w:t>
      </w:r>
      <w:r>
        <w:rPr>
          <w:rFonts w:hint="eastAsia" w:ascii="宋体" w:hAnsi="宋体" w:eastAsia="宋体" w:cs="宋体"/>
          <w:color w:val="FF0000"/>
          <w:sz w:val="24"/>
          <w:szCs w:val="24"/>
          <w:highlight w:val="none"/>
          <w:lang w:val="en-US" w:eastAsia="zh-CN"/>
        </w:rPr>
        <w:t>1</w:t>
      </w:r>
      <w:r>
        <w:rPr>
          <w:rFonts w:hint="eastAsia" w:ascii="宋体" w:hAnsi="宋体" w:eastAsia="宋体" w:cs="宋体"/>
          <w:color w:val="FF0000"/>
          <w:sz w:val="24"/>
          <w:szCs w:val="24"/>
          <w:highlight w:val="none"/>
        </w:rPr>
        <w:t>）投标人如委托被授权人参与，则被授权人须为本单位正式职工并提供</w:t>
      </w:r>
      <w:r>
        <w:rPr>
          <w:rFonts w:hint="eastAsia" w:ascii="宋体" w:hAnsi="宋体" w:eastAsia="宋体" w:cs="宋体"/>
          <w:color w:val="FF0000"/>
          <w:sz w:val="24"/>
          <w:szCs w:val="24"/>
          <w:highlight w:val="none"/>
          <w:lang w:val="en-US" w:eastAsia="zh-CN"/>
        </w:rPr>
        <w:t>从2024年6月开始至投标截止之日当月至少1个月在本单位缴纳养老保险缴费记录证明</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退休人员提供在本单位劳动合同及6个月的薪酬证明）。投标人拟任项目负责人</w:t>
      </w:r>
      <w:r>
        <w:rPr>
          <w:rFonts w:hint="eastAsia" w:ascii="宋体" w:hAnsi="宋体" w:eastAsia="宋体" w:cs="宋体"/>
          <w:color w:val="FF0000"/>
          <w:sz w:val="24"/>
          <w:szCs w:val="24"/>
          <w:highlight w:val="none"/>
        </w:rPr>
        <w:t>须为本单位正式职工并提供</w:t>
      </w:r>
      <w:r>
        <w:rPr>
          <w:rFonts w:hint="eastAsia" w:ascii="宋体" w:hAnsi="宋体" w:eastAsia="宋体" w:cs="宋体"/>
          <w:color w:val="FF0000"/>
          <w:sz w:val="24"/>
          <w:szCs w:val="24"/>
          <w:highlight w:val="none"/>
          <w:lang w:val="en-US" w:eastAsia="zh-CN"/>
        </w:rPr>
        <w:t>从2024年6月开始至投标截止之日当月至少1个月在本单位缴纳养老保险缴费记录证明。</w:t>
      </w:r>
    </w:p>
    <w:p w14:paraId="6EB567E2">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未被“信用中国”网站（www.creditchina.gov.cn）列入失信被执行人、重大税收违法案件当事人名单、政府采购严重失信行为记录名单。</w:t>
      </w:r>
    </w:p>
    <w:p w14:paraId="1DDC3310">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）单位负责人为同一人或者存在直接控股、管理关系的不同供应商，不得参加同一合同项下的采购活动。</w:t>
      </w:r>
    </w:p>
    <w:p w14:paraId="010D036F">
      <w:pPr>
        <w:spacing w:line="48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本项目不接受联合体投标。</w:t>
      </w:r>
    </w:p>
    <w:p w14:paraId="7353089A">
      <w:pPr>
        <w:snapToGrid w:val="0"/>
        <w:spacing w:line="480" w:lineRule="exact"/>
        <w:ind w:firstLine="482" w:firstLineChars="200"/>
        <w:rPr>
          <w:rStyle w:val="21"/>
          <w:rFonts w:ascii="宋体" w:hAnsi="宋体" w:cs="宋体"/>
          <w:b/>
          <w:bCs/>
          <w:color w:val="000000" w:themeColor="text1"/>
          <w:kern w:val="0"/>
          <w:sz w:val="24"/>
          <w14:textFill>
            <w14:solidFill>
              <w14:schemeClr w14:val="tx1"/>
            </w14:solidFill>
          </w14:textFill>
        </w:rPr>
      </w:pPr>
      <w:r>
        <w:rPr>
          <w:rStyle w:val="21"/>
          <w:rFonts w:hint="eastAsia" w:ascii="宋体" w:hAnsi="宋体" w:cs="宋体"/>
          <w:b/>
          <w:bCs/>
          <w:color w:val="000000" w:themeColor="text1"/>
          <w:kern w:val="0"/>
          <w:sz w:val="24"/>
          <w14:textFill>
            <w14:solidFill>
              <w14:schemeClr w14:val="tx1"/>
            </w14:solidFill>
          </w14:textFill>
        </w:rPr>
        <w:t>三、获取采购文件</w:t>
      </w:r>
    </w:p>
    <w:p w14:paraId="62F0499D">
      <w:pPr>
        <w:snapToGrid w:val="0"/>
        <w:spacing w:line="480" w:lineRule="exact"/>
        <w:ind w:firstLine="480" w:firstLineChars="200"/>
        <w:rPr>
          <w:rStyle w:val="21"/>
          <w:rFonts w:ascii="宋体" w:hAnsi="宋体" w:cs="宋体"/>
          <w:color w:val="000000" w:themeColor="text1"/>
          <w:kern w:val="0"/>
          <w:sz w:val="24"/>
          <w14:textFill>
            <w14:solidFill>
              <w14:schemeClr w14:val="tx1"/>
            </w14:solidFill>
          </w14:textFill>
        </w:rPr>
      </w:pPr>
      <w:bookmarkStart w:id="5" w:name="_Toc35393624"/>
      <w:bookmarkStart w:id="6" w:name="_Toc28359005"/>
      <w:bookmarkStart w:id="7" w:name="_Toc35393793"/>
      <w:bookmarkStart w:id="8" w:name="_Toc28359082"/>
      <w:r>
        <w:rPr>
          <w:rStyle w:val="21"/>
          <w:rFonts w:hint="eastAsia" w:ascii="宋体" w:hAnsi="宋体" w:cs="宋体"/>
          <w:color w:val="000000" w:themeColor="text1"/>
          <w:kern w:val="0"/>
          <w:sz w:val="24"/>
          <w14:textFill>
            <w14:solidFill>
              <w14:schemeClr w14:val="tx1"/>
            </w14:solidFill>
          </w14:textFill>
        </w:rPr>
        <w:t>时间：</w:t>
      </w:r>
      <w:r>
        <w:rPr>
          <w:rStyle w:val="21"/>
          <w:rFonts w:hint="eastAsia" w:ascii="宋体" w:hAnsi="宋体" w:cs="宋体"/>
          <w:color w:val="000000" w:themeColor="text1"/>
          <w:kern w:val="0"/>
          <w:sz w:val="24"/>
          <w:u w:val="single"/>
          <w14:textFill>
            <w14:solidFill>
              <w14:schemeClr w14:val="tx1"/>
            </w14:solidFill>
          </w14:textFill>
        </w:rPr>
        <w:t>2024</w:t>
      </w:r>
      <w:r>
        <w:rPr>
          <w:rStyle w:val="21"/>
          <w:rFonts w:hint="eastAsia" w:ascii="宋体" w:hAnsi="宋体" w:cs="宋体"/>
          <w:color w:val="000000" w:themeColor="text1"/>
          <w:kern w:val="0"/>
          <w:sz w:val="24"/>
          <w14:textFill>
            <w14:solidFill>
              <w14:schemeClr w14:val="tx1"/>
            </w14:solidFill>
          </w14:textFill>
        </w:rPr>
        <w:t>年</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 9 </w:t>
      </w:r>
      <w:r>
        <w:rPr>
          <w:rStyle w:val="21"/>
          <w:rFonts w:hint="eastAsia" w:ascii="宋体" w:hAnsi="宋体" w:cs="宋体"/>
          <w:color w:val="000000" w:themeColor="text1"/>
          <w:kern w:val="0"/>
          <w:sz w:val="24"/>
          <w14:textFill>
            <w14:solidFill>
              <w14:schemeClr w14:val="tx1"/>
            </w14:solidFill>
          </w14:textFill>
        </w:rPr>
        <w:t>月</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18 </w:t>
      </w:r>
      <w:r>
        <w:rPr>
          <w:rStyle w:val="21"/>
          <w:rFonts w:hint="eastAsia" w:ascii="宋体" w:hAnsi="宋体" w:cs="宋体"/>
          <w:color w:val="000000" w:themeColor="text1"/>
          <w:kern w:val="0"/>
          <w:sz w:val="24"/>
          <w14:textFill>
            <w14:solidFill>
              <w14:schemeClr w14:val="tx1"/>
            </w14:solidFill>
          </w14:textFill>
        </w:rPr>
        <w:t>日至2024年</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 9 </w:t>
      </w:r>
      <w:r>
        <w:rPr>
          <w:rStyle w:val="21"/>
          <w:rFonts w:hint="eastAsia" w:ascii="宋体" w:hAnsi="宋体" w:cs="宋体"/>
          <w:color w:val="000000" w:themeColor="text1"/>
          <w:kern w:val="0"/>
          <w:sz w:val="24"/>
          <w14:textFill>
            <w14:solidFill>
              <w14:schemeClr w14:val="tx1"/>
            </w14:solidFill>
          </w14:textFill>
        </w:rPr>
        <w:t>月</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23 </w:t>
      </w:r>
      <w:r>
        <w:rPr>
          <w:rStyle w:val="21"/>
          <w:rFonts w:hint="eastAsia" w:ascii="宋体" w:hAnsi="宋体" w:cs="宋体"/>
          <w:color w:val="000000" w:themeColor="text1"/>
          <w:kern w:val="0"/>
          <w:sz w:val="24"/>
          <w14:textFill>
            <w14:solidFill>
              <w14:schemeClr w14:val="tx1"/>
            </w14:solidFill>
          </w14:textFill>
        </w:rPr>
        <w:t>日</w:t>
      </w:r>
    </w:p>
    <w:bookmarkEnd w:id="5"/>
    <w:bookmarkEnd w:id="6"/>
    <w:bookmarkEnd w:id="7"/>
    <w:bookmarkEnd w:id="8"/>
    <w:p w14:paraId="676FF6A5">
      <w:pPr>
        <w:keepNext w:val="0"/>
        <w:keepLines w:val="0"/>
        <w:kinsoku/>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2、地点：</w:t>
      </w:r>
      <w:r>
        <w:rPr>
          <w:rFonts w:hint="eastAsia" w:ascii="宋体" w:hAnsi="宋体" w:eastAsia="宋体" w:cs="宋体"/>
          <w:color w:val="auto"/>
          <w:sz w:val="24"/>
          <w:highlight w:val="none"/>
        </w:rPr>
        <w:t>响水县人民政府</w:t>
      </w:r>
      <w:r>
        <w:rPr>
          <w:rFonts w:hint="eastAsia" w:ascii="宋体" w:hAnsi="宋体" w:eastAsia="宋体" w:cs="宋体"/>
          <w:color w:val="auto"/>
          <w:sz w:val="24"/>
          <w:highlight w:val="none"/>
          <w:lang w:val="en-US" w:eastAsia="zh-CN"/>
        </w:rPr>
        <w:t xml:space="preserve">网 </w:t>
      </w:r>
    </w:p>
    <w:p w14:paraId="2A368269">
      <w:pPr>
        <w:keepNext w:val="0"/>
        <w:keepLines w:val="0"/>
        <w:kinsoku/>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、符合资格要求的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自行登录“响水县人民政府网-招投标信息“国企采购-采购公告栏”下载</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w:t>
      </w:r>
    </w:p>
    <w:p w14:paraId="26BEBBE8">
      <w:pPr>
        <w:snapToGrid w:val="0"/>
        <w:spacing w:line="480" w:lineRule="exact"/>
        <w:ind w:firstLine="482" w:firstLineChars="200"/>
        <w:rPr>
          <w:rStyle w:val="21"/>
          <w:rFonts w:ascii="宋体" w:hAnsi="宋体" w:cs="宋体"/>
          <w:b/>
          <w:bCs/>
          <w:color w:val="000000" w:themeColor="text1"/>
          <w:kern w:val="0"/>
          <w:sz w:val="24"/>
          <w14:textFill>
            <w14:solidFill>
              <w14:schemeClr w14:val="tx1"/>
            </w14:solidFill>
          </w14:textFill>
        </w:rPr>
      </w:pPr>
      <w:r>
        <w:rPr>
          <w:rStyle w:val="21"/>
          <w:rFonts w:hint="eastAsia" w:ascii="宋体" w:hAnsi="宋体" w:cs="宋体"/>
          <w:b/>
          <w:bCs/>
          <w:color w:val="000000" w:themeColor="text1"/>
          <w:kern w:val="0"/>
          <w:sz w:val="24"/>
          <w14:textFill>
            <w14:solidFill>
              <w14:schemeClr w14:val="tx1"/>
            </w14:solidFill>
          </w14:textFill>
        </w:rPr>
        <w:t>四、响应文件提交</w:t>
      </w:r>
    </w:p>
    <w:p w14:paraId="0D4C90ED">
      <w:pPr>
        <w:snapToGrid w:val="0"/>
        <w:spacing w:line="480" w:lineRule="exact"/>
        <w:ind w:firstLine="480" w:firstLineChars="200"/>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提交响应文件截止时间：</w:t>
      </w:r>
      <w:r>
        <w:rPr>
          <w:rStyle w:val="21"/>
          <w:rFonts w:hint="eastAsia" w:ascii="宋体" w:hAnsi="宋体" w:cs="宋体"/>
          <w:color w:val="000000" w:themeColor="text1"/>
          <w:kern w:val="0"/>
          <w:sz w:val="24"/>
          <w:u w:val="single"/>
          <w14:textFill>
            <w14:solidFill>
              <w14:schemeClr w14:val="tx1"/>
            </w14:solidFill>
          </w14:textFill>
        </w:rPr>
        <w:t>2024</w:t>
      </w:r>
      <w:r>
        <w:rPr>
          <w:rStyle w:val="21"/>
          <w:rFonts w:hint="eastAsia" w:ascii="宋体" w:hAnsi="宋体" w:cs="宋体"/>
          <w:color w:val="000000" w:themeColor="text1"/>
          <w:kern w:val="0"/>
          <w:sz w:val="24"/>
          <w14:textFill>
            <w14:solidFill>
              <w14:schemeClr w14:val="tx1"/>
            </w14:solidFill>
          </w14:textFill>
        </w:rPr>
        <w:t>年</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 9 </w:t>
      </w:r>
      <w:r>
        <w:rPr>
          <w:rStyle w:val="21"/>
          <w:rFonts w:hint="eastAsia" w:ascii="宋体" w:hAnsi="宋体" w:cs="宋体"/>
          <w:color w:val="000000" w:themeColor="text1"/>
          <w:kern w:val="0"/>
          <w:sz w:val="24"/>
          <w14:textFill>
            <w14:solidFill>
              <w14:schemeClr w14:val="tx1"/>
            </w14:solidFill>
          </w14:textFill>
        </w:rPr>
        <w:t>月</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u w:val="single"/>
          <w:lang w:val="en-US" w:eastAsia="zh-CN"/>
          <w14:textFill>
            <w14:solidFill>
              <w14:schemeClr w14:val="tx1"/>
            </w14:solidFill>
          </w14:textFill>
        </w:rPr>
        <w:t>24</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日</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9 </w:t>
      </w:r>
      <w:r>
        <w:rPr>
          <w:rStyle w:val="21"/>
          <w:rFonts w:hint="eastAsia" w:ascii="宋体" w:hAnsi="宋体" w:cs="宋体"/>
          <w:color w:val="000000" w:themeColor="text1"/>
          <w:kern w:val="0"/>
          <w:sz w:val="24"/>
          <w14:textFill>
            <w14:solidFill>
              <w14:schemeClr w14:val="tx1"/>
            </w14:solidFill>
          </w14:textFill>
        </w:rPr>
        <w:t>时</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 00 </w:t>
      </w:r>
      <w:r>
        <w:rPr>
          <w:rStyle w:val="21"/>
          <w:rFonts w:hint="eastAsia" w:ascii="宋体" w:hAnsi="宋体" w:cs="宋体"/>
          <w:color w:val="000000" w:themeColor="text1"/>
          <w:kern w:val="0"/>
          <w:sz w:val="24"/>
          <w14:textFill>
            <w14:solidFill>
              <w14:schemeClr w14:val="tx1"/>
            </w14:solidFill>
          </w14:textFill>
        </w:rPr>
        <w:t>分（北京时间）；</w:t>
      </w:r>
    </w:p>
    <w:p w14:paraId="0ED64160">
      <w:pPr>
        <w:snapToGrid w:val="0"/>
        <w:spacing w:line="480" w:lineRule="exact"/>
        <w:ind w:firstLine="480" w:firstLineChars="200"/>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谈判时间：</w:t>
      </w:r>
      <w:r>
        <w:rPr>
          <w:rStyle w:val="21"/>
          <w:rFonts w:hint="eastAsia" w:ascii="宋体" w:hAnsi="宋体" w:cs="宋体"/>
          <w:color w:val="000000" w:themeColor="text1"/>
          <w:kern w:val="0"/>
          <w:sz w:val="24"/>
          <w:u w:val="single"/>
          <w14:textFill>
            <w14:solidFill>
              <w14:schemeClr w14:val="tx1"/>
            </w14:solidFill>
          </w14:textFill>
        </w:rPr>
        <w:t>2024</w:t>
      </w:r>
      <w:r>
        <w:rPr>
          <w:rStyle w:val="21"/>
          <w:rFonts w:hint="eastAsia" w:ascii="宋体" w:hAnsi="宋体" w:cs="宋体"/>
          <w:color w:val="000000" w:themeColor="text1"/>
          <w:kern w:val="0"/>
          <w:sz w:val="24"/>
          <w14:textFill>
            <w14:solidFill>
              <w14:schemeClr w14:val="tx1"/>
            </w14:solidFill>
          </w14:textFill>
        </w:rPr>
        <w:t>年</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 9 </w:t>
      </w:r>
      <w:r>
        <w:rPr>
          <w:rStyle w:val="21"/>
          <w:rFonts w:hint="eastAsia" w:ascii="宋体" w:hAnsi="宋体" w:cs="宋体"/>
          <w:color w:val="000000" w:themeColor="text1"/>
          <w:kern w:val="0"/>
          <w:sz w:val="24"/>
          <w14:textFill>
            <w14:solidFill>
              <w14:schemeClr w14:val="tx1"/>
            </w14:solidFill>
          </w14:textFill>
        </w:rPr>
        <w:t>月</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u w:val="single"/>
          <w:lang w:val="en-US" w:eastAsia="zh-CN"/>
          <w14:textFill>
            <w14:solidFill>
              <w14:schemeClr w14:val="tx1"/>
            </w14:solidFill>
          </w14:textFill>
        </w:rPr>
        <w:t>24</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日</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9 </w:t>
      </w:r>
      <w:r>
        <w:rPr>
          <w:rStyle w:val="21"/>
          <w:rFonts w:hint="eastAsia" w:ascii="宋体" w:hAnsi="宋体" w:cs="宋体"/>
          <w:color w:val="000000" w:themeColor="text1"/>
          <w:kern w:val="0"/>
          <w:sz w:val="24"/>
          <w14:textFill>
            <w14:solidFill>
              <w14:schemeClr w14:val="tx1"/>
            </w14:solidFill>
          </w14:textFill>
        </w:rPr>
        <w:t>时</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 00 </w:t>
      </w:r>
      <w:r>
        <w:rPr>
          <w:rStyle w:val="21"/>
          <w:rFonts w:hint="eastAsia" w:ascii="宋体" w:hAnsi="宋体" w:cs="宋体"/>
          <w:color w:val="000000" w:themeColor="text1"/>
          <w:kern w:val="0"/>
          <w:sz w:val="24"/>
          <w14:textFill>
            <w14:solidFill>
              <w14:schemeClr w14:val="tx1"/>
            </w14:solidFill>
          </w14:textFill>
        </w:rPr>
        <w:t>分（北京时间）；</w:t>
      </w:r>
    </w:p>
    <w:p w14:paraId="5ABD0C7B">
      <w:pPr>
        <w:snapToGrid w:val="0"/>
        <w:spacing w:line="480" w:lineRule="exact"/>
        <w:ind w:firstLine="480" w:firstLineChars="200"/>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投标地点：上传加密的投标文件至采购人指定邮箱：</w:t>
      </w:r>
      <w:r>
        <w:rPr>
          <w:rStyle w:val="21"/>
          <w:rFonts w:hint="eastAsia" w:ascii="宋体" w:hAnsi="宋体" w:cs="宋体"/>
          <w:color w:val="000000" w:themeColor="text1"/>
          <w:kern w:val="0"/>
          <w:sz w:val="24"/>
          <w:u w:val="single"/>
          <w:lang w:val="en-US" w:eastAsia="zh-CN"/>
          <w14:textFill>
            <w14:solidFill>
              <w14:schemeClr w14:val="tx1"/>
            </w14:solidFill>
          </w14:textFill>
        </w:rPr>
        <w:t>412392515</w:t>
      </w:r>
      <w:r>
        <w:rPr>
          <w:rStyle w:val="21"/>
          <w:rFonts w:hint="eastAsia" w:ascii="宋体" w:hAnsi="宋体" w:cs="宋体"/>
          <w:color w:val="000000" w:themeColor="text1"/>
          <w:kern w:val="0"/>
          <w:sz w:val="24"/>
          <w:u w:val="single"/>
          <w14:textFill>
            <w14:solidFill>
              <w14:schemeClr w14:val="tx1"/>
            </w14:solidFill>
          </w14:textFill>
        </w:rPr>
        <w:t>@qq.com；</w:t>
      </w:r>
    </w:p>
    <w:p w14:paraId="59291E3B">
      <w:pPr>
        <w:snapToGrid w:val="0"/>
        <w:spacing w:line="480" w:lineRule="exact"/>
        <w:ind w:firstLine="480" w:firstLineChars="200"/>
        <w:rPr>
          <w:rStyle w:val="21"/>
          <w:rFonts w:ascii="宋体" w:hAnsi="宋体" w:cs="宋体"/>
          <w:color w:val="0000FF"/>
          <w:kern w:val="0"/>
          <w:sz w:val="24"/>
          <w:u w:val="single"/>
        </w:rPr>
      </w:pPr>
      <w:r>
        <w:rPr>
          <w:rStyle w:val="21"/>
          <w:rFonts w:hint="eastAsia" w:ascii="宋体" w:hAnsi="宋体" w:cs="宋体"/>
          <w:color w:val="000000" w:themeColor="text1"/>
          <w:kern w:val="0"/>
          <w:sz w:val="24"/>
          <w14:textFill>
            <w14:solidFill>
              <w14:schemeClr w14:val="tx1"/>
            </w14:solidFill>
          </w14:textFill>
        </w:rPr>
        <w:t>开标地点：网上谈判，</w:t>
      </w:r>
      <w:r>
        <w:rPr>
          <w:rStyle w:val="21"/>
          <w:rFonts w:hint="eastAsia" w:ascii="宋体" w:hAnsi="宋体" w:cs="宋体"/>
          <w:color w:val="0000FF"/>
          <w:kern w:val="0"/>
          <w:sz w:val="24"/>
        </w:rPr>
        <w:t>腾讯会议号：</w:t>
      </w:r>
      <w:r>
        <w:rPr>
          <w:rStyle w:val="21"/>
          <w:rFonts w:hint="eastAsia" w:ascii="宋体" w:hAnsi="宋体" w:cs="宋体"/>
          <w:color w:val="0000FF"/>
          <w:kern w:val="0"/>
          <w:sz w:val="24"/>
          <w:u w:val="single"/>
        </w:rPr>
        <w:t xml:space="preserve"> </w:t>
      </w:r>
      <w:r>
        <w:rPr>
          <w:rStyle w:val="21"/>
          <w:rFonts w:hint="eastAsia" w:ascii="宋体" w:hAnsi="宋体" w:cs="宋体"/>
          <w:color w:val="0000FF"/>
          <w:kern w:val="0"/>
          <w:sz w:val="24"/>
          <w:u w:val="single"/>
          <w:lang w:val="en-US" w:eastAsia="zh-CN"/>
        </w:rPr>
        <w:t xml:space="preserve">492654415 </w:t>
      </w:r>
      <w:r>
        <w:rPr>
          <w:rStyle w:val="21"/>
          <w:rFonts w:hint="eastAsia" w:ascii="宋体" w:hAnsi="宋体" w:cs="宋体"/>
          <w:color w:val="0000FF"/>
          <w:kern w:val="0"/>
          <w:sz w:val="24"/>
          <w:u w:val="single"/>
        </w:rPr>
        <w:t xml:space="preserve"> </w:t>
      </w:r>
    </w:p>
    <w:p w14:paraId="3DF1B97E">
      <w:pPr>
        <w:snapToGrid w:val="0"/>
        <w:spacing w:line="480" w:lineRule="exact"/>
        <w:ind w:firstLine="482" w:firstLineChars="200"/>
        <w:rPr>
          <w:rStyle w:val="21"/>
          <w:rFonts w:ascii="宋体" w:hAnsi="宋体" w:cs="宋体"/>
          <w:b/>
          <w:bCs/>
          <w:color w:val="000000" w:themeColor="text1"/>
          <w:kern w:val="0"/>
          <w:sz w:val="24"/>
          <w14:textFill>
            <w14:solidFill>
              <w14:schemeClr w14:val="tx1"/>
            </w14:solidFill>
          </w14:textFill>
        </w:rPr>
      </w:pPr>
      <w:r>
        <w:rPr>
          <w:rStyle w:val="21"/>
          <w:rFonts w:hint="eastAsia" w:ascii="宋体" w:hAnsi="宋体" w:cs="宋体"/>
          <w:b/>
          <w:bCs/>
          <w:color w:val="000000" w:themeColor="text1"/>
          <w:kern w:val="0"/>
          <w:sz w:val="24"/>
          <w14:textFill>
            <w14:solidFill>
              <w14:schemeClr w14:val="tx1"/>
            </w14:solidFill>
          </w14:textFill>
        </w:rPr>
        <w:t>五、公告期限</w:t>
      </w:r>
    </w:p>
    <w:p w14:paraId="7DB35D99">
      <w:pPr>
        <w:snapToGrid w:val="0"/>
        <w:spacing w:line="480" w:lineRule="exact"/>
        <w:ind w:firstLine="480" w:firstLineChars="200"/>
        <w:rPr>
          <w:rStyle w:val="21"/>
          <w:rFonts w:hint="eastAsia"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自本公告发布之日起3个工作日。</w:t>
      </w:r>
    </w:p>
    <w:p w14:paraId="74E9792B">
      <w:pPr>
        <w:snapToGrid w:val="0"/>
        <w:spacing w:line="480" w:lineRule="exact"/>
        <w:ind w:firstLine="480" w:firstLineChars="200"/>
        <w:rPr>
          <w:rStyle w:val="21"/>
          <w:rFonts w:hint="eastAsia" w:ascii="宋体" w:hAnsi="宋体" w:cs="宋体"/>
          <w:color w:val="000000" w:themeColor="text1"/>
          <w:kern w:val="0"/>
          <w:sz w:val="24"/>
          <w14:textFill>
            <w14:solidFill>
              <w14:schemeClr w14:val="tx1"/>
            </w14:solidFill>
          </w14:textFill>
        </w:rPr>
      </w:pPr>
      <w:r>
        <w:rPr>
          <w:rFonts w:hint="eastAsia" w:ascii="宋体" w:hAnsi="宋体" w:eastAsia="宋体" w:cs="宋体"/>
          <w:color w:val="auto"/>
          <w:kern w:val="0"/>
          <w:sz w:val="24"/>
          <w:highlight w:val="none"/>
          <w:lang w:val="en-US" w:eastAsia="zh-CN"/>
        </w:rPr>
        <w:t>注：</w:t>
      </w:r>
      <w:r>
        <w:rPr>
          <w:rFonts w:hint="eastAsia" w:ascii="宋体" w:hAnsi="宋体" w:eastAsia="宋体" w:cs="宋体"/>
          <w:color w:val="auto"/>
          <w:kern w:val="0"/>
          <w:sz w:val="24"/>
          <w:highlight w:val="none"/>
        </w:rPr>
        <w:t>本招标公告同步在江苏省招标投标公共服务平台  https://www.jszbtb.com/#/newindex以及响水县人民政府  http://www.xiangshui.gov.cn/发布。</w:t>
      </w:r>
    </w:p>
    <w:p w14:paraId="6F246B76">
      <w:pPr>
        <w:snapToGrid w:val="0"/>
        <w:spacing w:line="480" w:lineRule="exact"/>
        <w:ind w:firstLine="482" w:firstLineChars="200"/>
        <w:rPr>
          <w:rStyle w:val="21"/>
          <w:rFonts w:ascii="宋体" w:hAnsi="宋体" w:cs="宋体" w:eastAsiaTheme="minorEastAsia"/>
          <w:b/>
          <w:bCs/>
          <w:color w:val="000000" w:themeColor="text1"/>
          <w:kern w:val="0"/>
          <w:sz w:val="24"/>
          <w14:textFill>
            <w14:solidFill>
              <w14:schemeClr w14:val="tx1"/>
            </w14:solidFill>
          </w14:textFill>
        </w:rPr>
      </w:pPr>
      <w:r>
        <w:rPr>
          <w:rStyle w:val="21"/>
          <w:rFonts w:hint="eastAsia" w:ascii="宋体" w:hAnsi="宋体" w:cs="宋体" w:eastAsiaTheme="minorEastAsia"/>
          <w:b/>
          <w:bCs/>
          <w:color w:val="000000" w:themeColor="text1"/>
          <w:kern w:val="0"/>
          <w:sz w:val="24"/>
          <w14:textFill>
            <w14:solidFill>
              <w14:schemeClr w14:val="tx1"/>
            </w14:solidFill>
          </w14:textFill>
        </w:rPr>
        <w:t>六、</w:t>
      </w:r>
      <w:r>
        <w:rPr>
          <w:rStyle w:val="21"/>
          <w:rFonts w:hint="eastAsia" w:ascii="宋体" w:hAnsi="宋体" w:cs="宋体" w:eastAsiaTheme="minorEastAsia"/>
          <w:b/>
          <w:bCs/>
          <w:color w:val="000000" w:themeColor="text1"/>
          <w:kern w:val="0"/>
          <w:sz w:val="24"/>
          <w:lang w:val="en-US" w:eastAsia="zh-CN"/>
          <w14:textFill>
            <w14:solidFill>
              <w14:schemeClr w14:val="tx1"/>
            </w14:solidFill>
          </w14:textFill>
        </w:rPr>
        <w:t>投标</w:t>
      </w:r>
      <w:r>
        <w:rPr>
          <w:rStyle w:val="21"/>
          <w:rFonts w:hint="eastAsia" w:ascii="宋体" w:hAnsi="宋体" w:cs="宋体" w:eastAsiaTheme="minorEastAsia"/>
          <w:b/>
          <w:bCs/>
          <w:color w:val="000000" w:themeColor="text1"/>
          <w:kern w:val="0"/>
          <w:sz w:val="24"/>
          <w14:textFill>
            <w14:solidFill>
              <w14:schemeClr w14:val="tx1"/>
            </w14:solidFill>
          </w14:textFill>
        </w:rPr>
        <w:t>保证金及履约保证金</w:t>
      </w:r>
    </w:p>
    <w:p w14:paraId="106599A4">
      <w:pPr>
        <w:spacing w:before="79" w:beforeLines="25" w:after="79" w:afterLines="25" w:line="420" w:lineRule="exact"/>
        <w:ind w:firstLine="480" w:firstLineChars="200"/>
        <w:rPr>
          <w:rFonts w:hint="eastAsia" w:ascii="宋体" w:hAnsi="宋体" w:eastAsia="宋体" w:cs="宋体"/>
          <w:color w:val="auto"/>
          <w:sz w:val="24"/>
          <w:szCs w:val="24"/>
          <w:highlight w:val="none"/>
          <w:lang w:eastAsia="zh-CN"/>
        </w:rPr>
      </w:pPr>
      <w:bookmarkStart w:id="9" w:name="_Toc35393795"/>
      <w:bookmarkStart w:id="10" w:name="_Toc3539362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本项目投标保证金</w:t>
      </w:r>
      <w:r>
        <w:rPr>
          <w:rFonts w:hint="eastAsia" w:ascii="宋体" w:hAnsi="宋体" w:eastAsia="宋体" w:cs="宋体"/>
          <w:color w:val="auto"/>
          <w:sz w:val="24"/>
          <w:szCs w:val="24"/>
          <w:highlight w:val="none"/>
          <w:lang w:val="en-US" w:eastAsia="zh-CN"/>
        </w:rPr>
        <w:t>为人民币柒万元整</w:t>
      </w:r>
      <w:r>
        <w:rPr>
          <w:rFonts w:hint="eastAsia" w:ascii="宋体" w:hAnsi="宋体" w:eastAsia="宋体" w:cs="宋体"/>
          <w:color w:val="auto"/>
          <w:sz w:val="24"/>
          <w:szCs w:val="24"/>
          <w:highlight w:val="none"/>
          <w:lang w:eastAsia="zh-CN"/>
        </w:rPr>
        <w:t>。</w:t>
      </w:r>
    </w:p>
    <w:p w14:paraId="6546D81E">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投标保证金形式：现金、银行保函、担保机构的保函、保险机构的保单等交易担保方式。</w:t>
      </w:r>
      <w:r>
        <w:rPr>
          <w:rFonts w:hint="eastAsia" w:ascii="宋体" w:hAnsi="宋体" w:eastAsia="宋体" w:cs="宋体"/>
          <w:color w:val="auto"/>
          <w:sz w:val="24"/>
          <w:szCs w:val="24"/>
          <w:highlight w:val="none"/>
          <w:lang w:val="en-US" w:eastAsia="zh-CN"/>
        </w:rPr>
        <w:t>投标人根据本招标文件约定结合企业实际情况合理选择投标保证金的缴纳形式，不同缴纳形式具有同等法律效力。</w:t>
      </w:r>
    </w:p>
    <w:p w14:paraId="30BA9708">
      <w:pPr>
        <w:spacing w:before="79" w:beforeLines="25" w:after="79" w:afterLines="25"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1.2现金缴纳方式：</w:t>
      </w:r>
      <w:r>
        <w:rPr>
          <w:rFonts w:hint="eastAsia" w:ascii="宋体" w:hAnsi="宋体" w:eastAsia="宋体" w:cs="宋体"/>
          <w:color w:val="auto"/>
          <w:sz w:val="24"/>
          <w:szCs w:val="24"/>
          <w:highlight w:val="none"/>
          <w:lang w:eastAsia="zh-CN"/>
        </w:rPr>
        <w:t>以现金形式递交的，务必请供应商转汇投标保证金时注明本项目名称，</w:t>
      </w:r>
      <w:r>
        <w:rPr>
          <w:rFonts w:hint="eastAsia" w:ascii="宋体" w:hAnsi="宋体" w:eastAsia="宋体" w:cs="宋体"/>
          <w:color w:val="auto"/>
          <w:sz w:val="24"/>
          <w:szCs w:val="24"/>
          <w:highlight w:val="none"/>
          <w:lang w:val="en-US" w:eastAsia="zh-CN"/>
        </w:rPr>
        <w:t>同时将转账截图上传至“投标保证金缴纳证明材料”章节中。否则将一律视为无效，不予接受投标</w:t>
      </w:r>
      <w:r>
        <w:rPr>
          <w:rFonts w:hint="eastAsia" w:ascii="宋体" w:hAnsi="宋体" w:eastAsia="宋体" w:cs="宋体"/>
          <w:color w:val="auto"/>
          <w:sz w:val="24"/>
          <w:szCs w:val="24"/>
          <w:highlight w:val="none"/>
          <w:lang w:eastAsia="zh-CN"/>
        </w:rPr>
        <w:t>。</w:t>
      </w:r>
    </w:p>
    <w:p w14:paraId="595907DE">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lang w:eastAsia="zh-CN"/>
        </w:rPr>
        <w:t>供应商必须从其基本户转出，并确保在投标文件递交截止时间前到达（以实际到账时间为准），将保证金从供应商本单位的账户上直接转（汇）至采购人指定账户（</w:t>
      </w: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szCs w:val="24"/>
          <w:highlight w:val="none"/>
          <w:lang w:eastAsia="zh-CN"/>
        </w:rPr>
        <w:t>名称：响水县兴港物业管理有限公司</w:t>
      </w:r>
      <w:r>
        <w:rPr>
          <w:rFonts w:hint="eastAsia" w:ascii="宋体" w:hAnsi="宋体" w:eastAsia="宋体" w:cs="宋体"/>
          <w:b/>
          <w:bCs/>
          <w:color w:val="auto"/>
          <w:sz w:val="24"/>
          <w:szCs w:val="24"/>
          <w:highlight w:val="none"/>
          <w:lang w:val="en-US" w:eastAsia="zh-CN"/>
        </w:rPr>
        <w:t xml:space="preserve"> 开户</w:t>
      </w:r>
      <w:r>
        <w:rPr>
          <w:rFonts w:hint="eastAsia" w:ascii="宋体" w:hAnsi="宋体" w:eastAsia="宋体" w:cs="宋体"/>
          <w:b/>
          <w:bCs/>
          <w:color w:val="auto"/>
          <w:sz w:val="24"/>
          <w:szCs w:val="24"/>
          <w:highlight w:val="none"/>
          <w:lang w:eastAsia="zh-CN"/>
        </w:rPr>
        <w:t>银行：</w:t>
      </w:r>
      <w:r>
        <w:rPr>
          <w:rFonts w:hint="eastAsia" w:ascii="宋体" w:hAnsi="宋体" w:eastAsia="宋体" w:cs="宋体"/>
          <w:b/>
          <w:bCs/>
          <w:color w:val="auto"/>
          <w:sz w:val="24"/>
          <w:szCs w:val="24"/>
          <w:highlight w:val="none"/>
          <w:lang w:val="en-US" w:eastAsia="zh-CN"/>
        </w:rPr>
        <w:t xml:space="preserve">江苏银行响水支行 </w:t>
      </w:r>
      <w:r>
        <w:rPr>
          <w:rFonts w:hint="eastAsia" w:ascii="宋体" w:hAnsi="宋体" w:eastAsia="宋体" w:cs="宋体"/>
          <w:b/>
          <w:bCs/>
          <w:color w:val="auto"/>
          <w:sz w:val="24"/>
          <w:szCs w:val="24"/>
          <w:highlight w:val="none"/>
          <w:lang w:eastAsia="zh-CN"/>
        </w:rPr>
        <w:t>账号：</w:t>
      </w:r>
      <w:r>
        <w:rPr>
          <w:rFonts w:hint="eastAsia" w:ascii="宋体" w:hAnsi="宋体" w:cs="宋体"/>
          <w:b/>
          <w:bCs/>
          <w:color w:val="000000"/>
          <w:sz w:val="24"/>
          <w:szCs w:val="24"/>
          <w:highlight w:val="none"/>
          <w:lang w:val="en-US" w:eastAsia="zh-CN"/>
        </w:rPr>
        <w:t>1243</w:t>
      </w:r>
      <w:r>
        <w:rPr>
          <w:rFonts w:hint="eastAsia" w:ascii="宋体" w:hAnsi="宋体" w:cs="宋体"/>
          <w:b/>
          <w:bCs/>
          <w:color w:val="000000"/>
          <w:sz w:val="24"/>
          <w:szCs w:val="24"/>
          <w:lang w:val="en-US" w:eastAsia="zh-CN"/>
        </w:rPr>
        <w:t>0188000177882</w:t>
      </w:r>
      <w:r>
        <w:rPr>
          <w:rFonts w:hint="eastAsia" w:ascii="宋体" w:hAnsi="宋体" w:eastAsia="宋体" w:cs="宋体"/>
          <w:color w:val="auto"/>
          <w:sz w:val="24"/>
          <w:szCs w:val="24"/>
          <w:highlight w:val="none"/>
          <w:lang w:val="en-US" w:eastAsia="zh-CN"/>
        </w:rPr>
        <w:t>）。</w:t>
      </w:r>
    </w:p>
    <w:p w14:paraId="482F7550">
      <w:pPr>
        <w:spacing w:before="79" w:beforeLines="25" w:after="79" w:afterLines="25" w:line="420" w:lineRule="exact"/>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1.3银行保函：投标人必须在投标文件递交截止时间前取得本单位基本账户开户行出具的保函（纸质或者电子件）；需将出具的保函材料</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基本户缴费的回执原件彩色扫描件上传至“投标保证金缴纳证明材料”章节中。否则将一律视为无效，不予接受投标。</w:t>
      </w:r>
    </w:p>
    <w:p w14:paraId="3D8A021B">
      <w:pPr>
        <w:spacing w:before="79" w:beforeLines="25" w:after="79" w:afterLines="25" w:line="420" w:lineRule="exact"/>
        <w:ind w:firstLine="480" w:firstLineChars="200"/>
        <w:rPr>
          <w:rFonts w:hint="eastAsia" w:ascii="宋体" w:hAnsi="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1.4采购人接受担保机构的保函、保险机构的保单等非现金交易担保缴纳方式的，费用应从基本账户缴纳，投标人投标时同时需将出具的保函（保单）、基本户缴费的回执</w:t>
      </w:r>
      <w:r>
        <w:rPr>
          <w:rFonts w:hint="eastAsia" w:ascii="宋体" w:hAnsi="宋体" w:cs="宋体"/>
          <w:color w:val="FF0000"/>
          <w:sz w:val="24"/>
          <w:szCs w:val="24"/>
          <w:highlight w:val="none"/>
          <w:lang w:val="en-US" w:eastAsia="zh-CN"/>
        </w:rPr>
        <w:t>原件彩色扫描件</w:t>
      </w:r>
      <w:r>
        <w:rPr>
          <w:rFonts w:hint="eastAsia" w:ascii="宋体" w:hAnsi="宋体" w:eastAsia="宋体" w:cs="宋体"/>
          <w:color w:val="FF0000"/>
          <w:sz w:val="24"/>
          <w:szCs w:val="24"/>
          <w:highlight w:val="none"/>
          <w:lang w:val="en-US" w:eastAsia="zh-CN"/>
        </w:rPr>
        <w:t>上传至标书“投标保证金缴纳证明材料”章节中</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否则将一律视为无效，不予接受投标。</w:t>
      </w:r>
    </w:p>
    <w:p w14:paraId="4743F250">
      <w:pPr>
        <w:spacing w:before="79" w:beforeLines="25" w:after="79" w:afterLines="25" w:line="420" w:lineRule="exact"/>
        <w:ind w:firstLine="482" w:firstLineChars="200"/>
        <w:rPr>
          <w:rFonts w:hint="default" w:ascii="宋体" w:hAnsi="宋体" w:eastAsia="宋体" w:cs="宋体"/>
          <w:b/>
          <w:bCs/>
          <w:color w:val="FF0000"/>
          <w:sz w:val="24"/>
          <w:szCs w:val="24"/>
          <w:highlight w:val="none"/>
          <w:lang w:val="en-US" w:eastAsia="zh-CN"/>
        </w:rPr>
      </w:pPr>
      <w:r>
        <w:rPr>
          <w:rFonts w:hint="eastAsia" w:ascii="宋体" w:hAnsi="宋体" w:cs="宋体"/>
          <w:b/>
          <w:bCs/>
          <w:color w:val="FF0000"/>
          <w:sz w:val="24"/>
          <w:szCs w:val="24"/>
          <w:highlight w:val="none"/>
          <w:lang w:val="en-US" w:eastAsia="zh-CN"/>
        </w:rPr>
        <w:t>1.5投标人采用银行保函、</w:t>
      </w:r>
      <w:r>
        <w:rPr>
          <w:rFonts w:hint="eastAsia" w:ascii="宋体" w:hAnsi="宋体" w:eastAsia="宋体" w:cs="宋体"/>
          <w:b/>
          <w:bCs/>
          <w:color w:val="FF0000"/>
          <w:sz w:val="24"/>
          <w:szCs w:val="24"/>
          <w:highlight w:val="none"/>
          <w:lang w:val="en-US" w:eastAsia="zh-CN"/>
        </w:rPr>
        <w:t>担保机构的保函、保险机构的保单等非现金交易担保缴纳方式的</w:t>
      </w:r>
      <w:r>
        <w:rPr>
          <w:rFonts w:hint="eastAsia" w:ascii="宋体" w:hAnsi="宋体" w:cs="宋体"/>
          <w:b/>
          <w:bCs/>
          <w:color w:val="FF0000"/>
          <w:sz w:val="24"/>
          <w:szCs w:val="24"/>
          <w:highlight w:val="none"/>
          <w:lang w:val="en-US" w:eastAsia="zh-CN"/>
        </w:rPr>
        <w:t>需将出具的保函（保单）、</w:t>
      </w:r>
      <w:r>
        <w:rPr>
          <w:rFonts w:hint="eastAsia" w:ascii="宋体" w:hAnsi="宋体" w:eastAsia="宋体" w:cs="宋体"/>
          <w:b/>
          <w:bCs/>
          <w:color w:val="FF0000"/>
          <w:sz w:val="24"/>
          <w:szCs w:val="24"/>
          <w:highlight w:val="none"/>
          <w:lang w:val="en-US" w:eastAsia="zh-CN"/>
        </w:rPr>
        <w:t>基本户缴费的回执</w:t>
      </w:r>
      <w:r>
        <w:rPr>
          <w:rFonts w:hint="eastAsia" w:ascii="宋体" w:hAnsi="宋体" w:cs="宋体"/>
          <w:b/>
          <w:bCs/>
          <w:color w:val="FF0000"/>
          <w:sz w:val="24"/>
          <w:szCs w:val="24"/>
          <w:highlight w:val="none"/>
          <w:lang w:val="en-US" w:eastAsia="zh-CN"/>
        </w:rPr>
        <w:t>原件彩色扫描件在开标截止时间前单独发送至</w:t>
      </w:r>
      <w:r>
        <w:rPr>
          <w:rStyle w:val="21"/>
          <w:rFonts w:hint="eastAsia" w:ascii="宋体" w:hAnsi="宋体" w:cs="宋体"/>
          <w:b/>
          <w:bCs/>
          <w:color w:val="FF0000"/>
          <w:kern w:val="0"/>
          <w:sz w:val="24"/>
        </w:rPr>
        <w:t>至采购人指定邮箱：</w:t>
      </w:r>
      <w:r>
        <w:rPr>
          <w:rStyle w:val="21"/>
          <w:rFonts w:hint="eastAsia" w:ascii="宋体" w:hAnsi="宋体" w:cs="宋体"/>
          <w:b/>
          <w:bCs/>
          <w:color w:val="FF0000"/>
          <w:kern w:val="0"/>
          <w:sz w:val="24"/>
          <w:u w:val="none"/>
          <w:lang w:val="en-US" w:eastAsia="zh-CN"/>
        </w:rPr>
        <w:t>412392515</w:t>
      </w:r>
      <w:r>
        <w:rPr>
          <w:rStyle w:val="21"/>
          <w:rFonts w:hint="eastAsia" w:ascii="宋体" w:hAnsi="宋体" w:cs="宋体"/>
          <w:b/>
          <w:bCs/>
          <w:color w:val="FF0000"/>
          <w:kern w:val="0"/>
          <w:sz w:val="24"/>
          <w:u w:val="none"/>
        </w:rPr>
        <w:t>@qq.com；</w:t>
      </w:r>
      <w:r>
        <w:rPr>
          <w:rStyle w:val="21"/>
          <w:rFonts w:hint="eastAsia" w:ascii="宋体" w:hAnsi="宋体" w:cs="宋体"/>
          <w:b/>
          <w:bCs/>
          <w:color w:val="FF0000"/>
          <w:kern w:val="0"/>
          <w:sz w:val="24"/>
          <w:u w:val="none"/>
          <w:lang w:eastAsia="zh-CN"/>
        </w:rPr>
        <w:t>，</w:t>
      </w:r>
      <w:r>
        <w:rPr>
          <w:rStyle w:val="21"/>
          <w:rFonts w:hint="eastAsia" w:ascii="宋体" w:hAnsi="宋体" w:cs="宋体"/>
          <w:b/>
          <w:bCs/>
          <w:color w:val="FF0000"/>
          <w:kern w:val="0"/>
          <w:sz w:val="24"/>
          <w:u w:val="none"/>
          <w:lang w:val="en-US" w:eastAsia="zh-CN"/>
        </w:rPr>
        <w:t>否则不予接受投标。</w:t>
      </w:r>
    </w:p>
    <w:p w14:paraId="374C05BE">
      <w:pPr>
        <w:spacing w:before="79" w:beforeLines="25" w:after="79" w:afterLines="25"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投标人未按招标文件要求提供投标保证金的，不予接受投标。</w:t>
      </w:r>
    </w:p>
    <w:p w14:paraId="60DD459C">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2、投标保证金退还</w:t>
      </w:r>
    </w:p>
    <w:p w14:paraId="2BF34892">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投标保证金退还时间：以现金形式缴纳的保证金，退还投标保证金至投标人的法人基本存款账户。具体退还时间为：中标结果公告异议期结束后3个工作日内，退还未中标的投标人的投标保证金；合同签订后3个工作日内，经采购人同意，退还中标人的投标保证金。</w:t>
      </w:r>
    </w:p>
    <w:p w14:paraId="7B10153C">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2.2以电子保函（保单）、银行保函形式缴纳的保证金按相关协议执行，无需办理退款手续。</w:t>
      </w:r>
    </w:p>
    <w:p w14:paraId="69C58216">
      <w:pPr>
        <w:spacing w:before="79" w:beforeLines="25" w:after="79" w:afterLines="25"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3、履约保证金为中标价的5%</w:t>
      </w:r>
      <w:r>
        <w:rPr>
          <w:rFonts w:hint="eastAsia" w:ascii="宋体" w:hAnsi="宋体" w:eastAsia="宋体" w:cs="宋体"/>
          <w:color w:val="auto"/>
          <w:sz w:val="24"/>
          <w:szCs w:val="24"/>
          <w:highlight w:val="none"/>
        </w:rPr>
        <w:t>。履约保证金缴纳方式：现金、履约担保或者</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基本账户开户行出具的保函、保险公司保险单，具体形式由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自主选择。</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在收到中标通知书后，须在7日内向采购人足额提交履约保证金，否则采购人可以取消其中标资格。</w:t>
      </w:r>
    </w:p>
    <w:p w14:paraId="0A956A66">
      <w:pPr>
        <w:spacing w:before="79" w:beforeLines="25" w:after="79" w:afterLines="25"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采购人接受</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从基本账户缴纳的现金或银行保函中任何一种形式的履约保证金。具体形式由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自主选择。</w:t>
      </w:r>
    </w:p>
    <w:p w14:paraId="6BF064BF">
      <w:pPr>
        <w:spacing w:before="79" w:beforeLines="25" w:after="79" w:afterLines="25" w:line="4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本项目接受</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提供的从基本账户缴纳的担保机构保函、保险机构保单等交易担保方式。如采用电汇或转账方式缴纳的，须从</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本单位的基本账户上直接转(汇)至采购人指定账户</w:t>
      </w:r>
      <w:r>
        <w:rPr>
          <w:rFonts w:hint="eastAsia" w:ascii="宋体" w:hAnsi="宋体" w:eastAsia="宋体" w:cs="宋体"/>
          <w:color w:val="auto"/>
          <w:sz w:val="24"/>
          <w:szCs w:val="24"/>
          <w:highlight w:val="none"/>
          <w:lang w:eastAsia="zh-CN"/>
        </w:rPr>
        <w:t>：</w:t>
      </w:r>
    </w:p>
    <w:p w14:paraId="69601A87">
      <w:pPr>
        <w:spacing w:before="79" w:beforeLines="25" w:after="79" w:afterLines="25" w:line="42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单位</w:t>
      </w:r>
      <w:r>
        <w:rPr>
          <w:rFonts w:hint="eastAsia" w:ascii="宋体" w:hAnsi="宋体" w:eastAsia="宋体" w:cs="宋体"/>
          <w:b/>
          <w:bCs/>
          <w:color w:val="auto"/>
          <w:sz w:val="24"/>
          <w:szCs w:val="24"/>
          <w:highlight w:val="none"/>
          <w:lang w:eastAsia="zh-CN"/>
        </w:rPr>
        <w:t>名称：响水县兴港物业管理有限公司</w:t>
      </w:r>
    </w:p>
    <w:p w14:paraId="0663281B">
      <w:pPr>
        <w:spacing w:before="79" w:beforeLines="25" w:after="79" w:afterLines="25" w:line="42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开户</w:t>
      </w:r>
      <w:r>
        <w:rPr>
          <w:rFonts w:hint="eastAsia" w:ascii="宋体" w:hAnsi="宋体" w:eastAsia="宋体" w:cs="宋体"/>
          <w:b/>
          <w:bCs/>
          <w:color w:val="auto"/>
          <w:sz w:val="24"/>
          <w:szCs w:val="24"/>
          <w:highlight w:val="none"/>
          <w:lang w:eastAsia="zh-CN"/>
        </w:rPr>
        <w:t>银行：</w:t>
      </w:r>
      <w:r>
        <w:rPr>
          <w:rFonts w:hint="eastAsia" w:ascii="宋体" w:hAnsi="宋体" w:eastAsia="宋体" w:cs="宋体"/>
          <w:b/>
          <w:bCs/>
          <w:color w:val="auto"/>
          <w:sz w:val="24"/>
          <w:szCs w:val="24"/>
          <w:highlight w:val="none"/>
          <w:lang w:val="en-US" w:eastAsia="zh-CN"/>
        </w:rPr>
        <w:t>江苏银行响水支行</w:t>
      </w:r>
    </w:p>
    <w:p w14:paraId="5669005B">
      <w:pPr>
        <w:spacing w:before="79" w:beforeLines="25" w:after="79" w:afterLines="25" w:line="42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账号：</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000000"/>
          <w:sz w:val="24"/>
          <w:szCs w:val="24"/>
          <w:highlight w:val="none"/>
          <w:lang w:val="en-US" w:eastAsia="zh-CN"/>
        </w:rPr>
        <w:t>12430188000177882</w:t>
      </w:r>
    </w:p>
    <w:p w14:paraId="548D1F93">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 履约保证金在合同履约完毕后一次性退还（无息）。如果未能按合同、招标投标文件履约的，中止合同，履约保证金不予退还。</w:t>
      </w:r>
    </w:p>
    <w:p w14:paraId="4EDB392F">
      <w:pPr>
        <w:snapToGrid w:val="0"/>
        <w:spacing w:line="480" w:lineRule="exact"/>
        <w:ind w:firstLine="482" w:firstLineChars="200"/>
        <w:rPr>
          <w:rStyle w:val="21"/>
          <w:rFonts w:ascii="宋体" w:hAnsi="宋体" w:cs="宋体" w:eastAsiaTheme="minorEastAsia"/>
          <w:b/>
          <w:bCs/>
          <w:color w:val="000000" w:themeColor="text1"/>
          <w:kern w:val="0"/>
          <w:sz w:val="24"/>
          <w14:textFill>
            <w14:solidFill>
              <w14:schemeClr w14:val="tx1"/>
            </w14:solidFill>
          </w14:textFill>
        </w:rPr>
      </w:pPr>
      <w:r>
        <w:rPr>
          <w:rStyle w:val="21"/>
          <w:rFonts w:hint="eastAsia" w:ascii="宋体" w:hAnsi="宋体" w:cs="宋体" w:eastAsiaTheme="minorEastAsia"/>
          <w:b/>
          <w:bCs/>
          <w:color w:val="000000" w:themeColor="text1"/>
          <w:kern w:val="0"/>
          <w:sz w:val="24"/>
          <w14:textFill>
            <w14:solidFill>
              <w14:schemeClr w14:val="tx1"/>
            </w14:solidFill>
          </w14:textFill>
        </w:rPr>
        <w:t>七、其他补充事宜</w:t>
      </w:r>
      <w:bookmarkEnd w:id="9"/>
      <w:bookmarkEnd w:id="10"/>
    </w:p>
    <w:p w14:paraId="73DB9249">
      <w:pPr>
        <w:snapToGrid w:val="0"/>
        <w:spacing w:line="480" w:lineRule="exact"/>
        <w:ind w:firstLine="480" w:firstLineChars="200"/>
        <w:rPr>
          <w:rStyle w:val="21"/>
          <w:rFonts w:ascii="宋体" w:hAnsi="宋体" w:cs="宋体" w:eastAsiaTheme="minorEastAsia"/>
          <w:color w:val="000000" w:themeColor="text1"/>
          <w:kern w:val="0"/>
          <w:sz w:val="24"/>
          <w14:textFill>
            <w14:solidFill>
              <w14:schemeClr w14:val="tx1"/>
            </w14:solidFill>
          </w14:textFill>
        </w:rPr>
      </w:pPr>
      <w:r>
        <w:rPr>
          <w:rStyle w:val="21"/>
          <w:rFonts w:hint="eastAsia" w:ascii="宋体" w:hAnsi="宋体" w:cs="宋体" w:eastAsiaTheme="minorEastAsia"/>
          <w:color w:val="000000" w:themeColor="text1"/>
          <w:kern w:val="0"/>
          <w:sz w:val="24"/>
          <w:lang w:val="en-US" w:eastAsia="zh-CN"/>
          <w14:textFill>
            <w14:solidFill>
              <w14:schemeClr w14:val="tx1"/>
            </w14:solidFill>
          </w14:textFill>
        </w:rPr>
        <w:t>1</w:t>
      </w:r>
      <w:r>
        <w:rPr>
          <w:rStyle w:val="21"/>
          <w:rFonts w:hint="eastAsia" w:ascii="宋体" w:hAnsi="宋体" w:cs="宋体" w:eastAsiaTheme="minorEastAsia"/>
          <w:color w:val="000000" w:themeColor="text1"/>
          <w:kern w:val="0"/>
          <w:sz w:val="24"/>
          <w14:textFill>
            <w14:solidFill>
              <w14:schemeClr w14:val="tx1"/>
            </w14:solidFill>
          </w14:textFill>
        </w:rPr>
        <w:t>、根据《国务院办公厅转发国家发展改革委关于深化公共资源交易平台整合共享指导意见的通知》（国办函〔2019〕41号）等文件精神，全面逐步推行不见面投标开标等招投标活动。本项目开标方式为不见面开标，开标当日，投标人无需到达开标现场，仅需在任意地点通过PC端或移动端的“腾讯会议”及相应的配套硬件设备参加开标会议。如因视频设备问题造成无法核实身份的，作无效标处理，参加开标会议的方法详见招标文件。</w:t>
      </w:r>
    </w:p>
    <w:p w14:paraId="374FC139">
      <w:pPr>
        <w:snapToGrid w:val="0"/>
        <w:spacing w:line="480" w:lineRule="exact"/>
        <w:ind w:firstLine="480" w:firstLineChars="200"/>
        <w:rPr>
          <w:rStyle w:val="21"/>
          <w:rFonts w:ascii="宋体" w:hAnsi="宋体" w:cs="宋体" w:eastAsiaTheme="minorEastAsia"/>
          <w:color w:val="000000" w:themeColor="text1"/>
          <w:kern w:val="0"/>
          <w:sz w:val="24"/>
          <w14:textFill>
            <w14:solidFill>
              <w14:schemeClr w14:val="tx1"/>
            </w14:solidFill>
          </w14:textFill>
        </w:rPr>
      </w:pPr>
      <w:r>
        <w:rPr>
          <w:rStyle w:val="21"/>
          <w:rFonts w:hint="eastAsia" w:ascii="宋体" w:hAnsi="宋体" w:cs="宋体" w:eastAsiaTheme="minorEastAsia"/>
          <w:color w:val="000000" w:themeColor="text1"/>
          <w:kern w:val="0"/>
          <w:sz w:val="24"/>
          <w:lang w:val="en-US" w:eastAsia="zh-CN"/>
          <w14:textFill>
            <w14:solidFill>
              <w14:schemeClr w14:val="tx1"/>
            </w14:solidFill>
          </w14:textFill>
        </w:rPr>
        <w:t>2</w:t>
      </w:r>
      <w:r>
        <w:rPr>
          <w:rStyle w:val="21"/>
          <w:rFonts w:hint="eastAsia" w:ascii="宋体" w:hAnsi="宋体" w:cs="宋体" w:eastAsiaTheme="minorEastAsia"/>
          <w:color w:val="000000" w:themeColor="text1"/>
          <w:kern w:val="0"/>
          <w:sz w:val="24"/>
          <w14:textFill>
            <w14:solidFill>
              <w14:schemeClr w14:val="tx1"/>
            </w14:solidFill>
          </w14:textFill>
        </w:rPr>
        <w:t>、各投标人在投标截止时间前应当每天都在响水县人民政府网上查询，以便获取更新的澄清、修改、补充内容。凡涉及到该项目的补充说明和修改，均以响水人民政府网上的更正或补充通知为准。</w:t>
      </w:r>
    </w:p>
    <w:p w14:paraId="2ECA9F1F">
      <w:pPr>
        <w:snapToGrid w:val="0"/>
        <w:spacing w:line="480" w:lineRule="exact"/>
        <w:ind w:firstLine="480" w:firstLineChars="200"/>
        <w:rPr>
          <w:rStyle w:val="21"/>
          <w:rFonts w:ascii="宋体" w:hAnsi="宋体" w:cs="宋体" w:eastAsiaTheme="minorEastAsia"/>
          <w:b/>
          <w:bCs/>
          <w:color w:val="000000" w:themeColor="text1"/>
          <w:kern w:val="0"/>
          <w:sz w:val="24"/>
          <w14:textFill>
            <w14:solidFill>
              <w14:schemeClr w14:val="tx1"/>
            </w14:solidFill>
          </w14:textFill>
        </w:rPr>
      </w:pPr>
      <w:r>
        <w:rPr>
          <w:rStyle w:val="21"/>
          <w:rFonts w:hint="eastAsia" w:ascii="宋体" w:hAnsi="宋体" w:cs="宋体" w:eastAsiaTheme="minorEastAsia"/>
          <w:color w:val="000000" w:themeColor="text1"/>
          <w:kern w:val="0"/>
          <w:sz w:val="24"/>
          <w:lang w:val="en-US" w:eastAsia="zh-CN"/>
          <w14:textFill>
            <w14:solidFill>
              <w14:schemeClr w14:val="tx1"/>
            </w14:solidFill>
          </w14:textFill>
        </w:rPr>
        <w:t>3</w:t>
      </w:r>
      <w:r>
        <w:rPr>
          <w:rStyle w:val="21"/>
          <w:rFonts w:hint="eastAsia" w:ascii="宋体" w:hAnsi="宋体" w:cs="宋体" w:eastAsiaTheme="minorEastAsia"/>
          <w:color w:val="000000" w:themeColor="text1"/>
          <w:kern w:val="0"/>
          <w:sz w:val="24"/>
          <w14:textFill>
            <w14:solidFill>
              <w14:schemeClr w14:val="tx1"/>
            </w14:solidFill>
          </w14:textFill>
        </w:rPr>
        <w:t>、本项目为不见面交易项目，投标人通过“腾讯视频会议”直播APP加入会议。</w:t>
      </w:r>
      <w:bookmarkStart w:id="11" w:name="_Toc35393627"/>
      <w:bookmarkStart w:id="12" w:name="_Toc35393796"/>
      <w:bookmarkStart w:id="13" w:name="_Toc28359085"/>
      <w:bookmarkStart w:id="14" w:name="_Toc28359008"/>
    </w:p>
    <w:p w14:paraId="090ABCE8">
      <w:pPr>
        <w:snapToGrid w:val="0"/>
        <w:spacing w:line="480" w:lineRule="exact"/>
        <w:ind w:firstLine="482" w:firstLineChars="200"/>
        <w:rPr>
          <w:rStyle w:val="21"/>
          <w:rFonts w:ascii="宋体" w:hAnsi="宋体" w:cs="宋体" w:eastAsiaTheme="minorEastAsia"/>
          <w:color w:val="000000" w:themeColor="text1"/>
          <w:kern w:val="0"/>
          <w:sz w:val="24"/>
          <w14:textFill>
            <w14:solidFill>
              <w14:schemeClr w14:val="tx1"/>
            </w14:solidFill>
          </w14:textFill>
        </w:rPr>
      </w:pPr>
      <w:r>
        <w:rPr>
          <w:rStyle w:val="21"/>
          <w:rFonts w:hint="eastAsia" w:ascii="宋体" w:hAnsi="宋体" w:cs="宋体" w:eastAsiaTheme="minorEastAsia"/>
          <w:b/>
          <w:bCs/>
          <w:color w:val="000000" w:themeColor="text1"/>
          <w:kern w:val="0"/>
          <w:sz w:val="24"/>
          <w14:textFill>
            <w14:solidFill>
              <w14:schemeClr w14:val="tx1"/>
            </w14:solidFill>
          </w14:textFill>
        </w:rPr>
        <w:t>八、对本次招标提出询问，请按以下方式联系。</w:t>
      </w:r>
      <w:bookmarkEnd w:id="11"/>
      <w:bookmarkEnd w:id="12"/>
      <w:bookmarkEnd w:id="13"/>
      <w:bookmarkEnd w:id="14"/>
    </w:p>
    <w:p w14:paraId="42E01B7D">
      <w:pPr>
        <w:keepNext w:val="0"/>
        <w:keepLines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1.采购人：响水县兴港物业管理有限公司</w:t>
      </w:r>
    </w:p>
    <w:p w14:paraId="7A6DBF2C">
      <w:pPr>
        <w:keepNext w:val="0"/>
        <w:keepLines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4"/>
          <w:szCs w:val="24"/>
          <w:highlight w:val="none"/>
          <w:lang w:val="en-US" w:eastAsia="zh-CN" w:bidi="ar-SA"/>
        </w:rPr>
        <w:t>地址：响水县新港大道与兴海路交叉口东南</w:t>
      </w:r>
    </w:p>
    <w:p w14:paraId="75880F2A">
      <w:pPr>
        <w:keepNext w:val="0"/>
        <w:keepLines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联系人：徐永亮            </w:t>
      </w:r>
    </w:p>
    <w:p w14:paraId="6A43E9B2">
      <w:pPr>
        <w:keepNext w:val="0"/>
        <w:keepLines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联系电话：0515-69052025</w:t>
      </w:r>
    </w:p>
    <w:p w14:paraId="1BC043AB">
      <w:pPr>
        <w:keepNext w:val="0"/>
        <w:keepLines w:val="0"/>
        <w:widowControl w:val="0"/>
        <w:numPr>
          <w:ilvl w:val="0"/>
          <w:numId w:val="1"/>
        </w:numPr>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采购代理机构：江苏中辉工程咨询管理有限公司  </w:t>
      </w:r>
    </w:p>
    <w:p w14:paraId="2D60F8F4">
      <w:pPr>
        <w:keepNext w:val="0"/>
        <w:keepLines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lang w:val="en-US" w:eastAsia="zh-CN" w:bidi="ar-SA"/>
        </w:rPr>
        <w:t>地址：</w:t>
      </w:r>
      <w:r>
        <w:rPr>
          <w:rFonts w:hint="eastAsia" w:ascii="宋体" w:hAnsi="宋体" w:eastAsia="宋体" w:cs="宋体"/>
          <w:color w:val="auto"/>
          <w:kern w:val="2"/>
          <w:sz w:val="24"/>
          <w:szCs w:val="24"/>
          <w:highlight w:val="none"/>
          <w:u w:val="none"/>
          <w:lang w:val="en-US" w:eastAsia="zh-CN" w:bidi="ar-SA"/>
        </w:rPr>
        <w:t>淮安经济技术开发区中径路68号50幢50-5室</w:t>
      </w:r>
    </w:p>
    <w:p w14:paraId="290BC8A3">
      <w:pPr>
        <w:keepNext w:val="0"/>
        <w:keepLines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联系人：王女士      </w:t>
      </w:r>
    </w:p>
    <w:p w14:paraId="40FFDB2A">
      <w:pPr>
        <w:keepNext w:val="0"/>
        <w:keepLines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联系电话：18082179730 </w:t>
      </w:r>
    </w:p>
    <w:p w14:paraId="67C46820">
      <w:pPr>
        <w:keepNext w:val="0"/>
        <w:keepLines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3.项目联系方式</w:t>
      </w:r>
    </w:p>
    <w:p w14:paraId="087E2A39">
      <w:pPr>
        <w:keepNext w:val="0"/>
        <w:keepLines w:val="0"/>
        <w:widowControl w:val="0"/>
        <w:kinsoku/>
        <w:overflowPunct/>
        <w:topLinePunct w:val="0"/>
        <w:bidi w:val="0"/>
        <w:adjustRightInd w:val="0"/>
        <w:snapToGrid w:val="0"/>
        <w:spacing w:beforeAutospacing="0" w:afterAutospacing="0"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联系人：王女士         </w:t>
      </w:r>
    </w:p>
    <w:p w14:paraId="341E0407">
      <w:pPr>
        <w:keepNext w:val="0"/>
        <w:keepLines w:val="0"/>
        <w:widowControl w:val="0"/>
        <w:kinsoku/>
        <w:overflowPunct/>
        <w:topLinePunct w:val="0"/>
        <w:bidi w:val="0"/>
        <w:adjustRightInd w:val="0"/>
        <w:snapToGrid w:val="0"/>
        <w:spacing w:beforeAutospacing="0" w:afterAutospacing="0" w:line="500" w:lineRule="exact"/>
        <w:ind w:firstLine="480" w:firstLineChars="200"/>
        <w:textAlignment w:val="auto"/>
        <w:rPr>
          <w:rStyle w:val="21"/>
          <w:rFonts w:ascii="宋体" w:hAnsi="宋体" w:cs="宋体" w:eastAsiaTheme="minorEastAsia"/>
          <w:b/>
          <w:bCs/>
          <w:color w:val="000000" w:themeColor="text1"/>
          <w:kern w:val="0"/>
          <w:sz w:val="24"/>
          <w14:textFill>
            <w14:solidFill>
              <w14:schemeClr w14:val="tx1"/>
            </w14:solidFill>
          </w14:textFill>
        </w:rPr>
      </w:pPr>
      <w:r>
        <w:rPr>
          <w:rFonts w:hint="eastAsia" w:ascii="宋体" w:hAnsi="宋体" w:eastAsia="宋体" w:cs="宋体"/>
          <w:color w:val="auto"/>
          <w:kern w:val="2"/>
          <w:sz w:val="24"/>
          <w:szCs w:val="24"/>
          <w:highlight w:val="none"/>
          <w:lang w:val="en-US" w:eastAsia="zh-CN" w:bidi="ar-SA"/>
        </w:rPr>
        <w:t>联系电话：</w:t>
      </w:r>
      <w:r>
        <w:rPr>
          <w:rFonts w:hint="eastAsia" w:ascii="宋体" w:hAnsi="宋体" w:eastAsia="宋体" w:cs="宋体"/>
          <w:color w:val="auto"/>
          <w:kern w:val="0"/>
          <w:sz w:val="24"/>
          <w:szCs w:val="24"/>
          <w:highlight w:val="none"/>
          <w:lang w:val="en-US" w:eastAsia="zh-CN"/>
        </w:rPr>
        <w:t>18082179730</w:t>
      </w:r>
    </w:p>
    <w:p w14:paraId="122862A5">
      <w:pPr>
        <w:snapToGrid w:val="0"/>
        <w:spacing w:line="480" w:lineRule="exact"/>
        <w:ind w:firstLine="482" w:firstLineChars="200"/>
        <w:rPr>
          <w:rStyle w:val="21"/>
          <w:rFonts w:ascii="宋体" w:hAnsi="宋体" w:cs="宋体" w:eastAsiaTheme="minorEastAsia"/>
          <w:b/>
          <w:bCs/>
          <w:color w:val="000000" w:themeColor="text1"/>
          <w:kern w:val="0"/>
          <w:sz w:val="24"/>
          <w14:textFill>
            <w14:solidFill>
              <w14:schemeClr w14:val="tx1"/>
            </w14:solidFill>
          </w14:textFill>
        </w:rPr>
      </w:pPr>
      <w:r>
        <w:rPr>
          <w:rStyle w:val="21"/>
          <w:rFonts w:hint="eastAsia" w:ascii="宋体" w:hAnsi="宋体" w:cs="宋体" w:eastAsiaTheme="minorEastAsia"/>
          <w:b/>
          <w:bCs/>
          <w:color w:val="000000" w:themeColor="text1"/>
          <w:kern w:val="0"/>
          <w:sz w:val="24"/>
          <w14:textFill>
            <w14:solidFill>
              <w14:schemeClr w14:val="tx1"/>
            </w14:solidFill>
          </w14:textFill>
        </w:rPr>
        <w:t>九、质疑和投诉处理</w:t>
      </w:r>
    </w:p>
    <w:p w14:paraId="6CD0E0B7">
      <w:pPr>
        <w:snapToGrid w:val="0"/>
        <w:spacing w:line="480" w:lineRule="exact"/>
        <w:ind w:firstLine="480" w:firstLineChars="200"/>
        <w:rPr>
          <w:rStyle w:val="21"/>
          <w:rFonts w:ascii="宋体" w:hAnsi="宋体" w:cs="宋体" w:eastAsiaTheme="minorEastAsia"/>
          <w:color w:val="000000" w:themeColor="text1"/>
          <w:kern w:val="0"/>
          <w:sz w:val="24"/>
          <w14:textFill>
            <w14:solidFill>
              <w14:schemeClr w14:val="tx1"/>
            </w14:solidFill>
          </w14:textFill>
        </w:rPr>
      </w:pPr>
      <w:r>
        <w:rPr>
          <w:rStyle w:val="21"/>
          <w:rFonts w:hint="eastAsia" w:ascii="宋体" w:hAnsi="宋体" w:cs="宋体" w:eastAsiaTheme="minorEastAsia"/>
          <w:color w:val="000000" w:themeColor="text1"/>
          <w:kern w:val="0"/>
          <w:sz w:val="24"/>
          <w14:textFill>
            <w14:solidFill>
              <w14:schemeClr w14:val="tx1"/>
            </w14:solidFill>
          </w14:textFill>
        </w:rPr>
        <w:t>本项目为国有企业采购货物项目，不适用《中华人民共和国政府采购法》等政府采购相关法律法规。为便于本项目的顺利实施，采购人比照《中华人民共和国政府采购法》等有关规定开展采购活动。如供应商对本项目提出质疑或提起投诉的，请与采购人、代理公司或采购人主管部门联系处理。响水县公共资源交易中心仅提供发布信息、场地等服务，不负责处理相关质疑、投诉事项。</w:t>
      </w:r>
    </w:p>
    <w:p w14:paraId="66691112">
      <w:pPr>
        <w:snapToGrid w:val="0"/>
        <w:spacing w:line="480" w:lineRule="exact"/>
        <w:ind w:firstLine="4320" w:firstLineChars="1800"/>
        <w:rPr>
          <w:rStyle w:val="21"/>
          <w:rFonts w:ascii="宋体" w:hAnsi="宋体" w:cs="宋体" w:eastAsiaTheme="minorEastAsia"/>
          <w:color w:val="000000" w:themeColor="text1"/>
          <w:kern w:val="0"/>
          <w:sz w:val="24"/>
          <w14:textFill>
            <w14:solidFill>
              <w14:schemeClr w14:val="tx1"/>
            </w14:solidFill>
          </w14:textFill>
        </w:rPr>
      </w:pPr>
    </w:p>
    <w:p w14:paraId="37C5EDDA">
      <w:pPr>
        <w:snapToGrid w:val="0"/>
        <w:spacing w:line="480" w:lineRule="exact"/>
        <w:ind w:firstLine="4320" w:firstLineChars="1800"/>
        <w:rPr>
          <w:rStyle w:val="21"/>
          <w:rFonts w:ascii="宋体" w:hAnsi="宋体" w:cs="宋体" w:eastAsiaTheme="minorEastAsia"/>
          <w:color w:val="000000" w:themeColor="text1"/>
          <w:kern w:val="0"/>
          <w:sz w:val="24"/>
          <w14:textFill>
            <w14:solidFill>
              <w14:schemeClr w14:val="tx1"/>
            </w14:solidFill>
          </w14:textFill>
        </w:rPr>
      </w:pPr>
    </w:p>
    <w:p w14:paraId="3F577E7D">
      <w:pPr>
        <w:snapToGrid w:val="0"/>
        <w:spacing w:line="480" w:lineRule="exact"/>
        <w:ind w:firstLine="4320" w:firstLineChars="1800"/>
        <w:rPr>
          <w:rStyle w:val="21"/>
          <w:rFonts w:ascii="宋体" w:hAnsi="宋体" w:cs="宋体" w:eastAsiaTheme="minorEastAsia"/>
          <w:color w:val="000000" w:themeColor="text1"/>
          <w:kern w:val="0"/>
          <w:sz w:val="24"/>
          <w14:textFill>
            <w14:solidFill>
              <w14:schemeClr w14:val="tx1"/>
            </w14:solidFill>
          </w14:textFill>
        </w:rPr>
      </w:pPr>
    </w:p>
    <w:p w14:paraId="18B3837D">
      <w:pPr>
        <w:snapToGrid w:val="0"/>
        <w:spacing w:line="480" w:lineRule="exact"/>
        <w:ind w:firstLine="4320" w:firstLineChars="1800"/>
        <w:rPr>
          <w:rStyle w:val="21"/>
          <w:rFonts w:hint="eastAsia" w:ascii="宋体" w:hAnsi="宋体" w:cs="宋体" w:eastAsiaTheme="minorEastAsia"/>
          <w:color w:val="000000" w:themeColor="text1"/>
          <w:kern w:val="0"/>
          <w:sz w:val="24"/>
          <w:lang w:eastAsia="zh-CN"/>
          <w14:textFill>
            <w14:solidFill>
              <w14:schemeClr w14:val="tx1"/>
            </w14:solidFill>
          </w14:textFill>
        </w:rPr>
      </w:pPr>
      <w:r>
        <w:rPr>
          <w:rStyle w:val="21"/>
          <w:rFonts w:hint="eastAsia" w:ascii="宋体" w:hAnsi="宋体" w:cs="宋体" w:eastAsiaTheme="minorEastAsia"/>
          <w:color w:val="000000" w:themeColor="text1"/>
          <w:kern w:val="0"/>
          <w:sz w:val="24"/>
          <w:lang w:eastAsia="zh-CN"/>
          <w14:textFill>
            <w14:solidFill>
              <w14:schemeClr w14:val="tx1"/>
            </w14:solidFill>
          </w14:textFill>
        </w:rPr>
        <w:t>响水县兴港物业管理有限公司</w:t>
      </w:r>
    </w:p>
    <w:p w14:paraId="1A092CB4">
      <w:pPr>
        <w:snapToGrid w:val="0"/>
        <w:spacing w:line="480" w:lineRule="exact"/>
        <w:ind w:firstLine="5040" w:firstLineChars="2100"/>
        <w:rPr>
          <w:rStyle w:val="21"/>
          <w:rFonts w:ascii="宋体" w:hAnsi="宋体" w:cs="宋体" w:eastAsiaTheme="minorEastAsia"/>
          <w:color w:val="000000" w:themeColor="text1"/>
          <w:kern w:val="0"/>
          <w:sz w:val="24"/>
          <w14:textFill>
            <w14:solidFill>
              <w14:schemeClr w14:val="tx1"/>
            </w14:solidFill>
          </w14:textFill>
        </w:rPr>
      </w:pPr>
      <w:r>
        <w:rPr>
          <w:rStyle w:val="21"/>
          <w:rFonts w:hint="eastAsia" w:ascii="宋体" w:hAnsi="宋体" w:cs="宋体" w:eastAsiaTheme="minorEastAsia"/>
          <w:color w:val="000000" w:themeColor="text1"/>
          <w:kern w:val="0"/>
          <w:sz w:val="24"/>
          <w14:textFill>
            <w14:solidFill>
              <w14:schemeClr w14:val="tx1"/>
            </w14:solidFill>
          </w14:textFill>
        </w:rPr>
        <w:t>2024年</w:t>
      </w:r>
      <w:r>
        <w:rPr>
          <w:rStyle w:val="21"/>
          <w:rFonts w:hint="eastAsia" w:ascii="宋体" w:hAnsi="宋体" w:cs="宋体" w:eastAsiaTheme="minorEastAsia"/>
          <w:color w:val="000000" w:themeColor="text1"/>
          <w:kern w:val="0"/>
          <w:sz w:val="24"/>
          <w:lang w:val="en-US" w:eastAsia="zh-CN"/>
          <w14:textFill>
            <w14:solidFill>
              <w14:schemeClr w14:val="tx1"/>
            </w14:solidFill>
          </w14:textFill>
        </w:rPr>
        <w:t>9</w:t>
      </w:r>
      <w:r>
        <w:rPr>
          <w:rStyle w:val="21"/>
          <w:rFonts w:hint="eastAsia" w:ascii="宋体" w:hAnsi="宋体" w:cs="宋体" w:eastAsiaTheme="minorEastAsia"/>
          <w:color w:val="000000" w:themeColor="text1"/>
          <w:kern w:val="0"/>
          <w:sz w:val="24"/>
          <w14:textFill>
            <w14:solidFill>
              <w14:schemeClr w14:val="tx1"/>
            </w14:solidFill>
          </w14:textFill>
        </w:rPr>
        <w:t xml:space="preserve">月 </w:t>
      </w:r>
      <w:r>
        <w:rPr>
          <w:rStyle w:val="21"/>
          <w:rFonts w:hint="eastAsia" w:ascii="宋体" w:hAnsi="宋体" w:cs="宋体" w:eastAsiaTheme="minorEastAsia"/>
          <w:color w:val="000000" w:themeColor="text1"/>
          <w:kern w:val="0"/>
          <w:sz w:val="24"/>
          <w:lang w:val="en-US" w:eastAsia="zh-CN"/>
          <w14:textFill>
            <w14:solidFill>
              <w14:schemeClr w14:val="tx1"/>
            </w14:solidFill>
          </w14:textFill>
        </w:rPr>
        <w:t>18</w:t>
      </w:r>
      <w:r>
        <w:rPr>
          <w:rStyle w:val="21"/>
          <w:rFonts w:hint="eastAsia" w:ascii="宋体" w:hAnsi="宋体" w:cs="宋体" w:eastAsiaTheme="minorEastAsia"/>
          <w:color w:val="000000" w:themeColor="text1"/>
          <w:kern w:val="0"/>
          <w:sz w:val="24"/>
          <w14:textFill>
            <w14:solidFill>
              <w14:schemeClr w14:val="tx1"/>
            </w14:solidFill>
          </w14:textFill>
        </w:rPr>
        <w:t>日</w:t>
      </w:r>
    </w:p>
    <w:p w14:paraId="18A75939">
      <w:pPr>
        <w:pStyle w:val="2"/>
        <w:rPr>
          <w:rStyle w:val="21"/>
          <w:rFonts w:ascii="宋体" w:hAnsi="宋体" w:cs="宋体" w:eastAsiaTheme="minorEastAsia"/>
          <w:color w:val="000000" w:themeColor="text1"/>
          <w:kern w:val="0"/>
          <w:sz w:val="24"/>
          <w:szCs w:val="24"/>
          <w14:textFill>
            <w14:solidFill>
              <w14:schemeClr w14:val="tx1"/>
            </w14:solidFill>
          </w14:textFill>
        </w:rPr>
      </w:pPr>
    </w:p>
    <w:p w14:paraId="2B1A6DB4">
      <w:pPr>
        <w:rPr>
          <w:rStyle w:val="21"/>
          <w:rFonts w:ascii="宋体" w:hAnsi="宋体" w:cs="宋体" w:eastAsiaTheme="minorEastAsia"/>
          <w:color w:val="000000" w:themeColor="text1"/>
          <w:kern w:val="0"/>
          <w:sz w:val="24"/>
          <w:szCs w:val="24"/>
          <w14:textFill>
            <w14:solidFill>
              <w14:schemeClr w14:val="tx1"/>
            </w14:solidFill>
          </w14:textFill>
        </w:rPr>
      </w:pPr>
    </w:p>
    <w:p w14:paraId="25E13A66">
      <w:pPr>
        <w:rPr>
          <w:rStyle w:val="21"/>
          <w:rFonts w:ascii="宋体" w:hAnsi="宋体" w:cs="宋体" w:eastAsiaTheme="minorEastAsia"/>
          <w:color w:val="000000" w:themeColor="text1"/>
          <w:kern w:val="0"/>
          <w:sz w:val="24"/>
          <w:szCs w:val="24"/>
          <w14:textFill>
            <w14:solidFill>
              <w14:schemeClr w14:val="tx1"/>
            </w14:solidFill>
          </w14:textFill>
        </w:rPr>
      </w:pPr>
    </w:p>
    <w:p w14:paraId="08F2CC4A">
      <w:pPr>
        <w:rPr>
          <w:rStyle w:val="21"/>
          <w:rFonts w:ascii="宋体" w:hAnsi="宋体" w:cs="宋体" w:eastAsiaTheme="minorEastAsia"/>
          <w:color w:val="000000" w:themeColor="text1"/>
          <w:kern w:val="0"/>
          <w:sz w:val="24"/>
          <w:szCs w:val="24"/>
          <w14:textFill>
            <w14:solidFill>
              <w14:schemeClr w14:val="tx1"/>
            </w14:solidFill>
          </w14:textFill>
        </w:rPr>
      </w:pPr>
    </w:p>
    <w:p w14:paraId="3D8346C2">
      <w:pPr>
        <w:rPr>
          <w:rStyle w:val="21"/>
          <w:rFonts w:ascii="宋体" w:hAnsi="宋体" w:cs="宋体" w:eastAsiaTheme="minorEastAsia"/>
          <w:color w:val="000000" w:themeColor="text1"/>
          <w:kern w:val="0"/>
          <w:sz w:val="24"/>
          <w:szCs w:val="24"/>
          <w14:textFill>
            <w14:solidFill>
              <w14:schemeClr w14:val="tx1"/>
            </w14:solidFill>
          </w14:textFill>
        </w:rPr>
      </w:pPr>
    </w:p>
    <w:p w14:paraId="7CC4076C">
      <w:pPr>
        <w:rPr>
          <w:rStyle w:val="21"/>
          <w:rFonts w:ascii="宋体" w:hAnsi="宋体" w:cs="宋体" w:eastAsiaTheme="minorEastAsia"/>
          <w:color w:val="000000" w:themeColor="text1"/>
          <w:kern w:val="0"/>
          <w:sz w:val="24"/>
          <w:szCs w:val="24"/>
          <w14:textFill>
            <w14:solidFill>
              <w14:schemeClr w14:val="tx1"/>
            </w14:solidFill>
          </w14:textFill>
        </w:rPr>
      </w:pPr>
    </w:p>
    <w:p w14:paraId="53F742A2">
      <w:pPr>
        <w:rPr>
          <w:rStyle w:val="21"/>
          <w:rFonts w:ascii="宋体" w:hAnsi="宋体" w:cs="宋体" w:eastAsiaTheme="minorEastAsia"/>
          <w:color w:val="000000" w:themeColor="text1"/>
          <w:kern w:val="0"/>
          <w:sz w:val="24"/>
          <w:szCs w:val="24"/>
          <w14:textFill>
            <w14:solidFill>
              <w14:schemeClr w14:val="tx1"/>
            </w14:solidFill>
          </w14:textFill>
        </w:rPr>
      </w:pPr>
    </w:p>
    <w:p w14:paraId="05DE0CFA">
      <w:pPr>
        <w:rPr>
          <w:rStyle w:val="21"/>
          <w:rFonts w:ascii="宋体" w:hAnsi="宋体" w:cs="宋体" w:eastAsiaTheme="minorEastAsia"/>
          <w:color w:val="000000" w:themeColor="text1"/>
          <w:kern w:val="0"/>
          <w:sz w:val="24"/>
          <w:szCs w:val="24"/>
          <w14:textFill>
            <w14:solidFill>
              <w14:schemeClr w14:val="tx1"/>
            </w14:solidFill>
          </w14:textFill>
        </w:rPr>
      </w:pPr>
    </w:p>
    <w:p w14:paraId="65E25D62">
      <w:pPr>
        <w:rPr>
          <w:rStyle w:val="21"/>
          <w:rFonts w:ascii="宋体" w:hAnsi="宋体" w:cs="宋体" w:eastAsiaTheme="minorEastAsia"/>
          <w:color w:val="000000" w:themeColor="text1"/>
          <w:kern w:val="0"/>
          <w:sz w:val="24"/>
          <w:szCs w:val="24"/>
          <w14:textFill>
            <w14:solidFill>
              <w14:schemeClr w14:val="tx1"/>
            </w14:solidFill>
          </w14:textFill>
        </w:rPr>
      </w:pPr>
    </w:p>
    <w:p w14:paraId="111AC6BC">
      <w:pPr>
        <w:rPr>
          <w:rStyle w:val="21"/>
          <w:rFonts w:ascii="宋体" w:hAnsi="宋体" w:cs="宋体" w:eastAsiaTheme="minorEastAsia"/>
          <w:color w:val="000000" w:themeColor="text1"/>
          <w:kern w:val="0"/>
          <w:sz w:val="24"/>
          <w:szCs w:val="24"/>
          <w14:textFill>
            <w14:solidFill>
              <w14:schemeClr w14:val="tx1"/>
            </w14:solidFill>
          </w14:textFill>
        </w:rPr>
      </w:pPr>
    </w:p>
    <w:p w14:paraId="398FB42F">
      <w:pPr>
        <w:rPr>
          <w:rStyle w:val="21"/>
          <w:rFonts w:ascii="宋体" w:hAnsi="宋体" w:cs="宋体" w:eastAsiaTheme="minorEastAsia"/>
          <w:color w:val="000000" w:themeColor="text1"/>
          <w:kern w:val="0"/>
          <w:sz w:val="24"/>
          <w:szCs w:val="24"/>
          <w14:textFill>
            <w14:solidFill>
              <w14:schemeClr w14:val="tx1"/>
            </w14:solidFill>
          </w14:textFill>
        </w:rPr>
      </w:pPr>
    </w:p>
    <w:p w14:paraId="0899B5EF">
      <w:pPr>
        <w:rPr>
          <w:rStyle w:val="21"/>
          <w:rFonts w:ascii="宋体" w:hAnsi="宋体" w:cs="宋体" w:eastAsiaTheme="minorEastAsia"/>
          <w:color w:val="000000" w:themeColor="text1"/>
          <w:kern w:val="0"/>
          <w:sz w:val="24"/>
          <w:szCs w:val="24"/>
          <w14:textFill>
            <w14:solidFill>
              <w14:schemeClr w14:val="tx1"/>
            </w14:solidFill>
          </w14:textFill>
        </w:rPr>
      </w:pPr>
    </w:p>
    <w:p w14:paraId="492986A4">
      <w:pPr>
        <w:rPr>
          <w:rStyle w:val="21"/>
          <w:rFonts w:ascii="宋体" w:hAnsi="宋体" w:cs="宋体" w:eastAsiaTheme="minorEastAsia"/>
          <w:color w:val="000000" w:themeColor="text1"/>
          <w:kern w:val="0"/>
          <w:sz w:val="24"/>
          <w:szCs w:val="24"/>
          <w14:textFill>
            <w14:solidFill>
              <w14:schemeClr w14:val="tx1"/>
            </w14:solidFill>
          </w14:textFill>
        </w:rPr>
      </w:pPr>
    </w:p>
    <w:p w14:paraId="4F6B9CB8">
      <w:pPr>
        <w:rPr>
          <w:rStyle w:val="21"/>
          <w:rFonts w:ascii="宋体" w:hAnsi="宋体" w:cs="宋体" w:eastAsiaTheme="minorEastAsia"/>
          <w:color w:val="000000" w:themeColor="text1"/>
          <w:kern w:val="0"/>
          <w:sz w:val="24"/>
          <w:szCs w:val="24"/>
          <w14:textFill>
            <w14:solidFill>
              <w14:schemeClr w14:val="tx1"/>
            </w14:solidFill>
          </w14:textFill>
        </w:rPr>
      </w:pPr>
    </w:p>
    <w:p w14:paraId="47FFED4C">
      <w:pPr>
        <w:rPr>
          <w:color w:val="000000" w:themeColor="text1"/>
          <w14:textFill>
            <w14:solidFill>
              <w14:schemeClr w14:val="tx1"/>
            </w14:solidFill>
          </w14:textFill>
        </w:rPr>
      </w:pPr>
    </w:p>
    <w:p w14:paraId="61F0AFC0">
      <w:pPr>
        <w:snapToGrid w:val="0"/>
        <w:jc w:val="center"/>
        <w:rPr>
          <w:rStyle w:val="21"/>
          <w:rFonts w:ascii="宋体" w:hAnsi="宋体" w:cs="宋体"/>
          <w:b/>
          <w:color w:val="000000" w:themeColor="text1"/>
          <w:sz w:val="44"/>
          <w:szCs w:val="44"/>
          <w14:textFill>
            <w14:solidFill>
              <w14:schemeClr w14:val="tx1"/>
            </w14:solidFill>
          </w14:textFill>
        </w:rPr>
      </w:pPr>
    </w:p>
    <w:p w14:paraId="79082E6C">
      <w:pPr>
        <w:snapToGrid w:val="0"/>
        <w:jc w:val="center"/>
        <w:rPr>
          <w:rStyle w:val="21"/>
          <w:rFonts w:ascii="宋体" w:hAnsi="宋体" w:cs="宋体"/>
          <w:b/>
          <w:color w:val="000000" w:themeColor="text1"/>
          <w:sz w:val="44"/>
          <w:szCs w:val="44"/>
          <w14:textFill>
            <w14:solidFill>
              <w14:schemeClr w14:val="tx1"/>
            </w14:solidFill>
          </w14:textFill>
        </w:rPr>
      </w:pPr>
      <w:r>
        <w:rPr>
          <w:rStyle w:val="21"/>
          <w:rFonts w:hint="eastAsia" w:ascii="宋体" w:hAnsi="宋体" w:cs="宋体"/>
          <w:b/>
          <w:color w:val="000000" w:themeColor="text1"/>
          <w:sz w:val="44"/>
          <w:szCs w:val="44"/>
          <w14:textFill>
            <w14:solidFill>
              <w14:schemeClr w14:val="tx1"/>
            </w14:solidFill>
          </w14:textFill>
        </w:rPr>
        <w:t>第二部分  供应商须知</w:t>
      </w:r>
    </w:p>
    <w:p w14:paraId="6ECA71D3">
      <w:pPr>
        <w:snapToGrid w:val="0"/>
        <w:spacing w:line="440" w:lineRule="exact"/>
        <w:ind w:firstLine="3753" w:firstLineChars="1246"/>
        <w:rPr>
          <w:rStyle w:val="21"/>
          <w:rFonts w:ascii="宋体" w:hAnsi="宋体" w:cs="宋体"/>
          <w:b/>
          <w:color w:val="000000" w:themeColor="text1"/>
          <w:sz w:val="30"/>
          <w:szCs w:val="30"/>
          <w14:textFill>
            <w14:solidFill>
              <w14:schemeClr w14:val="tx1"/>
            </w14:solidFill>
          </w14:textFill>
        </w:rPr>
      </w:pPr>
    </w:p>
    <w:p w14:paraId="17CAF519">
      <w:pPr>
        <w:snapToGrid w:val="0"/>
        <w:spacing w:line="500" w:lineRule="exact"/>
        <w:ind w:firstLine="4065" w:firstLineChars="1446"/>
        <w:rPr>
          <w:rStyle w:val="21"/>
          <w:rFonts w:ascii="宋体" w:hAnsi="宋体" w:cs="宋体"/>
          <w:b/>
          <w:color w:val="000000" w:themeColor="text1"/>
          <w:sz w:val="28"/>
          <w:szCs w:val="28"/>
          <w14:textFill>
            <w14:solidFill>
              <w14:schemeClr w14:val="tx1"/>
            </w14:solidFill>
          </w14:textFill>
        </w:rPr>
      </w:pPr>
      <w:r>
        <w:rPr>
          <w:rStyle w:val="21"/>
          <w:rFonts w:hint="eastAsia" w:ascii="宋体" w:hAnsi="宋体" w:cs="宋体"/>
          <w:b/>
          <w:color w:val="000000" w:themeColor="text1"/>
          <w:sz w:val="28"/>
          <w:szCs w:val="28"/>
          <w14:textFill>
            <w14:solidFill>
              <w14:schemeClr w14:val="tx1"/>
            </w14:solidFill>
          </w14:textFill>
        </w:rPr>
        <w:t>一、总  则</w:t>
      </w:r>
    </w:p>
    <w:p w14:paraId="297BAEB9">
      <w:pPr>
        <w:snapToGrid w:val="0"/>
        <w:spacing w:before="60" w:after="60" w:line="500" w:lineRule="exact"/>
        <w:ind w:firstLine="482"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1.适用范围</w:t>
      </w:r>
    </w:p>
    <w:p w14:paraId="27880D1D">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本竞争性谈判文件仅适用于</w:t>
      </w:r>
      <w:r>
        <w:rPr>
          <w:rStyle w:val="21"/>
          <w:rFonts w:hint="eastAsia" w:ascii="宋体" w:hAnsi="宋体" w:cs="宋体"/>
          <w:color w:val="000000" w:themeColor="text1"/>
          <w:sz w:val="24"/>
          <w:lang w:eastAsia="zh-CN"/>
          <w14:textFill>
            <w14:solidFill>
              <w14:schemeClr w14:val="tx1"/>
            </w14:solidFill>
          </w14:textFill>
        </w:rPr>
        <w:t>响水工业经济区绿化养护服务项目</w:t>
      </w:r>
      <w:r>
        <w:rPr>
          <w:rStyle w:val="21"/>
          <w:rFonts w:hint="eastAsia" w:ascii="宋体" w:hAnsi="宋体" w:cs="宋体"/>
          <w:color w:val="000000" w:themeColor="text1"/>
          <w:sz w:val="24"/>
          <w14:textFill>
            <w14:solidFill>
              <w14:schemeClr w14:val="tx1"/>
            </w14:solidFill>
          </w14:textFill>
        </w:rPr>
        <w:t>。</w:t>
      </w:r>
    </w:p>
    <w:p w14:paraId="462FE5B8">
      <w:pPr>
        <w:snapToGrid w:val="0"/>
        <w:spacing w:line="500" w:lineRule="exact"/>
        <w:ind w:firstLine="482"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2.合格供应商的</w:t>
      </w:r>
      <w:r>
        <w:rPr>
          <w:rFonts w:hint="eastAsia" w:ascii="宋体" w:hAnsi="宋体" w:cs="宋体"/>
          <w:b/>
          <w:color w:val="000000" w:themeColor="text1"/>
          <w:sz w:val="24"/>
          <w14:textFill>
            <w14:solidFill>
              <w14:schemeClr w14:val="tx1"/>
            </w14:solidFill>
          </w14:textFill>
        </w:rPr>
        <w:t>资格要求</w:t>
      </w:r>
    </w:p>
    <w:p w14:paraId="7584501F">
      <w:pPr>
        <w:pStyle w:val="2"/>
        <w:ind w:firstLine="723" w:firstLineChars="3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详见谈判公告</w:t>
      </w:r>
    </w:p>
    <w:p w14:paraId="3C3E2267">
      <w:pPr>
        <w:pStyle w:val="24"/>
        <w:snapToGrid w:val="0"/>
        <w:spacing w:before="60" w:after="60" w:line="500" w:lineRule="exact"/>
        <w:ind w:firstLine="241" w:firstLineChars="1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3.谈判费用</w:t>
      </w:r>
    </w:p>
    <w:p w14:paraId="39B1B44C">
      <w:pPr>
        <w:pStyle w:val="24"/>
        <w:snapToGrid w:val="0"/>
        <w:spacing w:before="60" w:after="60" w:line="500" w:lineRule="exact"/>
        <w:ind w:left="0" w:leftChars="0" w:firstLine="480" w:firstLineChars="200"/>
        <w:rPr>
          <w:rStyle w:val="21"/>
          <w:rFonts w:ascii="宋体" w:hAnsi="宋体" w:cs="宋体"/>
          <w:color w:val="auto"/>
          <w:sz w:val="24"/>
        </w:rPr>
      </w:pPr>
      <w:r>
        <w:rPr>
          <w:rStyle w:val="21"/>
          <w:rFonts w:hint="eastAsia" w:ascii="宋体" w:hAnsi="宋体" w:cs="宋体"/>
          <w:color w:val="000000" w:themeColor="text1"/>
          <w:sz w:val="24"/>
          <w14:textFill>
            <w14:solidFill>
              <w14:schemeClr w14:val="tx1"/>
            </w14:solidFill>
          </w14:textFill>
        </w:rPr>
        <w:t>供应商应自行承担所有与参加谈判有关的费用。不论谈判的结果如何，采购人在任何情况下均无义务和责任承担这些费用</w:t>
      </w:r>
      <w:r>
        <w:rPr>
          <w:rStyle w:val="21"/>
          <w:rFonts w:hint="eastAsia" w:ascii="宋体" w:hAnsi="宋体" w:cs="宋体"/>
          <w:color w:val="auto"/>
          <w:sz w:val="24"/>
        </w:rPr>
        <w:t>。</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rPr>
        <w:t>代理费由</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人支付，公证费由中标人支付</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不得单独列项。</w:t>
      </w:r>
    </w:p>
    <w:p w14:paraId="5F5F756B">
      <w:pPr>
        <w:snapToGrid w:val="0"/>
        <w:spacing w:line="500" w:lineRule="exact"/>
        <w:jc w:val="center"/>
        <w:rPr>
          <w:rStyle w:val="21"/>
          <w:rFonts w:ascii="宋体" w:hAnsi="宋体" w:cs="宋体"/>
          <w:b/>
          <w:color w:val="auto"/>
          <w:sz w:val="24"/>
        </w:rPr>
      </w:pPr>
      <w:r>
        <w:rPr>
          <w:rStyle w:val="21"/>
          <w:rFonts w:hint="eastAsia" w:ascii="宋体" w:hAnsi="宋体" w:cs="宋体"/>
          <w:b/>
          <w:color w:val="auto"/>
          <w:sz w:val="24"/>
        </w:rPr>
        <w:t>二、竞争性谈判文件</w:t>
      </w:r>
    </w:p>
    <w:p w14:paraId="5C460B67">
      <w:pPr>
        <w:snapToGrid w:val="0"/>
        <w:spacing w:before="60" w:after="60" w:line="500" w:lineRule="exact"/>
        <w:ind w:firstLine="482"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4.竞争性谈判文件的澄清和修改</w:t>
      </w:r>
    </w:p>
    <w:p w14:paraId="715063E3">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4.1 任何要求对谈判文件进行澄清或对谈判文件有异议的投标人，均须在法定时间内（以公告截止时间起算）以书面形式送达采购人或采购代理机构（联系方式见“招标公告”）。逾期递交对谈判标文件要求进行澄清或对谈判文件有异议的将不予受理。</w:t>
      </w:r>
    </w:p>
    <w:p w14:paraId="309F1E4F">
      <w:pPr>
        <w:snapToGrid w:val="0"/>
        <w:spacing w:before="60" w:after="60" w:line="500" w:lineRule="exact"/>
        <w:ind w:firstLine="480" w:firstLineChars="200"/>
        <w:jc w:val="left"/>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4.2 采购人或者采购代理机构对规定时间内收到的澄清要求和对异议的答复，将在响水县人民政府网-招投标信息“国企采购-采购公告”栏下载，请投标人自行查看，否则后果自负。</w:t>
      </w:r>
    </w:p>
    <w:p w14:paraId="2BE352BB">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4.3采购人有权酌情推迟</w:t>
      </w:r>
      <w:r>
        <w:rPr>
          <w:rStyle w:val="21"/>
          <w:rFonts w:hint="eastAsia" w:ascii="宋体" w:hAnsi="宋体" w:cs="宋体"/>
          <w:color w:val="000000" w:themeColor="text1"/>
          <w:kern w:val="0"/>
          <w:sz w:val="24"/>
          <w14:textFill>
            <w14:solidFill>
              <w14:schemeClr w14:val="tx1"/>
            </w14:solidFill>
          </w14:textFill>
        </w:rPr>
        <w:t>提交竞争性谈判响应文件截止</w:t>
      </w:r>
      <w:r>
        <w:rPr>
          <w:rStyle w:val="21"/>
          <w:rFonts w:hint="eastAsia" w:ascii="宋体" w:hAnsi="宋体" w:cs="宋体"/>
          <w:color w:val="000000" w:themeColor="text1"/>
          <w:sz w:val="24"/>
          <w14:textFill>
            <w14:solidFill>
              <w14:schemeClr w14:val="tx1"/>
            </w14:solidFill>
          </w14:textFill>
        </w:rPr>
        <w:t>时间和谈判开始时间，并以告知所有供应商。</w:t>
      </w:r>
    </w:p>
    <w:p w14:paraId="7D90F6A4">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4.4竞争性谈判文件的修改、补充和澄清答疑等所有内容将作为竞争性谈判文件的组成部分，对所有供应商都具有约束力。</w:t>
      </w:r>
    </w:p>
    <w:p w14:paraId="693151D6">
      <w:pPr>
        <w:snapToGrid w:val="0"/>
        <w:spacing w:before="60" w:after="60" w:line="500" w:lineRule="exact"/>
        <w:ind w:firstLine="480"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4.5</w:t>
      </w:r>
      <w:r>
        <w:rPr>
          <w:rStyle w:val="21"/>
          <w:rFonts w:hint="eastAsia" w:ascii="宋体" w:hAnsi="宋体" w:cs="宋体"/>
          <w:color w:val="000000" w:themeColor="text1"/>
          <w:kern w:val="0"/>
          <w:sz w:val="24"/>
          <w14:textFill>
            <w14:solidFill>
              <w14:schemeClr w14:val="tx1"/>
            </w14:solidFill>
          </w14:textFill>
        </w:rPr>
        <w:t>提交竞争性谈判响应文件截止</w:t>
      </w:r>
      <w:r>
        <w:rPr>
          <w:rStyle w:val="21"/>
          <w:rFonts w:hint="eastAsia" w:ascii="宋体" w:hAnsi="宋体" w:cs="宋体"/>
          <w:color w:val="000000" w:themeColor="text1"/>
          <w:sz w:val="24"/>
          <w14:textFill>
            <w14:solidFill>
              <w14:schemeClr w14:val="tx1"/>
            </w14:solidFill>
          </w14:textFill>
        </w:rPr>
        <w:t>时间和谈判开始时间后，采购人不予受理供应商就竞争性谈判文件的内容提出质疑，监管部门也不接受投诉。</w:t>
      </w:r>
    </w:p>
    <w:p w14:paraId="1A9ADD1E">
      <w:pPr>
        <w:snapToGrid w:val="0"/>
        <w:spacing w:line="500" w:lineRule="exact"/>
        <w:jc w:val="center"/>
        <w:rPr>
          <w:rStyle w:val="21"/>
          <w:rFonts w:ascii="宋体" w:hAnsi="宋体" w:cs="宋体"/>
          <w:b/>
          <w:color w:val="000000"/>
          <w:sz w:val="28"/>
          <w:szCs w:val="28"/>
        </w:rPr>
      </w:pPr>
      <w:r>
        <w:rPr>
          <w:rStyle w:val="21"/>
          <w:rFonts w:hint="eastAsia" w:ascii="宋体" w:hAnsi="宋体" w:cs="宋体"/>
          <w:b/>
          <w:color w:val="000000"/>
          <w:sz w:val="28"/>
          <w:szCs w:val="28"/>
        </w:rPr>
        <w:t>三、竞争性谈判响应文件的编制</w:t>
      </w:r>
    </w:p>
    <w:p w14:paraId="3375388F">
      <w:pPr>
        <w:snapToGrid w:val="0"/>
        <w:spacing w:before="60" w:after="60" w:line="500" w:lineRule="exact"/>
        <w:ind w:firstLine="482" w:firstLineChars="200"/>
        <w:rPr>
          <w:rStyle w:val="21"/>
          <w:rFonts w:ascii="宋体" w:hAnsi="宋体" w:cs="宋体"/>
          <w:b/>
          <w:color w:val="000000"/>
          <w:sz w:val="24"/>
        </w:rPr>
      </w:pPr>
      <w:r>
        <w:rPr>
          <w:rStyle w:val="21"/>
          <w:rFonts w:hint="eastAsia" w:ascii="宋体" w:hAnsi="宋体" w:cs="宋体"/>
          <w:b/>
          <w:color w:val="000000"/>
          <w:sz w:val="24"/>
        </w:rPr>
        <w:t>5.竞争性谈判响应文件的构成</w:t>
      </w:r>
    </w:p>
    <w:p w14:paraId="49E0C723">
      <w:pPr>
        <w:snapToGrid w:val="0"/>
        <w:spacing w:before="60" w:after="60" w:line="500" w:lineRule="exact"/>
        <w:ind w:firstLine="480" w:firstLineChars="200"/>
        <w:rPr>
          <w:rStyle w:val="21"/>
          <w:rFonts w:ascii="宋体" w:hAnsi="宋体" w:cs="宋体"/>
          <w:color w:val="000000"/>
          <w:sz w:val="24"/>
        </w:rPr>
      </w:pPr>
      <w:r>
        <w:rPr>
          <w:rStyle w:val="21"/>
          <w:rFonts w:hint="eastAsia" w:ascii="宋体" w:hAnsi="宋体" w:cs="宋体"/>
          <w:color w:val="000000"/>
          <w:sz w:val="24"/>
        </w:rPr>
        <w:t>竞争性谈判响应文件除封面外，至少应提交以下谈判材料：</w:t>
      </w:r>
    </w:p>
    <w:p w14:paraId="017A04E0">
      <w:pPr>
        <w:snapToGrid w:val="0"/>
        <w:spacing w:before="60" w:after="60" w:line="500" w:lineRule="exact"/>
        <w:ind w:firstLine="480" w:firstLineChars="200"/>
        <w:rPr>
          <w:rStyle w:val="21"/>
          <w:rFonts w:ascii="宋体" w:hAnsi="宋体" w:cs="宋体"/>
          <w:color w:val="000000"/>
          <w:sz w:val="24"/>
        </w:rPr>
      </w:pPr>
      <w:r>
        <w:rPr>
          <w:rStyle w:val="21"/>
          <w:rFonts w:hint="eastAsia" w:ascii="宋体" w:hAnsi="宋体" w:cs="宋体"/>
          <w:color w:val="000000"/>
          <w:sz w:val="24"/>
        </w:rPr>
        <w:t>5.1谈判承诺函；</w:t>
      </w:r>
    </w:p>
    <w:p w14:paraId="3F74264B">
      <w:pPr>
        <w:snapToGrid w:val="0"/>
        <w:spacing w:before="60" w:after="60" w:line="500" w:lineRule="exact"/>
        <w:ind w:firstLine="480" w:firstLineChars="200"/>
        <w:rPr>
          <w:rStyle w:val="21"/>
          <w:rFonts w:ascii="宋体" w:hAnsi="宋体" w:cs="宋体"/>
          <w:bCs/>
          <w:color w:val="000000"/>
          <w:sz w:val="24"/>
        </w:rPr>
      </w:pPr>
      <w:r>
        <w:rPr>
          <w:rStyle w:val="21"/>
          <w:rFonts w:hint="eastAsia" w:ascii="宋体" w:hAnsi="宋体" w:cs="宋体"/>
          <w:bCs/>
          <w:color w:val="000000"/>
          <w:sz w:val="24"/>
        </w:rPr>
        <w:t>5.2法定代表人身份证明；</w:t>
      </w:r>
    </w:p>
    <w:p w14:paraId="0C31FE86">
      <w:pPr>
        <w:snapToGrid w:val="0"/>
        <w:spacing w:before="60" w:after="60" w:line="500" w:lineRule="exact"/>
        <w:ind w:firstLine="480" w:firstLineChars="200"/>
        <w:rPr>
          <w:rStyle w:val="21"/>
          <w:rFonts w:ascii="宋体" w:hAnsi="宋体" w:cs="宋体"/>
          <w:color w:val="000000"/>
          <w:sz w:val="24"/>
        </w:rPr>
      </w:pPr>
      <w:r>
        <w:rPr>
          <w:rStyle w:val="21"/>
          <w:rFonts w:hint="eastAsia" w:ascii="宋体" w:hAnsi="宋体" w:cs="宋体"/>
          <w:color w:val="000000"/>
          <w:sz w:val="24"/>
        </w:rPr>
        <w:t>5.3法定代表人授权委托书（如果有）；</w:t>
      </w:r>
    </w:p>
    <w:p w14:paraId="5F97EA7A">
      <w:pPr>
        <w:spacing w:line="420" w:lineRule="exact"/>
        <w:ind w:firstLine="480" w:firstLineChars="200"/>
        <w:rPr>
          <w:rStyle w:val="21"/>
          <w:rFonts w:ascii="宋体" w:hAnsi="宋体" w:cs="宋体"/>
          <w:bCs/>
          <w:color w:val="000000"/>
          <w:sz w:val="24"/>
        </w:rPr>
      </w:pPr>
      <w:r>
        <w:rPr>
          <w:rStyle w:val="21"/>
          <w:rFonts w:hint="eastAsia" w:ascii="宋体" w:hAnsi="宋体" w:cs="宋体"/>
          <w:bCs/>
          <w:color w:val="000000"/>
          <w:sz w:val="24"/>
        </w:rPr>
        <w:t>5.4</w:t>
      </w:r>
      <w:r>
        <w:rPr>
          <w:rFonts w:hint="eastAsia" w:ascii="宋体" w:hAnsi="宋体" w:cs="宋体"/>
          <w:color w:val="000000"/>
          <w:sz w:val="24"/>
        </w:rPr>
        <w:t>采购清单报价表；</w:t>
      </w:r>
    </w:p>
    <w:p w14:paraId="050FF35C">
      <w:pPr>
        <w:snapToGrid w:val="0"/>
        <w:spacing w:before="60" w:after="60" w:line="500" w:lineRule="exact"/>
        <w:ind w:firstLine="480" w:firstLineChars="200"/>
        <w:rPr>
          <w:rStyle w:val="21"/>
          <w:rFonts w:ascii="宋体" w:hAnsi="宋体" w:cs="宋体"/>
          <w:bCs/>
          <w:color w:val="000000"/>
          <w:sz w:val="24"/>
        </w:rPr>
      </w:pPr>
      <w:r>
        <w:rPr>
          <w:rStyle w:val="21"/>
          <w:rFonts w:hint="eastAsia" w:ascii="宋体" w:hAnsi="宋体" w:cs="宋体"/>
          <w:bCs/>
          <w:color w:val="000000"/>
          <w:sz w:val="24"/>
        </w:rPr>
        <w:t>5.5资信证明文件；</w:t>
      </w:r>
    </w:p>
    <w:p w14:paraId="65E560D5">
      <w:pPr>
        <w:snapToGrid w:val="0"/>
        <w:spacing w:before="60" w:after="60" w:line="500" w:lineRule="exact"/>
        <w:ind w:firstLine="480" w:firstLineChars="200"/>
        <w:rPr>
          <w:rStyle w:val="21"/>
          <w:rFonts w:ascii="宋体" w:hAnsi="宋体" w:cs="宋体"/>
          <w:bCs/>
          <w:color w:val="000000"/>
          <w:sz w:val="24"/>
        </w:rPr>
      </w:pPr>
      <w:r>
        <w:rPr>
          <w:rStyle w:val="21"/>
          <w:rFonts w:hint="eastAsia" w:ascii="宋体" w:hAnsi="宋体" w:cs="宋体"/>
          <w:bCs/>
          <w:color w:val="000000"/>
          <w:sz w:val="24"/>
        </w:rPr>
        <w:t>5.6竞争性谈判文件要求或供应商认为有必要提供的其他资料；</w:t>
      </w:r>
    </w:p>
    <w:p w14:paraId="011008B3">
      <w:pPr>
        <w:snapToGrid w:val="0"/>
        <w:spacing w:before="60" w:after="60" w:line="500" w:lineRule="exact"/>
        <w:ind w:firstLine="480" w:firstLineChars="200"/>
        <w:rPr>
          <w:rStyle w:val="21"/>
          <w:rFonts w:ascii="宋体" w:hAnsi="宋体" w:cs="宋体"/>
          <w:color w:val="000000"/>
          <w:sz w:val="24"/>
        </w:rPr>
      </w:pPr>
      <w:r>
        <w:rPr>
          <w:rStyle w:val="21"/>
          <w:rFonts w:hint="eastAsia" w:ascii="宋体" w:hAnsi="宋体" w:cs="宋体"/>
          <w:color w:val="000000"/>
          <w:sz w:val="24"/>
        </w:rPr>
        <w:t>5.7第</w:t>
      </w:r>
      <w:r>
        <w:rPr>
          <w:rStyle w:val="21"/>
          <w:rFonts w:hint="eastAsia" w:ascii="宋体" w:hAnsi="宋体" w:cs="宋体"/>
          <w:color w:val="000000"/>
          <w:sz w:val="24"/>
          <w:u w:val="single"/>
          <w:lang w:val="en-US" w:eastAsia="zh-CN"/>
        </w:rPr>
        <w:t xml:space="preserve">    </w:t>
      </w:r>
      <w:r>
        <w:rPr>
          <w:rStyle w:val="21"/>
          <w:rFonts w:hint="eastAsia" w:ascii="宋体" w:hAnsi="宋体" w:cs="宋体"/>
          <w:color w:val="000000"/>
          <w:sz w:val="24"/>
        </w:rPr>
        <w:t>轮谈判报价表。</w:t>
      </w:r>
    </w:p>
    <w:p w14:paraId="0E69B187">
      <w:pPr>
        <w:spacing w:line="500" w:lineRule="exact"/>
        <w:ind w:firstLine="480" w:firstLineChars="200"/>
        <w:rPr>
          <w:rFonts w:ascii="宋体" w:hAnsi="宋体" w:cs="宋体"/>
          <w:bCs/>
          <w:color w:val="000000"/>
          <w:sz w:val="24"/>
        </w:rPr>
      </w:pPr>
      <w:r>
        <w:rPr>
          <w:rStyle w:val="21"/>
          <w:rFonts w:hint="eastAsia" w:ascii="宋体" w:hAnsi="宋体" w:cs="宋体"/>
          <w:color w:val="000000"/>
          <w:sz w:val="24"/>
        </w:rPr>
        <w:t>5.8</w:t>
      </w:r>
      <w:r>
        <w:rPr>
          <w:rFonts w:hint="eastAsia" w:ascii="宋体" w:hAnsi="宋体" w:cs="宋体"/>
          <w:bCs/>
          <w:color w:val="000000"/>
          <w:sz w:val="24"/>
        </w:rPr>
        <w:t>其中5.7谈判报价表不需编制在竞争性谈判响应文件中。</w:t>
      </w:r>
    </w:p>
    <w:p w14:paraId="2E315DCF">
      <w:pPr>
        <w:snapToGrid w:val="0"/>
        <w:spacing w:before="60" w:after="60" w:line="500" w:lineRule="exact"/>
        <w:ind w:firstLine="482" w:firstLineChars="200"/>
        <w:rPr>
          <w:rStyle w:val="21"/>
          <w:rFonts w:ascii="宋体" w:hAnsi="宋体" w:cs="宋体"/>
          <w:b/>
          <w:bCs/>
          <w:color w:val="000000" w:themeColor="text1"/>
          <w:sz w:val="24"/>
          <w14:textFill>
            <w14:solidFill>
              <w14:schemeClr w14:val="tx1"/>
            </w14:solidFill>
          </w14:textFill>
        </w:rPr>
      </w:pPr>
      <w:r>
        <w:rPr>
          <w:rStyle w:val="21"/>
          <w:rFonts w:hint="eastAsia" w:ascii="宋体" w:hAnsi="宋体" w:cs="宋体"/>
          <w:b/>
          <w:bCs/>
          <w:color w:val="000000" w:themeColor="text1"/>
          <w:sz w:val="24"/>
          <w14:textFill>
            <w14:solidFill>
              <w14:schemeClr w14:val="tx1"/>
            </w14:solidFill>
          </w14:textFill>
        </w:rPr>
        <w:t>待采购人发出报价指令后填写，“第</w:t>
      </w:r>
      <w:r>
        <w:rPr>
          <w:rStyle w:val="21"/>
          <w:rFonts w:hint="eastAsia" w:ascii="宋体" w:hAnsi="宋体" w:cs="宋体"/>
          <w:b/>
          <w:bCs/>
          <w:color w:val="000000" w:themeColor="text1"/>
          <w:sz w:val="24"/>
          <w:u w:val="single"/>
          <w:lang w:val="en-US" w:eastAsia="zh-CN"/>
          <w14:textFill>
            <w14:solidFill>
              <w14:schemeClr w14:val="tx1"/>
            </w14:solidFill>
          </w14:textFill>
        </w:rPr>
        <w:t xml:space="preserve">   </w:t>
      </w:r>
      <w:r>
        <w:rPr>
          <w:rStyle w:val="21"/>
          <w:rFonts w:hint="eastAsia" w:ascii="宋体" w:hAnsi="宋体" w:cs="宋体"/>
          <w:b/>
          <w:bCs/>
          <w:color w:val="000000" w:themeColor="text1"/>
          <w:sz w:val="24"/>
          <w14:textFill>
            <w14:solidFill>
              <w14:schemeClr w14:val="tx1"/>
            </w14:solidFill>
          </w14:textFill>
        </w:rPr>
        <w:t>轮谈判报价表”加盖公章以PDF格式，使用压缩软件加密后发送至采购人指定的邮箱（</w:t>
      </w:r>
      <w:r>
        <w:rPr>
          <w:rStyle w:val="21"/>
          <w:rFonts w:hint="eastAsia" w:ascii="宋体" w:hAnsi="宋体" w:cs="宋体"/>
          <w:b/>
          <w:bCs/>
          <w:color w:val="000000" w:themeColor="text1"/>
          <w:sz w:val="24"/>
          <w:lang w:val="en-US" w:eastAsia="zh-CN"/>
          <w14:textFill>
            <w14:solidFill>
              <w14:schemeClr w14:val="tx1"/>
            </w14:solidFill>
          </w14:textFill>
        </w:rPr>
        <w:t>412392515</w:t>
      </w:r>
      <w:r>
        <w:rPr>
          <w:rStyle w:val="21"/>
          <w:rFonts w:hint="eastAsia" w:ascii="宋体" w:hAnsi="宋体" w:cs="宋体"/>
          <w:b/>
          <w:bCs/>
          <w:color w:val="000000" w:themeColor="text1"/>
          <w:sz w:val="24"/>
          <w14:textFill>
            <w14:solidFill>
              <w14:schemeClr w14:val="tx1"/>
            </w14:solidFill>
          </w14:textFill>
        </w:rPr>
        <w:t>@qq.com）。</w:t>
      </w:r>
    </w:p>
    <w:p w14:paraId="314723D5">
      <w:pPr>
        <w:snapToGrid w:val="0"/>
        <w:spacing w:before="60" w:after="60" w:line="500" w:lineRule="exact"/>
        <w:ind w:firstLine="482" w:firstLineChars="200"/>
        <w:rPr>
          <w:rStyle w:val="21"/>
          <w:rFonts w:ascii="宋体" w:hAnsi="宋体" w:cs="宋体"/>
          <w:b/>
          <w:bCs/>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6.竞争性谈判响应文件的编制</w:t>
      </w:r>
    </w:p>
    <w:p w14:paraId="3C751386">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6.1谈判响应文件按要求的内容和顺序编制，按要求签字盖章后生成PDF文档（PDF文档须清晰可辨，如因不清晰导致评标委员会无法评审，将被作为无效投标处理），使用压缩软件加密后发送至采购人指定的邮箱（</w:t>
      </w:r>
      <w:r>
        <w:rPr>
          <w:rFonts w:hint="eastAsia" w:ascii="宋体" w:hAnsi="宋体" w:cs="宋体"/>
          <w:color w:val="000000" w:themeColor="text1"/>
          <w:kern w:val="0"/>
          <w:sz w:val="24"/>
          <w:lang w:val="en-US" w:eastAsia="zh-CN"/>
          <w14:textFill>
            <w14:solidFill>
              <w14:schemeClr w14:val="tx1"/>
            </w14:solidFill>
          </w14:textFill>
        </w:rPr>
        <w:t>412392515</w:t>
      </w:r>
      <w:r>
        <w:rPr>
          <w:rFonts w:hint="eastAsia" w:ascii="宋体" w:hAnsi="宋体" w:cs="宋体"/>
          <w:color w:val="000000" w:themeColor="text1"/>
          <w:kern w:val="0"/>
          <w:sz w:val="24"/>
          <w14:textFill>
            <w14:solidFill>
              <w14:schemeClr w14:val="tx1"/>
            </w14:solidFill>
          </w14:textFill>
        </w:rPr>
        <w:t>@qq.com</w:t>
      </w:r>
      <w:r>
        <w:rPr>
          <w:rFonts w:hint="eastAsia" w:ascii="宋体" w:hAnsi="宋体" w:cs="宋体"/>
          <w:color w:val="000000" w:themeColor="text1"/>
          <w:sz w:val="24"/>
          <w14:textFill>
            <w14:solidFill>
              <w14:schemeClr w14:val="tx1"/>
            </w14:solidFill>
          </w14:textFill>
        </w:rPr>
        <w:t>），压缩包里面有且仅有一个文件。压缩包文件名为单位名称+项目名称，邮箱发送主题与压缩包须标明“(单位名称+项目名称) 谈判响应文件”字样，PDF文件名称须标明“单位名称+(项目名称)谈判响应文件”。</w:t>
      </w:r>
    </w:p>
    <w:p w14:paraId="04016B1D">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本采购项目有章印和签字要求的必须为原件的彩色扫描件。</w:t>
      </w:r>
    </w:p>
    <w:p w14:paraId="4BC004E1">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成交单位在领取成交通知书时须打印纸质投标文件正本1份、副本4份送至招标代理机构。提供的投标文件须与成交供应商提交的投标文件PDF文档一致。</w:t>
      </w:r>
    </w:p>
    <w:p w14:paraId="582330E5">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6.4投标文件格式：（1）封面；（2）谈判承诺函；（3）法定代表人身份证明书；（4）法定代表人授权书（如果有）；（5）采购清单报价表</w:t>
      </w:r>
      <w:r>
        <w:rPr>
          <w:rStyle w:val="21"/>
          <w:rFonts w:hint="eastAsia" w:ascii="宋体" w:hAnsi="宋体" w:cs="宋体"/>
          <w:bCs/>
          <w:color w:val="000000" w:themeColor="text1"/>
          <w:sz w:val="24"/>
          <w14:textFill>
            <w14:solidFill>
              <w14:schemeClr w14:val="tx1"/>
            </w14:solidFill>
          </w14:textFill>
        </w:rPr>
        <w:t>；（6）</w:t>
      </w:r>
      <w:r>
        <w:rPr>
          <w:rStyle w:val="21"/>
          <w:rFonts w:hint="eastAsia" w:ascii="宋体" w:hAnsi="宋体" w:cs="宋体"/>
          <w:color w:val="000000" w:themeColor="text1"/>
          <w:sz w:val="24"/>
          <w14:textFill>
            <w14:solidFill>
              <w14:schemeClr w14:val="tx1"/>
            </w14:solidFill>
          </w14:textFill>
        </w:rPr>
        <w:t>资格证明文件；</w:t>
      </w:r>
      <w:r>
        <w:rPr>
          <w:rFonts w:hint="eastAsia" w:ascii="宋体" w:hAnsi="宋体" w:cs="宋体"/>
          <w:bCs/>
          <w:color w:val="000000" w:themeColor="text1"/>
          <w:sz w:val="24"/>
          <w:shd w:val="clear" w:color="auto" w:fill="FFFFFF"/>
          <w14:textFill>
            <w14:solidFill>
              <w14:schemeClr w14:val="tx1"/>
            </w14:solidFill>
          </w14:textFill>
        </w:rPr>
        <w:t>（7）投标人认为有必要提供的其他资料；（8）第</w:t>
      </w:r>
      <w:r>
        <w:rPr>
          <w:rFonts w:hint="eastAsia" w:ascii="宋体" w:hAnsi="宋体" w:cs="宋体"/>
          <w:bCs/>
          <w:color w:val="000000" w:themeColor="text1"/>
          <w:sz w:val="24"/>
          <w:u w:val="single"/>
          <w:shd w:val="clear" w:color="auto" w:fill="FFFFFF"/>
          <w:lang w:val="en-US" w:eastAsia="zh-CN"/>
          <w14:textFill>
            <w14:solidFill>
              <w14:schemeClr w14:val="tx1"/>
            </w14:solidFill>
          </w14:textFill>
        </w:rPr>
        <w:t xml:space="preserve">    </w:t>
      </w:r>
      <w:r>
        <w:rPr>
          <w:rFonts w:hint="eastAsia" w:ascii="宋体" w:hAnsi="宋体" w:cs="宋体"/>
          <w:bCs/>
          <w:color w:val="000000" w:themeColor="text1"/>
          <w:sz w:val="24"/>
          <w:shd w:val="clear" w:color="auto" w:fill="FFFFFF"/>
          <w14:textFill>
            <w14:solidFill>
              <w14:schemeClr w14:val="tx1"/>
            </w14:solidFill>
          </w14:textFill>
        </w:rPr>
        <w:t>轮谈判报价表</w:t>
      </w:r>
      <w:r>
        <w:rPr>
          <w:rFonts w:hint="eastAsia" w:ascii="宋体" w:hAnsi="宋体" w:cs="宋体"/>
          <w:color w:val="000000" w:themeColor="text1"/>
          <w:sz w:val="24"/>
          <w14:textFill>
            <w14:solidFill>
              <w14:schemeClr w14:val="tx1"/>
            </w14:solidFill>
          </w14:textFill>
        </w:rPr>
        <w:t>。</w:t>
      </w:r>
    </w:p>
    <w:p w14:paraId="79C5985C">
      <w:pPr>
        <w:snapToGrid w:val="0"/>
        <w:spacing w:before="60" w:after="60" w:line="500" w:lineRule="exact"/>
        <w:ind w:firstLine="482"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7.谈判报价</w:t>
      </w:r>
    </w:p>
    <w:p w14:paraId="520568C8">
      <w:pPr>
        <w:keepNext w:val="0"/>
        <w:keepLines w:val="0"/>
        <w:kinsoku/>
        <w:overflowPunct/>
        <w:topLinePunct w:val="0"/>
        <w:bidi w:val="0"/>
        <w:spacing w:beforeAutospacing="0" w:afterAutospacing="0" w:line="42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7.1本项目设定投标报价的最高限价，采购人将拒绝高于最高限价的投标报价。</w:t>
      </w:r>
    </w:p>
    <w:p w14:paraId="18F2F7B2">
      <w:pPr>
        <w:pStyle w:val="7"/>
        <w:keepNext w:val="0"/>
        <w:keepLines w:val="0"/>
        <w:pageBreakBefore w:val="0"/>
        <w:kinsoku/>
        <w:wordWrap/>
        <w:overflowPunct/>
        <w:topLinePunct w:val="0"/>
        <w:autoSpaceDE/>
        <w:autoSpaceDN/>
        <w:bidi w:val="0"/>
        <w:adjustRightInd w:val="0"/>
        <w:snapToGrid w:val="0"/>
        <w:spacing w:before="0" w:after="0" w:line="44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7.2 </w:t>
      </w:r>
      <w:r>
        <w:rPr>
          <w:rFonts w:hint="eastAsia" w:cs="Times New Roman"/>
          <w:color w:val="auto"/>
          <w:sz w:val="24"/>
          <w:szCs w:val="22"/>
          <w:highlight w:val="none"/>
          <w:lang w:val="en-US" w:eastAsia="zh-CN" w:bidi="ar-SA"/>
        </w:rPr>
        <w:t>投标报价为投标人为完成招标范围内所有工作内容所需采购人支付的各项金额总和，包含人员工资、餐费、绿化机械、车辆、工具及燃油费、社会福利费、差旅外勤等津补贴费、设备费、材料费、管理费、保险、利润、税金等一切费用，同时应充分考虑市场风险、国家政策性调整风险系数以及承担的义务、责任、风险等一切因素。</w:t>
      </w:r>
    </w:p>
    <w:p w14:paraId="5464D599">
      <w:pPr>
        <w:pStyle w:val="36"/>
        <w:keepNext w:val="0"/>
        <w:keepLines w:val="0"/>
        <w:pageBreakBefore w:val="0"/>
        <w:widowControl w:val="0"/>
        <w:spacing w:line="440" w:lineRule="exact"/>
        <w:ind w:firstLine="480"/>
        <w:rPr>
          <w:rFonts w:hint="eastAsia" w:cs="Times New Roman"/>
          <w:color w:val="auto"/>
          <w:sz w:val="24"/>
          <w:szCs w:val="22"/>
          <w:highlight w:val="none"/>
          <w:lang w:val="en-US" w:eastAsia="zh-CN" w:bidi="ar-SA"/>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en-US" w:eastAsia="zh-CN"/>
        </w:rPr>
        <w:t xml:space="preserve">.3 </w:t>
      </w:r>
      <w:r>
        <w:rPr>
          <w:rFonts w:hint="eastAsia" w:cs="Times New Roman"/>
          <w:color w:val="auto"/>
          <w:sz w:val="24"/>
          <w:szCs w:val="22"/>
          <w:highlight w:val="none"/>
          <w:lang w:val="en-US" w:eastAsia="zh-CN" w:bidi="ar-SA"/>
        </w:rPr>
        <w:t>投标人需现场进行踏勘，应当充分了解实施项目位置、情况、道路</w:t>
      </w:r>
      <w:r>
        <w:rPr>
          <w:rFonts w:cs="Times New Roman"/>
          <w:color w:val="auto"/>
          <w:sz w:val="24"/>
          <w:szCs w:val="22"/>
          <w:highlight w:val="none"/>
          <w:lang w:val="en-US" w:eastAsia="zh-CN" w:bidi="ar-SA"/>
        </w:rPr>
        <w:t>等</w:t>
      </w:r>
      <w:r>
        <w:rPr>
          <w:rFonts w:hint="eastAsia" w:cs="Times New Roman"/>
          <w:color w:val="auto"/>
          <w:sz w:val="24"/>
          <w:szCs w:val="22"/>
          <w:highlight w:val="none"/>
          <w:lang w:val="en-US" w:eastAsia="zh-CN" w:bidi="ar-SA"/>
        </w:rPr>
        <w:t>任何其它足以影响报价的情况，并根据现场的实际情况将本项目可预见的相关费用自行考虑到投标报价中，投标人中标后可预见的相关费用包干使用。采购人提供的有关现场的数据和资料，是采购人现有的能够被投标人利用的资料，投标人对该数据和资料做出的任何推论、理解和结论采购人均不负责任，任何因忽视或误解项目情况而导致的索赔或工期延长申请将不被批准。</w:t>
      </w:r>
    </w:p>
    <w:p w14:paraId="084D09B4">
      <w:pPr>
        <w:snapToGrid w:val="0"/>
        <w:spacing w:before="60" w:after="60" w:line="500" w:lineRule="exact"/>
        <w:ind w:firstLine="480" w:firstLineChars="200"/>
        <w:rPr>
          <w:rStyle w:val="21"/>
          <w:rFonts w:hint="eastAsia" w:ascii="宋体" w:hAnsi="宋体" w:eastAsia="宋体" w:cs="宋体"/>
          <w:color w:val="000000" w:themeColor="text1"/>
          <w:sz w:val="24"/>
          <w14:textFill>
            <w14:solidFill>
              <w14:schemeClr w14:val="tx1"/>
            </w14:solidFill>
          </w14:textFill>
        </w:rPr>
      </w:pPr>
      <w:r>
        <w:rPr>
          <w:rStyle w:val="21"/>
          <w:rFonts w:hint="eastAsia" w:ascii="宋体" w:hAnsi="宋体" w:eastAsia="宋体" w:cs="宋体"/>
          <w:color w:val="000000" w:themeColor="text1"/>
          <w:sz w:val="24"/>
          <w:lang w:val="en-US" w:eastAsia="zh-CN"/>
          <w14:textFill>
            <w14:solidFill>
              <w14:schemeClr w14:val="tx1"/>
            </w14:solidFill>
          </w14:textFill>
        </w:rPr>
        <w:t>7.4</w:t>
      </w:r>
      <w:r>
        <w:rPr>
          <w:rStyle w:val="21"/>
          <w:rFonts w:hint="eastAsia" w:ascii="宋体" w:hAnsi="宋体" w:eastAsia="宋体" w:cs="宋体"/>
          <w:color w:val="000000" w:themeColor="text1"/>
          <w:sz w:val="24"/>
          <w:lang w:eastAsia="zh-CN"/>
          <w14:textFill>
            <w14:solidFill>
              <w14:schemeClr w14:val="tx1"/>
            </w14:solidFill>
          </w14:textFill>
        </w:rPr>
        <w:t>供应商</w:t>
      </w:r>
      <w:r>
        <w:rPr>
          <w:rStyle w:val="21"/>
          <w:rFonts w:hint="eastAsia" w:ascii="宋体" w:hAnsi="宋体" w:eastAsia="宋体" w:cs="宋体"/>
          <w:color w:val="000000" w:themeColor="text1"/>
          <w:sz w:val="24"/>
          <w14:textFill>
            <w14:solidFill>
              <w14:schemeClr w14:val="tx1"/>
            </w14:solidFill>
          </w14:textFill>
        </w:rPr>
        <w:t>提供的服务一律以人民币报价。</w:t>
      </w:r>
    </w:p>
    <w:p w14:paraId="22C3517A">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7.</w:t>
      </w:r>
      <w:r>
        <w:rPr>
          <w:rStyle w:val="21"/>
          <w:rFonts w:hint="eastAsia" w:ascii="宋体" w:hAnsi="宋体" w:cs="宋体"/>
          <w:color w:val="000000" w:themeColor="text1"/>
          <w:sz w:val="24"/>
          <w:lang w:val="en-US" w:eastAsia="zh-CN"/>
          <w14:textFill>
            <w14:solidFill>
              <w14:schemeClr w14:val="tx1"/>
            </w14:solidFill>
          </w14:textFill>
        </w:rPr>
        <w:t>5</w:t>
      </w:r>
      <w:r>
        <w:rPr>
          <w:rStyle w:val="21"/>
          <w:rFonts w:hint="eastAsia" w:ascii="宋体" w:hAnsi="宋体" w:cs="宋体"/>
          <w:color w:val="000000" w:themeColor="text1"/>
          <w:sz w:val="24"/>
          <w14:textFill>
            <w14:solidFill>
              <w14:schemeClr w14:val="tx1"/>
            </w14:solidFill>
          </w14:textFill>
        </w:rPr>
        <w:t>“谈判承诺函”中报价为第一轮报价。</w:t>
      </w:r>
    </w:p>
    <w:p w14:paraId="1507C3EB">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7.</w:t>
      </w:r>
      <w:r>
        <w:rPr>
          <w:rStyle w:val="21"/>
          <w:rFonts w:hint="eastAsia" w:ascii="宋体" w:hAnsi="宋体" w:cs="宋体"/>
          <w:color w:val="000000" w:themeColor="text1"/>
          <w:sz w:val="24"/>
          <w:lang w:val="en-US" w:eastAsia="zh-CN"/>
          <w14:textFill>
            <w14:solidFill>
              <w14:schemeClr w14:val="tx1"/>
            </w14:solidFill>
          </w14:textFill>
        </w:rPr>
        <w:t>6</w:t>
      </w:r>
      <w:r>
        <w:rPr>
          <w:rStyle w:val="21"/>
          <w:rFonts w:hint="eastAsia" w:ascii="宋体" w:hAnsi="宋体" w:cs="宋体"/>
          <w:color w:val="000000" w:themeColor="text1"/>
          <w:sz w:val="24"/>
          <w14:textFill>
            <w14:solidFill>
              <w14:schemeClr w14:val="tx1"/>
            </w14:solidFill>
          </w14:textFill>
        </w:rPr>
        <w:t xml:space="preserve"> 本项目谈判可能进行多轮次，但成交价以最后一轮谈判报价为准。放弃报价的单位以上一轮报价为最终报价。</w:t>
      </w:r>
    </w:p>
    <w:p w14:paraId="0CC42278">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7.</w:t>
      </w:r>
      <w:r>
        <w:rPr>
          <w:rStyle w:val="21"/>
          <w:rFonts w:hint="eastAsia" w:ascii="宋体" w:hAnsi="宋体" w:cs="宋体"/>
          <w:color w:val="000000" w:themeColor="text1"/>
          <w:sz w:val="24"/>
          <w:lang w:val="en-US" w:eastAsia="zh-CN"/>
          <w14:textFill>
            <w14:solidFill>
              <w14:schemeClr w14:val="tx1"/>
            </w14:solidFill>
          </w14:textFill>
        </w:rPr>
        <w:t>7</w:t>
      </w:r>
      <w:r>
        <w:rPr>
          <w:rStyle w:val="21"/>
          <w:rFonts w:hint="eastAsia" w:ascii="宋体" w:hAnsi="宋体" w:cs="宋体"/>
          <w:color w:val="000000" w:themeColor="text1"/>
          <w:sz w:val="24"/>
          <w14:textFill>
            <w14:solidFill>
              <w14:schemeClr w14:val="tx1"/>
            </w14:solidFill>
          </w14:textFill>
        </w:rPr>
        <w:t>最终成交单价按照最终成交报价和第一轮报价同</w:t>
      </w:r>
      <w:r>
        <w:rPr>
          <w:rStyle w:val="21"/>
          <w:rFonts w:hint="eastAsia" w:ascii="宋体" w:hAnsi="宋体" w:cs="宋体"/>
          <w:color w:val="000000" w:themeColor="text1"/>
          <w:sz w:val="24"/>
          <w:lang w:val="en-US" w:eastAsia="zh-CN"/>
          <w14:textFill>
            <w14:solidFill>
              <w14:schemeClr w14:val="tx1"/>
            </w14:solidFill>
          </w14:textFill>
        </w:rPr>
        <w:t>比例</w:t>
      </w:r>
      <w:r>
        <w:rPr>
          <w:rStyle w:val="21"/>
          <w:rFonts w:hint="eastAsia" w:ascii="宋体" w:hAnsi="宋体" w:cs="宋体"/>
          <w:color w:val="000000" w:themeColor="text1"/>
          <w:sz w:val="24"/>
          <w14:textFill>
            <w14:solidFill>
              <w14:schemeClr w14:val="tx1"/>
            </w14:solidFill>
          </w14:textFill>
        </w:rPr>
        <w:t>下浮。</w:t>
      </w:r>
    </w:p>
    <w:p w14:paraId="4FBC1BD2">
      <w:pPr>
        <w:snapToGrid w:val="0"/>
        <w:spacing w:before="60" w:after="60" w:line="500" w:lineRule="exact"/>
        <w:ind w:firstLine="482"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8.供应商的资格证明文件</w:t>
      </w:r>
    </w:p>
    <w:p w14:paraId="09D45FDD">
      <w:pPr>
        <w:pStyle w:val="24"/>
        <w:snapToGrid w:val="0"/>
        <w:spacing w:before="60" w:after="60" w:line="500" w:lineRule="exact"/>
        <w:ind w:left="0" w:leftChars="0"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8.1供应商必须按照竞争性谈判响应文件格式中的要求提供有关资格证明文件，作为竞争性谈判响应文件的一部分，以证明其有资格参加谈判和有能力履行合同。</w:t>
      </w:r>
    </w:p>
    <w:p w14:paraId="154F9AD0">
      <w:pPr>
        <w:snapToGrid w:val="0"/>
        <w:spacing w:before="60" w:after="60" w:line="500" w:lineRule="exact"/>
        <w:ind w:firstLine="482"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9.谈判有效期</w:t>
      </w:r>
    </w:p>
    <w:p w14:paraId="32B50D80">
      <w:pPr>
        <w:snapToGrid w:val="0"/>
        <w:spacing w:before="60" w:after="60" w:line="500" w:lineRule="exact"/>
        <w:ind w:firstLine="480" w:firstLineChars="200"/>
        <w:rPr>
          <w:rStyle w:val="21"/>
          <w:rFonts w:ascii="宋体" w:hAnsi="宋体" w:cs="宋体"/>
          <w:bCs/>
          <w:color w:val="000000" w:themeColor="text1"/>
          <w:sz w:val="24"/>
          <w14:textFill>
            <w14:solidFill>
              <w14:schemeClr w14:val="tx1"/>
            </w14:solidFill>
          </w14:textFill>
        </w:rPr>
      </w:pPr>
      <w:r>
        <w:rPr>
          <w:rStyle w:val="21"/>
          <w:rFonts w:hint="eastAsia" w:ascii="宋体" w:hAnsi="宋体" w:cs="宋体"/>
          <w:bCs/>
          <w:color w:val="000000" w:themeColor="text1"/>
          <w:sz w:val="24"/>
          <w14:textFill>
            <w14:solidFill>
              <w14:schemeClr w14:val="tx1"/>
            </w14:solidFill>
          </w14:textFill>
        </w:rPr>
        <w:t>9.1谈判有效期为从谈判之日起60天。谈判有效期比规定短的将被视为非响应而予以拒绝。</w:t>
      </w:r>
    </w:p>
    <w:p w14:paraId="2A70DB08">
      <w:pPr>
        <w:tabs>
          <w:tab w:val="left" w:pos="1280"/>
        </w:tabs>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bCs/>
          <w:color w:val="000000" w:themeColor="text1"/>
          <w:sz w:val="24"/>
          <w14:textFill>
            <w14:solidFill>
              <w14:schemeClr w14:val="tx1"/>
            </w14:solidFill>
          </w14:textFill>
        </w:rPr>
        <w:t>9.2在特殊情况下，采购人于原谈判有效期满之前，可向供应商提出延长谈判有效期</w:t>
      </w:r>
      <w:r>
        <w:rPr>
          <w:rStyle w:val="21"/>
          <w:rFonts w:hint="eastAsia" w:ascii="宋体" w:hAnsi="宋体" w:cs="宋体"/>
          <w:color w:val="000000" w:themeColor="text1"/>
          <w:sz w:val="24"/>
          <w14:textFill>
            <w14:solidFill>
              <w14:schemeClr w14:val="tx1"/>
            </w14:solidFill>
          </w14:textFill>
        </w:rPr>
        <w:t>的要求，供应商可以拒绝接受采购人的这种要求而放弃参加谈判，采购人在接到供应商书面答复后，将同意延长的供应商既不能要求也不允许修改其竞争性谈判响应文件， 同时受谈判有效期约束的所有权利与义务均延长至新的有效期。</w:t>
      </w:r>
    </w:p>
    <w:p w14:paraId="37AAA575">
      <w:pPr>
        <w:adjustRightInd w:val="0"/>
        <w:snapToGrid w:val="0"/>
        <w:spacing w:line="360" w:lineRule="auto"/>
        <w:jc w:val="both"/>
        <w:rPr>
          <w:rStyle w:val="21"/>
          <w:rFonts w:ascii="宋体" w:hAnsi="宋体" w:cs="宋体"/>
          <w:b/>
          <w:color w:val="000000" w:themeColor="text1"/>
          <w:sz w:val="24"/>
          <w14:textFill>
            <w14:solidFill>
              <w14:schemeClr w14:val="tx1"/>
            </w14:solidFill>
          </w14:textFill>
        </w:rPr>
      </w:pPr>
    </w:p>
    <w:p w14:paraId="748C9FF1">
      <w:pPr>
        <w:adjustRightInd w:val="0"/>
        <w:snapToGrid w:val="0"/>
        <w:spacing w:line="360" w:lineRule="auto"/>
        <w:jc w:val="center"/>
        <w:rPr>
          <w:rFonts w:ascii="宋体" w:hAnsi="宋体" w:cs="宋体"/>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四、竞争性谈判响应文件的密封与递交</w:t>
      </w:r>
    </w:p>
    <w:p w14:paraId="4922C1BB">
      <w:pPr>
        <w:spacing w:beforeLines="25" w:afterLines="25"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10.1各潜在供应商必须在投标截止时间前发送加密的谈判响应文件至采购人指定的邮箱（</w:t>
      </w:r>
      <w:r>
        <w:rPr>
          <w:rFonts w:hint="eastAsia" w:ascii="宋体" w:hAnsi="宋体" w:cs="宋体"/>
          <w:color w:val="000000" w:themeColor="text1"/>
          <w:sz w:val="24"/>
          <w:lang w:val="en-US" w:eastAsia="zh-CN"/>
          <w14:textFill>
            <w14:solidFill>
              <w14:schemeClr w14:val="tx1"/>
            </w14:solidFill>
          </w14:textFill>
        </w:rPr>
        <w:t>412392515</w:t>
      </w:r>
      <w:r>
        <w:rPr>
          <w:rFonts w:ascii="宋体" w:hAnsi="宋体" w:cs="宋体"/>
          <w:color w:val="000000" w:themeColor="text1"/>
          <w:sz w:val="24"/>
          <w14:textFill>
            <w14:solidFill>
              <w14:schemeClr w14:val="tx1"/>
            </w14:solidFill>
          </w14:textFill>
        </w:rPr>
        <w:t>@qq.com</w:t>
      </w:r>
      <w:r>
        <w:rPr>
          <w:rFonts w:hint="eastAsia" w:ascii="宋体" w:hAnsi="宋体" w:cs="宋体"/>
          <w:color w:val="000000" w:themeColor="text1"/>
          <w:sz w:val="24"/>
          <w14:textFill>
            <w14:solidFill>
              <w14:schemeClr w14:val="tx1"/>
            </w14:solidFill>
          </w14:textFill>
        </w:rPr>
        <w:t xml:space="preserve">）。 </w:t>
      </w:r>
    </w:p>
    <w:p w14:paraId="201F59D1">
      <w:pPr>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10.2各潜在供应商需在开标前提前下载“腾讯会议”直播APP，参见开标会议，会</w:t>
      </w:r>
      <w:r>
        <w:rPr>
          <w:rFonts w:hint="eastAsia" w:ascii="宋体" w:hAnsi="宋体" w:cs="宋体"/>
          <w:color w:val="0000FF"/>
          <w:sz w:val="24"/>
        </w:rPr>
        <w:t>议号：</w:t>
      </w:r>
      <w:r>
        <w:rPr>
          <w:rStyle w:val="21"/>
          <w:rFonts w:hint="eastAsia" w:ascii="宋体" w:hAnsi="宋体" w:cs="宋体"/>
          <w:color w:val="0000FF"/>
          <w:kern w:val="0"/>
          <w:sz w:val="24"/>
          <w:u w:val="single"/>
        </w:rPr>
        <w:t xml:space="preserve"> </w:t>
      </w:r>
      <w:r>
        <w:rPr>
          <w:rStyle w:val="21"/>
          <w:rFonts w:hint="eastAsia" w:ascii="宋体" w:hAnsi="宋体" w:cs="宋体"/>
          <w:color w:val="0000FF"/>
          <w:kern w:val="0"/>
          <w:sz w:val="24"/>
          <w:u w:val="single"/>
          <w:lang w:val="en-US" w:eastAsia="zh-CN"/>
        </w:rPr>
        <w:t xml:space="preserve">492654415 </w:t>
      </w:r>
      <w:r>
        <w:rPr>
          <w:rStyle w:val="21"/>
          <w:rFonts w:hint="eastAsia" w:ascii="宋体" w:hAnsi="宋体" w:cs="宋体"/>
          <w:color w:val="0000FF"/>
          <w:kern w:val="0"/>
          <w:sz w:val="24"/>
          <w:u w:val="single"/>
        </w:rPr>
        <w:t xml:space="preserve"> </w:t>
      </w:r>
      <w:r>
        <w:rPr>
          <w:rFonts w:hint="eastAsia" w:ascii="宋体" w:hAnsi="宋体" w:cs="宋体"/>
          <w:color w:val="000000" w:themeColor="text1"/>
          <w:sz w:val="24"/>
          <w14:textFill>
            <w14:solidFill>
              <w14:schemeClr w14:val="tx1"/>
            </w14:solidFill>
          </w14:textFill>
        </w:rPr>
        <w:t>，直接观看直播和在线交流。各潜在供应商自行准备相关硬件设备，确保网络畅通，音响保持正常使用状态。不得因未能观看到视频直播对开标会议提出质疑。</w:t>
      </w:r>
    </w:p>
    <w:p w14:paraId="6BC218CF">
      <w:pPr>
        <w:spacing w:beforeLines="25" w:afterLines="25"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10.3 各潜在供应商必须在 谈判响应文件提交截止时间后15分钟内，将响应文件的解密密码发送至采购人指定的邮箱，邮箱主题标明“单位名称+解密密码”字样，逾期未发送或因自身原因未能发送的，其投标无效。</w:t>
      </w:r>
    </w:p>
    <w:p w14:paraId="0A480511">
      <w:pPr>
        <w:spacing w:beforeLines="25" w:afterLines="25"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10.4 谈判响应文件有下列情形之一的，将被拒绝接收：</w:t>
      </w:r>
    </w:p>
    <w:p w14:paraId="0C0F975D">
      <w:pPr>
        <w:spacing w:beforeLines="25" w:afterLines="25"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10.4.1各潜在供应商递交的响应文件和解密密码由不同邮箱发送的；</w:t>
      </w:r>
    </w:p>
    <w:p w14:paraId="72E243CC">
      <w:pPr>
        <w:spacing w:beforeLines="25" w:afterLines="25"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10.4.2各潜在供应商递交的响应文件逾期到达或未发送至指定邮箱的；</w:t>
      </w:r>
    </w:p>
    <w:p w14:paraId="1B9B275D">
      <w:pPr>
        <w:spacing w:beforeLines="25" w:afterLines="25"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10.4.3各潜在供应商的解密密码在响应文件提交截止时间前发送的或在规定发送密码的截止时间后发送的。</w:t>
      </w:r>
    </w:p>
    <w:p w14:paraId="246A8D72">
      <w:pPr>
        <w:spacing w:beforeLines="25" w:afterLines="25"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10.4.4各潜在供应商递交的响应文件</w:t>
      </w:r>
      <w:r>
        <w:rPr>
          <w:rFonts w:hint="eastAsia" w:ascii="宋体" w:hAnsi="宋体" w:cs="宋体"/>
          <w:b/>
          <w:bCs/>
          <w:color w:val="000000" w:themeColor="text1"/>
          <w:sz w:val="24"/>
          <w14:textFill>
            <w14:solidFill>
              <w14:schemeClr w14:val="tx1"/>
            </w14:solidFill>
          </w14:textFill>
        </w:rPr>
        <w:t>未加密的谈判文件或解压后文件无法正常打开的其谈判响应文件无效。</w:t>
      </w:r>
    </w:p>
    <w:p w14:paraId="447FFB22">
      <w:pPr>
        <w:keepNext w:val="0"/>
        <w:keepLines w:val="0"/>
        <w:kinsoku/>
        <w:overflowPunct/>
        <w:topLinePunct w:val="0"/>
        <w:bidi w:val="0"/>
        <w:spacing w:beforeAutospacing="0" w:afterAutospacing="0" w:line="420" w:lineRule="exact"/>
        <w:ind w:firstLine="480" w:firstLineChars="200"/>
        <w:textAlignment w:val="auto"/>
        <w:rPr>
          <w:rFonts w:hint="default" w:ascii="宋体" w:hAnsi="宋体" w:eastAsia="宋体" w:cs="宋体"/>
          <w:b/>
          <w:bCs/>
          <w:color w:val="FF0000"/>
          <w:sz w:val="24"/>
          <w:highlight w:val="none"/>
          <w:lang w:val="en-US" w:eastAsia="zh-CN"/>
        </w:rPr>
      </w:pPr>
      <w:r>
        <w:rPr>
          <w:rFonts w:hint="eastAsia" w:ascii="宋体" w:hAnsi="宋体" w:cs="宋体"/>
          <w:color w:val="000000" w:themeColor="text1"/>
          <w:sz w:val="24"/>
          <w14:textFill>
            <w14:solidFill>
              <w14:schemeClr w14:val="tx1"/>
            </w14:solidFill>
          </w14:textFill>
        </w:rPr>
        <w:t xml:space="preserve">10.5 </w:t>
      </w:r>
      <w:r>
        <w:rPr>
          <w:rFonts w:hint="eastAsia" w:ascii="宋体" w:hAnsi="宋体" w:eastAsia="宋体" w:cs="宋体"/>
          <w:b/>
          <w:bCs/>
          <w:color w:val="FF0000"/>
          <w:sz w:val="24"/>
          <w:highlight w:val="none"/>
        </w:rPr>
        <w:t>各谈判供应商法定代表人或授权代表须持身份证原件出席视频直播会议，并保证在</w:t>
      </w:r>
      <w:r>
        <w:rPr>
          <w:rFonts w:hint="eastAsia" w:ascii="宋体" w:hAnsi="宋体" w:eastAsia="宋体" w:cs="宋体"/>
          <w:b/>
          <w:bCs/>
          <w:color w:val="FF0000"/>
          <w:sz w:val="24"/>
          <w:highlight w:val="none"/>
          <w:lang w:val="en-US" w:eastAsia="zh-CN"/>
        </w:rPr>
        <w:t>开标后根据主持人发出</w:t>
      </w:r>
      <w:r>
        <w:rPr>
          <w:rFonts w:hint="eastAsia" w:ascii="宋体" w:hAnsi="宋体" w:cs="宋体"/>
          <w:b/>
          <w:bCs/>
          <w:color w:val="FF0000"/>
          <w:sz w:val="24"/>
          <w:highlight w:val="none"/>
          <w:lang w:val="en-US" w:eastAsia="zh-CN"/>
        </w:rPr>
        <w:t>针对性</w:t>
      </w:r>
      <w:r>
        <w:rPr>
          <w:rFonts w:hint="eastAsia" w:ascii="宋体" w:hAnsi="宋体" w:eastAsia="宋体" w:cs="宋体"/>
          <w:b/>
          <w:bCs/>
          <w:color w:val="FF0000"/>
          <w:sz w:val="24"/>
          <w:highlight w:val="none"/>
          <w:lang w:val="en-US" w:eastAsia="zh-CN"/>
        </w:rPr>
        <w:t>指令</w:t>
      </w:r>
      <w:r>
        <w:rPr>
          <w:rFonts w:hint="eastAsia" w:ascii="宋体" w:hAnsi="宋体" w:cs="宋体"/>
          <w:b/>
          <w:bCs/>
          <w:color w:val="FF0000"/>
          <w:sz w:val="24"/>
          <w:highlight w:val="none"/>
          <w:lang w:val="en-US" w:eastAsia="zh-CN"/>
        </w:rPr>
        <w:t>后</w:t>
      </w:r>
      <w:r>
        <w:rPr>
          <w:rFonts w:hint="eastAsia" w:ascii="宋体" w:hAnsi="宋体" w:eastAsia="宋体" w:cs="宋体"/>
          <w:b/>
          <w:bCs/>
          <w:color w:val="FF0000"/>
          <w:sz w:val="24"/>
          <w:highlight w:val="none"/>
          <w:lang w:val="en-US" w:eastAsia="zh-CN"/>
        </w:rPr>
        <w:t>15分钟内出示身份证</w:t>
      </w:r>
      <w:r>
        <w:rPr>
          <w:rFonts w:hint="eastAsia" w:ascii="宋体" w:hAnsi="宋体" w:eastAsia="宋体" w:cs="宋体"/>
          <w:b/>
          <w:bCs/>
          <w:color w:val="FF0000"/>
          <w:sz w:val="24"/>
          <w:highlight w:val="none"/>
        </w:rPr>
        <w:t>，由</w:t>
      </w:r>
      <w:r>
        <w:rPr>
          <w:rFonts w:hint="eastAsia" w:ascii="宋体" w:hAnsi="宋体" w:eastAsia="宋体" w:cs="宋体"/>
          <w:b/>
          <w:bCs/>
          <w:color w:val="FF0000"/>
          <w:sz w:val="24"/>
          <w:highlight w:val="none"/>
          <w:lang w:eastAsia="zh-CN"/>
        </w:rPr>
        <w:t>采购人</w:t>
      </w:r>
      <w:r>
        <w:rPr>
          <w:rFonts w:hint="eastAsia" w:ascii="宋体" w:hAnsi="宋体" w:eastAsia="宋体" w:cs="宋体"/>
          <w:b/>
          <w:bCs/>
          <w:color w:val="FF0000"/>
          <w:sz w:val="24"/>
          <w:highlight w:val="none"/>
        </w:rPr>
        <w:t>代表核验。</w:t>
      </w:r>
      <w:r>
        <w:rPr>
          <w:rFonts w:hint="eastAsia" w:ascii="宋体" w:hAnsi="宋体" w:eastAsia="宋体" w:cs="宋体"/>
          <w:b/>
          <w:bCs/>
          <w:color w:val="FF0000"/>
          <w:sz w:val="24"/>
          <w:highlight w:val="none"/>
          <w:lang w:val="en-US" w:eastAsia="zh-CN"/>
        </w:rPr>
        <w:t>未出示的或未及时出示的视为自动放弃投标。</w:t>
      </w:r>
    </w:p>
    <w:p w14:paraId="20B542B8">
      <w:pPr>
        <w:spacing w:beforeLines="25" w:afterLines="25"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10.6 无效谈判文件   </w:t>
      </w:r>
    </w:p>
    <w:p w14:paraId="0EF118C2">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r>
        <w:rPr>
          <w:rFonts w:hint="eastAsia" w:ascii="宋体" w:hAnsi="宋体" w:cs="宋体"/>
          <w:bCs/>
          <w:color w:val="000000" w:themeColor="text1"/>
          <w:sz w:val="24"/>
          <w14:textFill>
            <w14:solidFill>
              <w14:schemeClr w14:val="tx1"/>
            </w14:solidFill>
          </w14:textFill>
        </w:rPr>
        <w:t>.1未按照谈判文件要求上传电子谈判文件的；</w:t>
      </w:r>
    </w:p>
    <w:p w14:paraId="4E0B3DCF">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r>
        <w:rPr>
          <w:rFonts w:hint="eastAsia" w:ascii="宋体" w:hAnsi="宋体" w:cs="宋体"/>
          <w:bCs/>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未在规定解密时间内进行解密；</w:t>
      </w:r>
    </w:p>
    <w:p w14:paraId="297EE2BA">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r>
        <w:rPr>
          <w:rFonts w:hint="eastAsia" w:ascii="宋体" w:hAnsi="宋体" w:cs="宋体"/>
          <w:bCs/>
          <w:color w:val="000000" w:themeColor="text1"/>
          <w:sz w:val="24"/>
          <w14:textFill>
            <w14:solidFill>
              <w14:schemeClr w14:val="tx1"/>
            </w14:solidFill>
          </w14:textFill>
        </w:rPr>
        <w:t>.3谈判报价时采用选择性报价；</w:t>
      </w:r>
    </w:p>
    <w:p w14:paraId="2EBC46F0">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r>
        <w:rPr>
          <w:rFonts w:hint="eastAsia" w:ascii="宋体" w:hAnsi="宋体" w:cs="宋体"/>
          <w:bCs/>
          <w:color w:val="000000" w:themeColor="text1"/>
          <w:sz w:val="24"/>
          <w14:textFill>
            <w14:solidFill>
              <w14:schemeClr w14:val="tx1"/>
            </w14:solidFill>
          </w14:textFill>
        </w:rPr>
        <w:t>.4 谈判报价超过了采购预算或最高限价的；</w:t>
      </w:r>
    </w:p>
    <w:p w14:paraId="13F61B7F">
      <w:pPr>
        <w:spacing w:line="420" w:lineRule="exact"/>
        <w:ind w:firstLine="480" w:firstLineChars="200"/>
        <w:rPr>
          <w:rFonts w:ascii="宋体" w:hAnsi="宋体" w:cs="宋体"/>
          <w:bCs/>
          <w:i/>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r>
        <w:rPr>
          <w:rFonts w:hint="eastAsia" w:ascii="宋体" w:hAnsi="宋体" w:cs="宋体"/>
          <w:bCs/>
          <w:color w:val="000000" w:themeColor="text1"/>
          <w:sz w:val="24"/>
          <w14:textFill>
            <w14:solidFill>
              <w14:schemeClr w14:val="tx1"/>
            </w14:solidFill>
          </w14:textFill>
        </w:rPr>
        <w:t>.5未通过符合性检查的；</w:t>
      </w:r>
    </w:p>
    <w:p w14:paraId="5CA6A7B2">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r>
        <w:rPr>
          <w:rFonts w:hint="eastAsia" w:ascii="宋体" w:hAnsi="宋体" w:cs="宋体"/>
          <w:bCs/>
          <w:color w:val="000000" w:themeColor="text1"/>
          <w:sz w:val="24"/>
          <w14:textFill>
            <w14:solidFill>
              <w14:schemeClr w14:val="tx1"/>
            </w14:solidFill>
          </w14:textFill>
        </w:rPr>
        <w:t>.6不符合招标文件中规定的其他实质性要求和条件的；</w:t>
      </w:r>
    </w:p>
    <w:p w14:paraId="70078EDA">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r>
        <w:rPr>
          <w:rFonts w:hint="eastAsia" w:ascii="宋体" w:hAnsi="宋体" w:cs="宋体"/>
          <w:bCs/>
          <w:color w:val="000000" w:themeColor="text1"/>
          <w:sz w:val="24"/>
          <w14:textFill>
            <w14:solidFill>
              <w14:schemeClr w14:val="tx1"/>
            </w14:solidFill>
          </w14:textFill>
        </w:rPr>
        <w:t>.7谈判人串通响应谈判；</w:t>
      </w:r>
    </w:p>
    <w:p w14:paraId="558D0B44">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r>
        <w:rPr>
          <w:rFonts w:hint="eastAsia" w:ascii="宋体" w:hAnsi="宋体" w:cs="宋体"/>
          <w:bCs/>
          <w:color w:val="000000" w:themeColor="text1"/>
          <w:sz w:val="24"/>
          <w14:textFill>
            <w14:solidFill>
              <w14:schemeClr w14:val="tx1"/>
            </w14:solidFill>
          </w14:textFill>
        </w:rPr>
        <w:t>.8响应文件含有采购人不能接受的附加条件的。</w:t>
      </w:r>
    </w:p>
    <w:p w14:paraId="65266322">
      <w:pPr>
        <w:pStyle w:val="13"/>
        <w:adjustRightInd w:val="0"/>
        <w:snapToGrid w:val="0"/>
        <w:spacing w:beforeLines="25" w:beforeAutospacing="0" w:afterLines="25" w:afterAutospacing="0" w:line="42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10.6.9 投标文件未加密的，或者在规定时段内未发送解密密码的；</w:t>
      </w:r>
    </w:p>
    <w:p w14:paraId="2B968DED">
      <w:pPr>
        <w:pStyle w:val="13"/>
        <w:adjustRightInd w:val="0"/>
        <w:snapToGrid w:val="0"/>
        <w:spacing w:beforeLines="25" w:beforeAutospacing="0" w:afterLines="25" w:afterAutospacing="0" w:line="42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10.6.10 因PDF文档不清晰让评标委员会无法评审的；</w:t>
      </w:r>
    </w:p>
    <w:p w14:paraId="4180A641">
      <w:pPr>
        <w:pStyle w:val="13"/>
        <w:adjustRightInd w:val="0"/>
        <w:snapToGrid w:val="0"/>
        <w:spacing w:beforeLines="25" w:beforeAutospacing="0" w:afterLines="25" w:afterAutospacing="0" w:line="42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10.6.11未按招标文件要求制作投标文件PDF的；</w:t>
      </w:r>
    </w:p>
    <w:p w14:paraId="64F581BA">
      <w:pPr>
        <w:pStyle w:val="13"/>
        <w:adjustRightInd w:val="0"/>
        <w:snapToGrid w:val="0"/>
        <w:spacing w:beforeLines="25" w:beforeAutospacing="0" w:afterLines="25" w:afterAutospacing="0" w:line="420" w:lineRule="exact"/>
        <w:ind w:firstLine="480" w:firstLineChars="200"/>
        <w:jc w:val="both"/>
        <w:rPr>
          <w:bCs/>
          <w:color w:val="000000" w:themeColor="text1"/>
          <w14:textFill>
            <w14:solidFill>
              <w14:schemeClr w14:val="tx1"/>
            </w14:solidFill>
          </w14:textFill>
        </w:rPr>
      </w:pPr>
      <w:r>
        <w:rPr>
          <w:rFonts w:hint="eastAsia"/>
          <w:color w:val="000000" w:themeColor="text1"/>
          <w14:textFill>
            <w14:solidFill>
              <w14:schemeClr w14:val="tx1"/>
            </w14:solidFill>
          </w14:textFill>
        </w:rPr>
        <w:t>10.6.12 不同投标人的投标文件由同一邮箱发送投标文件的；</w:t>
      </w:r>
    </w:p>
    <w:p w14:paraId="653EF4F6">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r>
        <w:rPr>
          <w:rFonts w:hint="eastAsia" w:ascii="宋体" w:hAnsi="宋体" w:cs="宋体"/>
          <w:bCs/>
          <w:color w:val="000000" w:themeColor="text1"/>
          <w:sz w:val="24"/>
          <w14:textFill>
            <w14:solidFill>
              <w14:schemeClr w14:val="tx1"/>
            </w14:solidFill>
          </w14:textFill>
        </w:rPr>
        <w:t>.13 谈判小组认为投标人的报价明显低于其他通过符合性审查投标人的报价，有可能影响产品质量或者不能诚信履约的，应当要求其在谈判现场合理的时间内提供书面说明，必要时提交相关证明材料；投标人不能证明其报价合理性的，评标委员会应当将其作为无效投标处理。</w:t>
      </w:r>
    </w:p>
    <w:p w14:paraId="43AE560E">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w:t>
      </w:r>
      <w:r>
        <w:rPr>
          <w:rFonts w:hint="eastAsia" w:ascii="宋体" w:hAnsi="宋体" w:cs="宋体"/>
          <w:bCs/>
          <w:color w:val="000000" w:themeColor="text1"/>
          <w:sz w:val="24"/>
          <w14:textFill>
            <w14:solidFill>
              <w14:schemeClr w14:val="tx1"/>
            </w14:solidFill>
          </w14:textFill>
        </w:rPr>
        <w:t>.14响应文件未按照谈判文件要求加盖公章。</w:t>
      </w:r>
    </w:p>
    <w:p w14:paraId="56ACBDFC">
      <w:pPr>
        <w:pStyle w:val="13"/>
        <w:adjustRightInd w:val="0"/>
        <w:snapToGrid w:val="0"/>
        <w:spacing w:beforeLines="25" w:beforeAutospacing="0" w:afterLines="25" w:afterAutospacing="0" w:line="42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10.6</w:t>
      </w:r>
      <w:r>
        <w:rPr>
          <w:rFonts w:hint="eastAsia"/>
          <w:bCs/>
          <w:color w:val="000000" w:themeColor="text1"/>
          <w14:textFill>
            <w14:solidFill>
              <w14:schemeClr w14:val="tx1"/>
            </w14:solidFill>
          </w14:textFill>
        </w:rPr>
        <w:t>.15</w:t>
      </w:r>
      <w:r>
        <w:rPr>
          <w:rFonts w:hint="eastAsia"/>
          <w:color w:val="000000" w:themeColor="text1"/>
          <w14:textFill>
            <w14:solidFill>
              <w14:schemeClr w14:val="tx1"/>
            </w14:solidFill>
          </w14:textFill>
        </w:rPr>
        <w:t>谈判人递交两份或多份内容不同的响应文件，或在一份响应文件中对同一谈判项目报有两个或多个报价，且未声明哪一个有效，按谈判文件规定提交备选方案的除外；</w:t>
      </w:r>
    </w:p>
    <w:p w14:paraId="1539DF89">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10.6.16</w:t>
      </w:r>
      <w:r>
        <w:rPr>
          <w:rFonts w:hint="eastAsia" w:ascii="宋体" w:hAnsi="宋体" w:cs="宋体"/>
          <w:bCs/>
          <w:color w:val="000000" w:themeColor="text1"/>
          <w:sz w:val="24"/>
          <w14:textFill>
            <w14:solidFill>
              <w14:schemeClr w14:val="tx1"/>
            </w14:solidFill>
          </w14:textFill>
        </w:rPr>
        <w:t>其他法律、法规及本招标文件规定的属无效投标的情形。</w:t>
      </w:r>
    </w:p>
    <w:p w14:paraId="3D325C16">
      <w:pPr>
        <w:spacing w:line="420" w:lineRule="exact"/>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10.7废标条款：</w:t>
      </w:r>
    </w:p>
    <w:p w14:paraId="7B83F455">
      <w:pPr>
        <w:spacing w:line="360" w:lineRule="auto"/>
        <w:ind w:firstLine="480" w:firstLineChars="200"/>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10.7.1出现影响采购公正的违法、违规行为的；</w:t>
      </w:r>
    </w:p>
    <w:p w14:paraId="4BFD1CDC">
      <w:pPr>
        <w:spacing w:line="360" w:lineRule="auto"/>
        <w:ind w:firstLine="480" w:firstLineChars="200"/>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10.7.2因重大变故，采购任务取消的；</w:t>
      </w:r>
    </w:p>
    <w:p w14:paraId="5CC8D68C">
      <w:pPr>
        <w:spacing w:line="360" w:lineRule="auto"/>
        <w:ind w:firstLine="480" w:firstLineChars="200"/>
        <w:textAlignment w:val="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10.7.3评标委员会认定招标文件存在歧义、重大缺陷导致评审工作无法进行。</w:t>
      </w:r>
    </w:p>
    <w:p w14:paraId="43981865">
      <w:pPr>
        <w:spacing w:line="360" w:lineRule="auto"/>
        <w:ind w:firstLine="480" w:firstLineChars="200"/>
        <w:textAlignment w:val="auto"/>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10.7.4 响应文件改变采购清单的采购数量、采购清单报价不按采购清单格式报价的；</w:t>
      </w:r>
    </w:p>
    <w:p w14:paraId="1ABE72AE">
      <w:pPr>
        <w:spacing w:line="360" w:lineRule="auto"/>
        <w:ind w:firstLine="480" w:firstLineChars="200"/>
        <w:textAlignment w:val="auto"/>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10.7.5 响应性文件含有采购人不能接受的附加条件；</w:t>
      </w:r>
    </w:p>
    <w:p w14:paraId="6139FFBD">
      <w:pPr>
        <w:spacing w:line="360" w:lineRule="auto"/>
        <w:ind w:firstLine="480" w:firstLineChars="200"/>
        <w:textAlignment w:val="auto"/>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 xml:space="preserve">10.7.6 </w:t>
      </w:r>
      <w:r>
        <w:rPr>
          <w:rFonts w:hint="eastAsia" w:ascii="宋体" w:hAnsi="宋体" w:eastAsia="宋体" w:cs="宋体"/>
          <w:color w:val="auto"/>
          <w:sz w:val="24"/>
          <w:highlight w:val="none"/>
        </w:rPr>
        <w:t>不符合</w:t>
      </w:r>
      <w:r>
        <w:rPr>
          <w:rFonts w:hint="eastAsia" w:ascii="宋体" w:hAnsi="宋体" w:eastAsia="宋体" w:cs="宋体"/>
          <w:color w:val="auto"/>
          <w:sz w:val="24"/>
          <w:highlight w:val="none"/>
          <w:lang w:val="en-US" w:eastAsia="zh-CN"/>
        </w:rPr>
        <w:t>谈判</w:t>
      </w:r>
      <w:r>
        <w:rPr>
          <w:rFonts w:hint="eastAsia" w:ascii="宋体" w:hAnsi="宋体" w:eastAsia="宋体" w:cs="宋体"/>
          <w:color w:val="auto"/>
          <w:sz w:val="24"/>
          <w:highlight w:val="none"/>
        </w:rPr>
        <w:t>文件中规定的其它实质性条款；</w:t>
      </w:r>
    </w:p>
    <w:p w14:paraId="27B96437">
      <w:pPr>
        <w:spacing w:beforeLines="25" w:afterLines="25" w:line="420" w:lineRule="exact"/>
        <w:jc w:val="center"/>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五、谈判</w:t>
      </w:r>
    </w:p>
    <w:p w14:paraId="37432504">
      <w:pPr>
        <w:adjustRightInd w:val="0"/>
        <w:snapToGrid w:val="0"/>
        <w:spacing w:line="360" w:lineRule="auto"/>
        <w:ind w:firstLine="482"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11</w:t>
      </w:r>
      <w:r>
        <w:rPr>
          <w:rFonts w:hint="eastAsia" w:ascii="宋体" w:hAnsi="宋体" w:cs="宋体"/>
          <w:b/>
          <w:color w:val="000000" w:themeColor="text1"/>
          <w:sz w:val="24"/>
          <w14:textFill>
            <w14:solidFill>
              <w14:schemeClr w14:val="tx1"/>
            </w14:solidFill>
          </w14:textFill>
        </w:rPr>
        <w:t>谈判开始时间和地点</w:t>
      </w:r>
    </w:p>
    <w:p w14:paraId="7EEC8823">
      <w:pPr>
        <w:snapToGrid w:val="0"/>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 谈判开始时间和地点：</w:t>
      </w:r>
      <w:r>
        <w:rPr>
          <w:rStyle w:val="21"/>
          <w:rFonts w:hint="eastAsia" w:ascii="宋体" w:hAnsi="宋体" w:cs="宋体"/>
          <w:color w:val="000000" w:themeColor="text1"/>
          <w:kern w:val="0"/>
          <w:sz w:val="24"/>
          <w:u w:val="single"/>
          <w14:textFill>
            <w14:solidFill>
              <w14:schemeClr w14:val="tx1"/>
            </w14:solidFill>
          </w14:textFill>
        </w:rPr>
        <w:t>2024</w:t>
      </w:r>
      <w:r>
        <w:rPr>
          <w:rStyle w:val="21"/>
          <w:rFonts w:hint="eastAsia" w:ascii="宋体" w:hAnsi="宋体" w:cs="宋体"/>
          <w:color w:val="000000" w:themeColor="text1"/>
          <w:kern w:val="0"/>
          <w:sz w:val="24"/>
          <w14:textFill>
            <w14:solidFill>
              <w14:schemeClr w14:val="tx1"/>
            </w14:solidFill>
          </w14:textFill>
        </w:rPr>
        <w:t>年</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 9 </w:t>
      </w:r>
      <w:r>
        <w:rPr>
          <w:rStyle w:val="21"/>
          <w:rFonts w:hint="eastAsia" w:ascii="宋体" w:hAnsi="宋体" w:cs="宋体"/>
          <w:color w:val="000000" w:themeColor="text1"/>
          <w:kern w:val="0"/>
          <w:sz w:val="24"/>
          <w14:textFill>
            <w14:solidFill>
              <w14:schemeClr w14:val="tx1"/>
            </w14:solidFill>
          </w14:textFill>
        </w:rPr>
        <w:t>月</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u w:val="single"/>
          <w:lang w:val="en-US" w:eastAsia="zh-CN"/>
          <w14:textFill>
            <w14:solidFill>
              <w14:schemeClr w14:val="tx1"/>
            </w14:solidFill>
          </w14:textFill>
        </w:rPr>
        <w:t>24</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日</w:t>
      </w:r>
      <w:r>
        <w:rPr>
          <w:rStyle w:val="21"/>
          <w:rFonts w:hint="eastAsia" w:ascii="宋体" w:hAnsi="宋体" w:cs="宋体"/>
          <w:color w:val="000000" w:themeColor="text1"/>
          <w:kern w:val="0"/>
          <w:sz w:val="24"/>
          <w:u w:val="single"/>
          <w14:textFill>
            <w14:solidFill>
              <w14:schemeClr w14:val="tx1"/>
            </w14:solidFill>
          </w14:textFill>
        </w:rPr>
        <w:t xml:space="preserve"> </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9 </w:t>
      </w:r>
      <w:r>
        <w:rPr>
          <w:rStyle w:val="21"/>
          <w:rFonts w:hint="eastAsia" w:ascii="宋体" w:hAnsi="宋体" w:cs="宋体"/>
          <w:color w:val="000000" w:themeColor="text1"/>
          <w:kern w:val="0"/>
          <w:sz w:val="24"/>
          <w14:textFill>
            <w14:solidFill>
              <w14:schemeClr w14:val="tx1"/>
            </w14:solidFill>
          </w14:textFill>
        </w:rPr>
        <w:t>时</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 00 </w:t>
      </w:r>
      <w:r>
        <w:rPr>
          <w:rStyle w:val="21"/>
          <w:rFonts w:hint="eastAsia" w:ascii="宋体" w:hAnsi="宋体" w:cs="宋体"/>
          <w:color w:val="000000" w:themeColor="text1"/>
          <w:kern w:val="0"/>
          <w:sz w:val="24"/>
          <w14:textFill>
            <w14:solidFill>
              <w14:schemeClr w14:val="tx1"/>
            </w14:solidFill>
          </w14:textFill>
        </w:rPr>
        <w:t>分</w:t>
      </w:r>
      <w:r>
        <w:rPr>
          <w:rFonts w:hint="eastAsia" w:ascii="宋体" w:hAnsi="宋体" w:cs="宋体"/>
          <w:color w:val="000000" w:themeColor="text1"/>
          <w:sz w:val="24"/>
          <w14:textFill>
            <w14:solidFill>
              <w14:schemeClr w14:val="tx1"/>
            </w14:solidFill>
          </w14:textFill>
        </w:rPr>
        <w:t>。在腾讯会议APP，会议号：</w:t>
      </w:r>
      <w:r>
        <w:rPr>
          <w:rStyle w:val="21"/>
          <w:rFonts w:hint="eastAsia" w:ascii="宋体" w:hAnsi="宋体" w:cs="宋体"/>
          <w:color w:val="0000FF"/>
          <w:kern w:val="0"/>
          <w:sz w:val="24"/>
          <w:u w:val="single"/>
          <w:lang w:val="en-US" w:eastAsia="zh-CN"/>
        </w:rPr>
        <w:t xml:space="preserve"> 492654415 </w:t>
      </w:r>
      <w:r>
        <w:rPr>
          <w:rStyle w:val="21"/>
          <w:rFonts w:hint="eastAsia" w:ascii="宋体" w:hAnsi="宋体" w:cs="宋体"/>
          <w:color w:val="0000FF"/>
          <w:kern w:val="0"/>
          <w:sz w:val="24"/>
          <w:u w:val="single"/>
        </w:rPr>
        <w:t xml:space="preserve"> </w:t>
      </w:r>
      <w:r>
        <w:rPr>
          <w:rFonts w:hint="eastAsia" w:ascii="宋体" w:hAnsi="宋体" w:cs="宋体"/>
          <w:color w:val="000000" w:themeColor="text1"/>
          <w:sz w:val="24"/>
          <w14:textFill>
            <w14:solidFill>
              <w14:schemeClr w14:val="tx1"/>
            </w14:solidFill>
          </w14:textFill>
        </w:rPr>
        <w:t>,进行谈判。</w:t>
      </w:r>
    </w:p>
    <w:p w14:paraId="37260235">
      <w:pPr>
        <w:tabs>
          <w:tab w:val="left" w:pos="0"/>
        </w:tabs>
        <w:snapToGrid w:val="0"/>
        <w:spacing w:before="60" w:after="60" w:line="500" w:lineRule="exact"/>
        <w:ind w:firstLine="482" w:firstLineChars="200"/>
        <w:rPr>
          <w:rStyle w:val="21"/>
          <w:rFonts w:ascii="宋体" w:hAnsi="宋体" w:cs="宋体"/>
          <w:b/>
          <w:bCs/>
          <w:color w:val="000000" w:themeColor="text1"/>
          <w:sz w:val="24"/>
          <w14:textFill>
            <w14:solidFill>
              <w14:schemeClr w14:val="tx1"/>
            </w14:solidFill>
          </w14:textFill>
        </w:rPr>
      </w:pPr>
      <w:r>
        <w:rPr>
          <w:rStyle w:val="21"/>
          <w:rFonts w:hint="eastAsia" w:ascii="宋体" w:hAnsi="宋体" w:cs="宋体"/>
          <w:b/>
          <w:bCs/>
          <w:color w:val="000000" w:themeColor="text1"/>
          <w:sz w:val="24"/>
          <w14:textFill>
            <w14:solidFill>
              <w14:schemeClr w14:val="tx1"/>
            </w14:solidFill>
          </w14:textFill>
        </w:rPr>
        <w:t>13.谈判程序</w:t>
      </w:r>
    </w:p>
    <w:p w14:paraId="060D9F76">
      <w:pPr>
        <w:snapToGrid w:val="0"/>
        <w:spacing w:before="60" w:after="60" w:line="500" w:lineRule="exact"/>
        <w:ind w:firstLine="480" w:firstLineChars="200"/>
        <w:rPr>
          <w:rStyle w:val="21"/>
          <w:rFonts w:hint="default" w:ascii="宋体" w:hAnsi="宋体" w:eastAsia="宋体" w:cs="宋体"/>
          <w:color w:val="FF0000"/>
          <w:sz w:val="24"/>
          <w:lang w:val="en-US" w:eastAsia="zh-CN"/>
        </w:rPr>
      </w:pPr>
      <w:r>
        <w:rPr>
          <w:rStyle w:val="21"/>
          <w:rFonts w:hint="eastAsia" w:ascii="宋体" w:hAnsi="宋体" w:cs="宋体"/>
          <w:color w:val="000000" w:themeColor="text1"/>
          <w:sz w:val="24"/>
          <w14:textFill>
            <w14:solidFill>
              <w14:schemeClr w14:val="tx1"/>
            </w14:solidFill>
          </w14:textFill>
        </w:rPr>
        <w:t>13.1</w:t>
      </w:r>
      <w:r>
        <w:rPr>
          <w:rStyle w:val="21"/>
          <w:rFonts w:hint="eastAsia" w:ascii="宋体" w:hAnsi="宋体" w:cs="宋体"/>
          <w:color w:val="FF0000"/>
          <w:sz w:val="24"/>
          <w:lang w:val="en-US" w:eastAsia="zh-CN"/>
        </w:rPr>
        <w:t>竞争性谈判小组由采购人代表和评审专家共3人及以上单数组成，</w:t>
      </w:r>
      <w:r>
        <w:rPr>
          <w:rFonts w:hint="eastAsia" w:ascii="宋体" w:hAnsi="宋体" w:eastAsia="宋体" w:cs="宋体"/>
          <w:b/>
          <w:bCs/>
          <w:color w:val="FF0000"/>
          <w:kern w:val="2"/>
          <w:sz w:val="24"/>
          <w:szCs w:val="24"/>
          <w:highlight w:val="none"/>
          <w:lang w:val="en-US" w:eastAsia="zh-CN" w:bidi="ar-SA"/>
        </w:rPr>
        <w:t>其中评审专家不得少于成员总数的三分之二。</w:t>
      </w:r>
      <w:r>
        <w:rPr>
          <w:rFonts w:hint="eastAsia" w:ascii="宋体" w:hAnsi="宋体" w:eastAsia="宋体" w:cs="宋体"/>
          <w:color w:val="FF0000"/>
          <w:kern w:val="2"/>
          <w:sz w:val="24"/>
          <w:szCs w:val="24"/>
          <w:highlight w:val="none"/>
          <w:lang w:val="en-US" w:eastAsia="zh-CN" w:bidi="ar-SA"/>
        </w:rPr>
        <w:t>评审专家通过随机方式从政府采购评审专家库中抽取。</w:t>
      </w:r>
    </w:p>
    <w:p w14:paraId="08AB0F71">
      <w:pPr>
        <w:snapToGrid w:val="0"/>
        <w:spacing w:before="60" w:after="60" w:line="500" w:lineRule="exact"/>
        <w:ind w:firstLine="480" w:firstLineChars="200"/>
        <w:rPr>
          <w:rStyle w:val="21"/>
          <w:rFonts w:ascii="宋体" w:hAnsi="宋体" w:cs="宋体"/>
          <w:color w:val="FF0000"/>
          <w:sz w:val="24"/>
        </w:rPr>
      </w:pPr>
      <w:r>
        <w:rPr>
          <w:rStyle w:val="21"/>
          <w:rFonts w:hint="eastAsia" w:ascii="宋体" w:hAnsi="宋体" w:cs="宋体"/>
          <w:color w:val="FF0000"/>
          <w:sz w:val="24"/>
        </w:rPr>
        <w:t>13.2由采购人(代理机构)接受各供应商谈判响应性文件,并组织开标公布谈判承诺函中主要内容。</w:t>
      </w:r>
    </w:p>
    <w:p w14:paraId="1531A9E6">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13.3由采购人谈判小组对各供应商资格、出席谈判会议的供应商代表资格（视频会议时现场核实）、谈判响应性文件、第一轮报价等进行审查，只有通过上述审查的供应商，方可参加后续谈判。</w:t>
      </w:r>
    </w:p>
    <w:p w14:paraId="474DF3B2">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存在以下情形之一的，审查不合格，采购人拒绝和其进行谈判：</w:t>
      </w:r>
    </w:p>
    <w:p w14:paraId="5D18EA37">
      <w:pPr>
        <w:snapToGrid w:val="0"/>
        <w:spacing w:before="25" w:after="25"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13.3.1要求提供扫描件而未提供，或虽提供但扫描件已无效的。</w:t>
      </w:r>
    </w:p>
    <w:p w14:paraId="17D10511">
      <w:pPr>
        <w:snapToGrid w:val="0"/>
        <w:spacing w:before="25" w:after="25"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13.3.2未按谈判公告要求提供相关资格审查资料的。</w:t>
      </w:r>
    </w:p>
    <w:p w14:paraId="370AE932">
      <w:pPr>
        <w:snapToGrid w:val="0"/>
        <w:spacing w:before="25" w:after="25"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13.3.3如果授权委托代表参加投标的，未提供授权人</w:t>
      </w:r>
      <w:r>
        <w:rPr>
          <w:rStyle w:val="21"/>
          <w:rFonts w:ascii="宋体" w:hAnsi="宋体" w:cs="宋体"/>
          <w:bCs/>
          <w:color w:val="000000" w:themeColor="text1"/>
          <w:sz w:val="24"/>
          <w14:textFill>
            <w14:solidFill>
              <w14:schemeClr w14:val="tx1"/>
            </w14:solidFill>
          </w14:textFill>
        </w:rPr>
        <w:t>委托书和身份证</w:t>
      </w:r>
      <w:r>
        <w:rPr>
          <w:rStyle w:val="21"/>
          <w:rFonts w:hint="eastAsia" w:ascii="宋体" w:hAnsi="宋体" w:cs="宋体"/>
          <w:color w:val="000000" w:themeColor="text1"/>
          <w:sz w:val="24"/>
          <w14:textFill>
            <w14:solidFill>
              <w14:schemeClr w14:val="tx1"/>
            </w14:solidFill>
          </w14:textFill>
        </w:rPr>
        <w:t>。</w:t>
      </w:r>
    </w:p>
    <w:p w14:paraId="679B7AAA">
      <w:pPr>
        <w:snapToGrid w:val="0"/>
        <w:spacing w:before="25" w:after="25"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13.3.4报价超过采购人预算的。</w:t>
      </w:r>
    </w:p>
    <w:p w14:paraId="1E654A40">
      <w:pPr>
        <w:snapToGrid w:val="0"/>
        <w:spacing w:before="25" w:after="25"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13.3.5单位负责人为同一个人或者存在直接控股、管理关系的不同投标人，在本合同项下同时投标。</w:t>
      </w:r>
    </w:p>
    <w:p w14:paraId="223B710D">
      <w:pPr>
        <w:snapToGrid w:val="0"/>
        <w:spacing w:before="25" w:after="25"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13.3.6以联合体方式投标的。</w:t>
      </w:r>
    </w:p>
    <w:p w14:paraId="39752D04">
      <w:pPr>
        <w:snapToGrid w:val="0"/>
        <w:spacing w:line="500" w:lineRule="exact"/>
        <w:ind w:firstLine="480" w:firstLineChars="200"/>
        <w:jc w:val="left"/>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13.3.7投标人被“中国政府采购网”（www.ccgp.gov.cn）、“信用中国”网站（www.crdditchina.gov.cn）、“江苏政府采购网”（www.ccgp-jiangsu.gov.cn）列入失信被执行人、重大税收违法案件当事人名单、政府采购严重违法失信行为记录名单的。</w:t>
      </w:r>
    </w:p>
    <w:p w14:paraId="031D1569">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13.4由采购人谈判小组与合格的供应商逐个进行谈判或一起进行谈判或直接进入下一轮报价。谈判（报价）一次为一个轮次，采购人视情况决定谈判（报价）轮次。</w:t>
      </w:r>
    </w:p>
    <w:p w14:paraId="78C00C1A">
      <w:pPr>
        <w:snapToGrid w:val="0"/>
        <w:spacing w:before="60" w:after="60" w:line="500" w:lineRule="exact"/>
        <w:ind w:firstLine="482" w:firstLineChars="200"/>
        <w:rPr>
          <w:rStyle w:val="21"/>
          <w:rFonts w:ascii="宋体" w:hAnsi="宋体" w:cs="宋体"/>
          <w:b/>
          <w:bCs/>
          <w:color w:val="000000" w:themeColor="text1"/>
          <w:sz w:val="24"/>
          <w14:textFill>
            <w14:solidFill>
              <w14:schemeClr w14:val="tx1"/>
            </w14:solidFill>
          </w14:textFill>
        </w:rPr>
      </w:pPr>
      <w:r>
        <w:rPr>
          <w:rStyle w:val="21"/>
          <w:rFonts w:hint="eastAsia" w:ascii="宋体" w:hAnsi="宋体" w:cs="宋体"/>
          <w:b/>
          <w:bCs/>
          <w:color w:val="000000" w:themeColor="text1"/>
          <w:sz w:val="24"/>
          <w14:textFill>
            <w14:solidFill>
              <w14:schemeClr w14:val="tx1"/>
            </w14:solidFill>
          </w14:textFill>
        </w:rPr>
        <w:t>13.5在谈判过程中，谈判小组可以根据谈判文件和谈判情况实质性变动采购需求中的技术、服务要求以及合同草案条款，但不得变动谈判文件中的其他内容。实质性变动的内容，须经采购人代表确认。</w:t>
      </w:r>
    </w:p>
    <w:p w14:paraId="44CF1D1E">
      <w:pPr>
        <w:snapToGrid w:val="0"/>
        <w:spacing w:before="60" w:after="60" w:line="500" w:lineRule="exact"/>
        <w:ind w:firstLine="482"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b/>
          <w:bCs/>
          <w:color w:val="000000" w:themeColor="text1"/>
          <w:sz w:val="24"/>
          <w14:textFill>
            <w14:solidFill>
              <w14:schemeClr w14:val="tx1"/>
            </w14:solidFill>
          </w14:textFill>
        </w:rPr>
        <w:t>对谈判文件作出的实质性变动是谈判文件的有效组成部分，谈判小组应当及时同时告知所有参加谈判的供应商。</w:t>
      </w:r>
    </w:p>
    <w:p w14:paraId="318020B3">
      <w:pPr>
        <w:snapToGrid w:val="0"/>
        <w:spacing w:before="60" w:after="60" w:line="500" w:lineRule="exact"/>
        <w:ind w:firstLine="480" w:firstLineChars="200"/>
        <w:rPr>
          <w:rStyle w:val="21"/>
          <w:rFonts w:hint="default" w:ascii="宋体" w:hAnsi="宋体" w:eastAsia="宋体" w:cs="宋体"/>
          <w:color w:val="0000FF"/>
          <w:sz w:val="24"/>
          <w:lang w:val="en-US" w:eastAsia="zh-CN"/>
        </w:rPr>
      </w:pPr>
      <w:r>
        <w:rPr>
          <w:rStyle w:val="21"/>
          <w:rFonts w:hint="eastAsia" w:ascii="宋体" w:hAnsi="宋体" w:cs="宋体"/>
          <w:color w:val="000000" w:themeColor="text1"/>
          <w:sz w:val="24"/>
          <w14:textFill>
            <w14:solidFill>
              <w14:schemeClr w14:val="tx1"/>
            </w14:solidFill>
          </w14:textFill>
        </w:rPr>
        <w:t>13.6各轮谈判结束后,采购人对供应商发出报价指令，供应商在收到报价指令后</w:t>
      </w:r>
      <w:r>
        <w:rPr>
          <w:rFonts w:hint="eastAsia" w:ascii="宋体" w:hAnsi="宋体" w:cs="宋体"/>
          <w:color w:val="000000" w:themeColor="text1"/>
          <w:sz w:val="24"/>
          <w14:textFill>
            <w14:solidFill>
              <w14:schemeClr w14:val="tx1"/>
            </w14:solidFill>
          </w14:textFill>
        </w:rPr>
        <w:t>15分钟内，将加密的报价文件发送至指定的邮箱（邮箱号为：</w:t>
      </w:r>
      <w:r>
        <w:rPr>
          <w:rFonts w:hint="eastAsia" w:ascii="宋体" w:hAnsi="宋体" w:cs="宋体"/>
          <w:color w:val="000000" w:themeColor="text1"/>
          <w:sz w:val="24"/>
          <w:lang w:val="en-US" w:eastAsia="zh-CN"/>
          <w14:textFill>
            <w14:solidFill>
              <w14:schemeClr w14:val="tx1"/>
            </w14:solidFill>
          </w14:textFill>
        </w:rPr>
        <w:t>412392515</w:t>
      </w:r>
      <w:r>
        <w:rPr>
          <w:rFonts w:hint="eastAsia" w:ascii="宋体" w:hAnsi="宋体" w:cs="宋体"/>
          <w:color w:val="000000" w:themeColor="text1"/>
          <w:sz w:val="24"/>
          <w14:textFill>
            <w14:solidFill>
              <w14:schemeClr w14:val="tx1"/>
            </w14:solidFill>
          </w14:textFill>
        </w:rPr>
        <w:t>@qq.com)。待报价文件发送截止时间10分钟内将解密密码发送至采购人指定的邮箱（邮箱号为：</w:t>
      </w:r>
      <w:r>
        <w:rPr>
          <w:rFonts w:hint="eastAsia" w:ascii="宋体" w:hAnsi="宋体" w:cs="宋体"/>
          <w:color w:val="000000" w:themeColor="text1"/>
          <w:sz w:val="24"/>
          <w:lang w:val="en-US" w:eastAsia="zh-CN"/>
          <w14:textFill>
            <w14:solidFill>
              <w14:schemeClr w14:val="tx1"/>
            </w14:solidFill>
          </w14:textFill>
        </w:rPr>
        <w:t>412392515</w:t>
      </w:r>
      <w:r>
        <w:rPr>
          <w:rFonts w:hint="eastAsia" w:ascii="宋体" w:hAnsi="宋体" w:cs="宋体"/>
          <w:color w:val="000000" w:themeColor="text1"/>
          <w:sz w:val="24"/>
          <w14:textFill>
            <w14:solidFill>
              <w14:schemeClr w14:val="tx1"/>
            </w14:solidFill>
          </w14:textFill>
        </w:rPr>
        <w:t>@qq.com)，邮箱主题标明“单位名称+解密密码”字样，逾期未发送或因自身原因未能发送的，其轮报价无效，</w:t>
      </w:r>
      <w:r>
        <w:rPr>
          <w:rFonts w:hint="eastAsia" w:ascii="宋体" w:hAnsi="宋体" w:cs="宋体"/>
          <w:color w:val="0000FF"/>
          <w:sz w:val="24"/>
        </w:rPr>
        <w:t>其谈判价格按上一轮报价为准</w:t>
      </w:r>
      <w:r>
        <w:rPr>
          <w:rFonts w:hint="eastAsia" w:ascii="宋体" w:hAnsi="宋体" w:cs="宋体"/>
          <w:color w:val="0000FF"/>
          <w:sz w:val="24"/>
          <w:lang w:val="en-US" w:eastAsia="zh-CN"/>
        </w:rPr>
        <w:t>并视为最终有效报价</w:t>
      </w:r>
      <w:r>
        <w:rPr>
          <w:rFonts w:hint="eastAsia" w:ascii="宋体" w:hAnsi="宋体" w:cs="宋体"/>
          <w:color w:val="0000FF"/>
          <w:sz w:val="24"/>
        </w:rPr>
        <w:t>。</w:t>
      </w:r>
      <w:r>
        <w:rPr>
          <w:rStyle w:val="21"/>
          <w:rFonts w:hint="eastAsia" w:ascii="宋体" w:hAnsi="宋体" w:cs="宋体"/>
          <w:color w:val="0000FF"/>
          <w:sz w:val="24"/>
        </w:rPr>
        <w:t>各个供应商后一轮谈判报价不得超过各自前一轮报价或谈判小组根据谈判情况调整确定的其他价格</w:t>
      </w:r>
      <w:r>
        <w:rPr>
          <w:rStyle w:val="21"/>
          <w:rFonts w:hint="eastAsia" w:ascii="宋体" w:hAnsi="宋体" w:cs="宋体"/>
          <w:color w:val="0000FF"/>
          <w:sz w:val="24"/>
          <w:lang w:eastAsia="zh-CN"/>
        </w:rPr>
        <w:t>，</w:t>
      </w:r>
      <w:r>
        <w:rPr>
          <w:rStyle w:val="21"/>
          <w:rFonts w:hint="eastAsia" w:ascii="宋体" w:hAnsi="宋体" w:cs="宋体"/>
          <w:color w:val="0000FF"/>
          <w:sz w:val="24"/>
          <w:lang w:val="en-US" w:eastAsia="zh-CN"/>
        </w:rPr>
        <w:t>否则视为无效报价，</w:t>
      </w:r>
      <w:r>
        <w:rPr>
          <w:rFonts w:hint="eastAsia" w:ascii="宋体" w:hAnsi="宋体" w:cs="宋体"/>
          <w:color w:val="0000FF"/>
          <w:sz w:val="24"/>
        </w:rPr>
        <w:t>其谈判价格按上一轮报价为准</w:t>
      </w:r>
      <w:r>
        <w:rPr>
          <w:rFonts w:hint="eastAsia" w:ascii="宋体" w:hAnsi="宋体" w:cs="宋体"/>
          <w:color w:val="0000FF"/>
          <w:sz w:val="24"/>
          <w:lang w:val="en-US" w:eastAsia="zh-CN"/>
        </w:rPr>
        <w:t>并视为最终有效报价</w:t>
      </w:r>
      <w:r>
        <w:rPr>
          <w:rStyle w:val="21"/>
          <w:rFonts w:hint="eastAsia" w:ascii="宋体" w:hAnsi="宋体" w:cs="宋体"/>
          <w:color w:val="0000FF"/>
          <w:sz w:val="24"/>
          <w:lang w:val="en-US" w:eastAsia="zh-CN"/>
        </w:rPr>
        <w:t>。</w:t>
      </w:r>
    </w:p>
    <w:p w14:paraId="6E6B3713">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最后一轮（最终）最终报价，当轮谈判结束后，邀请所有供应商进入视频会议或电话告知所有供应商,公示所有供应商的最终谈判价格。</w:t>
      </w:r>
    </w:p>
    <w:p w14:paraId="64ACCCE5">
      <w:pPr>
        <w:snapToGrid w:val="0"/>
        <w:spacing w:before="60" w:after="60" w:line="500" w:lineRule="exact"/>
        <w:ind w:firstLine="482" w:firstLineChars="200"/>
        <w:rPr>
          <w:rStyle w:val="21"/>
          <w:rFonts w:ascii="宋体" w:hAnsi="宋体" w:cs="宋体"/>
          <w:b/>
          <w:bCs/>
          <w:color w:val="FF0000"/>
          <w:sz w:val="24"/>
        </w:rPr>
      </w:pPr>
      <w:r>
        <w:rPr>
          <w:rStyle w:val="21"/>
          <w:rFonts w:hint="eastAsia" w:ascii="宋体" w:hAnsi="宋体" w:cs="宋体"/>
          <w:b/>
          <w:bCs/>
          <w:color w:val="FF0000"/>
          <w:sz w:val="24"/>
        </w:rPr>
        <w:t>供应商放弃报价应在报价表中谈判报价相应栏目处打“×”或“放弃</w:t>
      </w:r>
      <w:r>
        <w:rPr>
          <w:rStyle w:val="21"/>
          <w:rFonts w:hint="eastAsia" w:ascii="宋体" w:hAnsi="宋体" w:cs="宋体"/>
          <w:b/>
          <w:bCs/>
          <w:color w:val="FF0000"/>
          <w:sz w:val="24"/>
          <w:lang w:val="en-US" w:eastAsia="zh-CN"/>
        </w:rPr>
        <w:t>报价</w:t>
      </w:r>
      <w:r>
        <w:rPr>
          <w:rStyle w:val="21"/>
          <w:rFonts w:hint="eastAsia" w:ascii="宋体" w:hAnsi="宋体" w:cs="宋体"/>
          <w:b/>
          <w:bCs/>
          <w:color w:val="FF0000"/>
          <w:sz w:val="24"/>
        </w:rPr>
        <w:t>”</w:t>
      </w:r>
      <w:r>
        <w:rPr>
          <w:rStyle w:val="21"/>
          <w:rFonts w:hint="eastAsia" w:ascii="宋体" w:hAnsi="宋体" w:cs="宋体"/>
          <w:b/>
          <w:bCs/>
          <w:color w:val="FF0000"/>
          <w:sz w:val="24"/>
          <w:lang w:eastAsia="zh-CN"/>
        </w:rPr>
        <w:t>，</w:t>
      </w:r>
      <w:r>
        <w:rPr>
          <w:rStyle w:val="21"/>
          <w:rFonts w:hint="eastAsia" w:ascii="宋体" w:hAnsi="宋体" w:cs="宋体"/>
          <w:b/>
          <w:bCs/>
          <w:color w:val="FF0000"/>
          <w:sz w:val="24"/>
        </w:rPr>
        <w:t>其上一轮报价视为最终有效报价。</w:t>
      </w:r>
    </w:p>
    <w:p w14:paraId="59736E5E">
      <w:pPr>
        <w:snapToGrid w:val="0"/>
        <w:spacing w:before="60" w:after="60" w:line="500" w:lineRule="exact"/>
        <w:ind w:firstLine="482" w:firstLineChars="200"/>
        <w:rPr>
          <w:rStyle w:val="21"/>
          <w:rFonts w:ascii="宋体" w:hAnsi="宋体" w:cs="宋体"/>
          <w:b/>
          <w:bCs/>
          <w:color w:val="FF0000"/>
          <w:sz w:val="24"/>
        </w:rPr>
      </w:pPr>
      <w:r>
        <w:rPr>
          <w:rStyle w:val="21"/>
          <w:rFonts w:hint="eastAsia" w:ascii="宋体" w:hAnsi="宋体" w:cs="宋体"/>
          <w:b/>
          <w:bCs/>
          <w:color w:val="FF0000"/>
          <w:sz w:val="24"/>
        </w:rPr>
        <w:t>供应商不发送报价或发送报价表无法打开或发送无效报价的，其上一轮报价视为最终有效报价。</w:t>
      </w:r>
    </w:p>
    <w:p w14:paraId="4B819000">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合格供应商即使是放弃谈判，都应参加各轮谈判视频会议，并按规定发送谈判报价表，同时在视频会议时不得以任何方式向其他供应商表明自己谈判意向。</w:t>
      </w:r>
    </w:p>
    <w:p w14:paraId="72756E3B">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如最低报价出现并列的，则供应商进行新一轮报价，直至能按报价由低到高列明第一、第二顺序。</w:t>
      </w:r>
    </w:p>
    <w:p w14:paraId="09763E11">
      <w:pPr>
        <w:snapToGrid w:val="0"/>
        <w:spacing w:before="60" w:after="60" w:line="50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13.7按各响应供应商最终报价由低到高推荐中标候选人。</w:t>
      </w:r>
    </w:p>
    <w:p w14:paraId="1604DAD7">
      <w:pPr>
        <w:snapToGrid w:val="0"/>
        <w:spacing w:before="60" w:after="60" w:line="500" w:lineRule="exact"/>
        <w:ind w:firstLine="480" w:firstLineChars="200"/>
        <w:rPr>
          <w:rStyle w:val="21"/>
          <w:rFonts w:hint="eastAsia"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13.8按成交供应商最终报价与首轮报价下浮幅度同比例下浮确定单价。</w:t>
      </w:r>
    </w:p>
    <w:p w14:paraId="4B22639C">
      <w:pPr>
        <w:pStyle w:val="13"/>
        <w:keepNext w:val="0"/>
        <w:keepLines w:val="0"/>
        <w:kinsoku/>
        <w:overflowPunct/>
        <w:topLinePunct w:val="0"/>
        <w:bidi w:val="0"/>
        <w:adjustRightInd w:val="0"/>
        <w:snapToGrid w:val="0"/>
        <w:spacing w:before="0" w:beforeAutospacing="0" w:after="0" w:afterAutospacing="0" w:line="420" w:lineRule="exact"/>
        <w:ind w:firstLine="482" w:firstLineChars="200"/>
        <w:jc w:val="both"/>
        <w:textAlignment w:val="auto"/>
        <w:rPr>
          <w:rStyle w:val="21"/>
          <w:rFonts w:hint="eastAsia" w:ascii="宋体" w:hAnsi="宋体" w:cs="宋体"/>
          <w:color w:val="000000" w:themeColor="text1"/>
          <w:sz w:val="24"/>
          <w14:textFill>
            <w14:solidFill>
              <w14:schemeClr w14:val="tx1"/>
            </w14:solidFill>
          </w14:textFill>
        </w:rPr>
      </w:pPr>
      <w:r>
        <w:rPr>
          <w:rFonts w:hint="eastAsia" w:ascii="宋体" w:hAnsi="宋体" w:eastAsia="宋体" w:cs="宋体"/>
          <w:b/>
          <w:bCs/>
          <w:color w:val="auto"/>
          <w:highlight w:val="none"/>
          <w:lang w:val="en-US" w:eastAsia="zh-CN"/>
        </w:rPr>
        <w:t>13.9</w:t>
      </w:r>
      <w:r>
        <w:rPr>
          <w:rFonts w:hint="eastAsia" w:ascii="宋体" w:hAnsi="宋体" w:eastAsia="宋体" w:cs="宋体"/>
          <w:b/>
          <w:bCs/>
          <w:color w:val="auto"/>
          <w:highlight w:val="none"/>
        </w:rPr>
        <w:t xml:space="preserve"> 评标委员会认为</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的报价明显低于其他通过符合性审查</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的报价，有可能影响产品质量或者不能诚信履约的，应当要求其在评标现场合理的时间内提供书面说明，必要时提交相关证明材料；</w:t>
      </w:r>
      <w:r>
        <w:rPr>
          <w:rFonts w:hint="eastAsia" w:ascii="宋体" w:hAnsi="宋体" w:eastAsia="宋体" w:cs="宋体"/>
          <w:b/>
          <w:bCs/>
          <w:color w:val="auto"/>
          <w:highlight w:val="none"/>
          <w:lang w:eastAsia="zh-CN"/>
        </w:rPr>
        <w:t>供应商</w:t>
      </w:r>
      <w:r>
        <w:rPr>
          <w:rFonts w:hint="eastAsia" w:ascii="宋体" w:hAnsi="宋体" w:eastAsia="宋体" w:cs="宋体"/>
          <w:b/>
          <w:bCs/>
          <w:color w:val="auto"/>
          <w:highlight w:val="none"/>
        </w:rPr>
        <w:t>不能证明其报价合理性的，评标委员会应当将其作为无效投标处理。</w:t>
      </w:r>
    </w:p>
    <w:p w14:paraId="69664C16">
      <w:pPr>
        <w:tabs>
          <w:tab w:val="left" w:pos="0"/>
          <w:tab w:val="left" w:pos="1422"/>
          <w:tab w:val="left" w:pos="1738"/>
        </w:tabs>
        <w:snapToGrid w:val="0"/>
        <w:spacing w:before="60" w:after="60" w:line="500" w:lineRule="exact"/>
        <w:ind w:left="4" w:leftChars="2" w:firstLine="482"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14.谈判报价错误的修正</w:t>
      </w:r>
      <w:r>
        <w:rPr>
          <w:rStyle w:val="21"/>
          <w:rFonts w:hint="eastAsia" w:ascii="宋体" w:hAnsi="宋体" w:cs="宋体"/>
          <w:color w:val="000000" w:themeColor="text1"/>
          <w:sz w:val="24"/>
          <w14:textFill>
            <w14:solidFill>
              <w14:schemeClr w14:val="tx1"/>
            </w14:solidFill>
          </w14:textFill>
        </w:rPr>
        <w:t>：</w:t>
      </w:r>
    </w:p>
    <w:p w14:paraId="168F67B2">
      <w:pPr>
        <w:pStyle w:val="27"/>
        <w:snapToGrid w:val="0"/>
        <w:spacing w:before="60" w:after="60" w:line="500" w:lineRule="exact"/>
        <w:ind w:firstLine="480" w:firstLineChars="200"/>
        <w:jc w:val="both"/>
        <w:rPr>
          <w:rStyle w:val="21"/>
          <w:rFonts w:ascii="宋体" w:hAnsi="宋体" w:cs="宋体"/>
          <w:color w:val="000000" w:themeColor="text1"/>
          <w14:textFill>
            <w14:solidFill>
              <w14:schemeClr w14:val="tx1"/>
            </w14:solidFill>
          </w14:textFill>
        </w:rPr>
      </w:pPr>
      <w:r>
        <w:rPr>
          <w:rStyle w:val="21"/>
          <w:rFonts w:hint="eastAsia" w:ascii="宋体" w:hAnsi="宋体" w:cs="宋体"/>
          <w:color w:val="000000" w:themeColor="text1"/>
          <w14:textFill>
            <w14:solidFill>
              <w14:schemeClr w14:val="tx1"/>
            </w14:solidFill>
          </w14:textFill>
        </w:rPr>
        <w:t>谈判响应文件报价出现前后不一致的，按照下列规定修正：</w:t>
      </w:r>
    </w:p>
    <w:p w14:paraId="296DE85E">
      <w:pPr>
        <w:pStyle w:val="27"/>
        <w:snapToGrid w:val="0"/>
        <w:spacing w:before="60" w:after="60" w:line="500" w:lineRule="exact"/>
        <w:ind w:firstLine="480" w:firstLineChars="200"/>
        <w:jc w:val="both"/>
        <w:rPr>
          <w:rStyle w:val="21"/>
          <w:rFonts w:ascii="宋体" w:hAnsi="宋体" w:cs="宋体"/>
          <w:color w:val="000000" w:themeColor="text1"/>
          <w14:textFill>
            <w14:solidFill>
              <w14:schemeClr w14:val="tx1"/>
            </w14:solidFill>
          </w14:textFill>
        </w:rPr>
      </w:pPr>
      <w:r>
        <w:rPr>
          <w:rStyle w:val="21"/>
          <w:rFonts w:hint="eastAsia" w:ascii="宋体" w:hAnsi="宋体" w:cs="宋体"/>
          <w:color w:val="000000" w:themeColor="text1"/>
          <w14:textFill>
            <w14:solidFill>
              <w14:schemeClr w14:val="tx1"/>
            </w14:solidFill>
          </w14:textFill>
        </w:rPr>
        <w:t>14.1谈判响应文件中</w:t>
      </w:r>
      <w:r>
        <w:rPr>
          <w:rStyle w:val="21"/>
          <w:rFonts w:ascii="宋体" w:hAnsi="宋体" w:cs="宋体"/>
          <w:bCs/>
          <w:color w:val="000000" w:themeColor="text1"/>
          <w14:textFill>
            <w14:solidFill>
              <w14:schemeClr w14:val="tx1"/>
            </w14:solidFill>
          </w14:textFill>
        </w:rPr>
        <w:t>谈判承诺函内容与</w:t>
      </w:r>
      <w:r>
        <w:rPr>
          <w:rStyle w:val="21"/>
          <w:rFonts w:hint="eastAsia" w:ascii="宋体" w:hAnsi="宋体" w:cs="宋体"/>
          <w:color w:val="000000" w:themeColor="text1"/>
          <w14:textFill>
            <w14:solidFill>
              <w14:schemeClr w14:val="tx1"/>
            </w14:solidFill>
          </w14:textFill>
        </w:rPr>
        <w:t>第一轮报价明细表相应内容不一致的，以</w:t>
      </w:r>
      <w:r>
        <w:rPr>
          <w:rStyle w:val="21"/>
          <w:rFonts w:ascii="宋体" w:hAnsi="宋体" w:cs="宋体"/>
          <w:bCs/>
          <w:color w:val="000000" w:themeColor="text1"/>
          <w14:textFill>
            <w14:solidFill>
              <w14:schemeClr w14:val="tx1"/>
            </w14:solidFill>
          </w14:textFill>
        </w:rPr>
        <w:t>谈判承诺函</w:t>
      </w:r>
      <w:r>
        <w:rPr>
          <w:rStyle w:val="21"/>
          <w:rFonts w:hint="eastAsia" w:ascii="宋体" w:hAnsi="宋体" w:cs="宋体"/>
          <w:color w:val="000000" w:themeColor="text1"/>
          <w14:textFill>
            <w14:solidFill>
              <w14:schemeClr w14:val="tx1"/>
            </w14:solidFill>
          </w14:textFill>
        </w:rPr>
        <w:t>为准；</w:t>
      </w:r>
    </w:p>
    <w:p w14:paraId="37DBB6C3">
      <w:pPr>
        <w:pStyle w:val="27"/>
        <w:snapToGrid w:val="0"/>
        <w:spacing w:before="60" w:after="60" w:line="500" w:lineRule="exact"/>
        <w:ind w:firstLine="480" w:firstLineChars="200"/>
        <w:jc w:val="both"/>
        <w:rPr>
          <w:rStyle w:val="21"/>
          <w:rFonts w:ascii="宋体" w:hAnsi="宋体" w:cs="宋体"/>
          <w:color w:val="000000" w:themeColor="text1"/>
          <w14:textFill>
            <w14:solidFill>
              <w14:schemeClr w14:val="tx1"/>
            </w14:solidFill>
          </w14:textFill>
        </w:rPr>
      </w:pPr>
      <w:r>
        <w:rPr>
          <w:rStyle w:val="21"/>
          <w:rFonts w:hint="eastAsia" w:ascii="宋体" w:hAnsi="宋体" w:cs="宋体"/>
          <w:color w:val="000000" w:themeColor="text1"/>
          <w14:textFill>
            <w14:solidFill>
              <w14:schemeClr w14:val="tx1"/>
            </w14:solidFill>
          </w14:textFill>
        </w:rPr>
        <w:t>14.2大写金额和小写金额不一致的，以大写金额为准；</w:t>
      </w:r>
    </w:p>
    <w:p w14:paraId="7B65C929">
      <w:pPr>
        <w:pStyle w:val="27"/>
        <w:snapToGrid w:val="0"/>
        <w:spacing w:before="60" w:after="60" w:line="500" w:lineRule="exact"/>
        <w:ind w:firstLine="480" w:firstLineChars="200"/>
        <w:jc w:val="both"/>
        <w:rPr>
          <w:rStyle w:val="21"/>
          <w:rFonts w:ascii="宋体" w:hAnsi="宋体" w:cs="宋体"/>
          <w:color w:val="000000" w:themeColor="text1"/>
          <w14:textFill>
            <w14:solidFill>
              <w14:schemeClr w14:val="tx1"/>
            </w14:solidFill>
          </w14:textFill>
        </w:rPr>
      </w:pPr>
      <w:r>
        <w:rPr>
          <w:rStyle w:val="21"/>
          <w:rFonts w:hint="eastAsia" w:ascii="宋体" w:hAnsi="宋体" w:cs="宋体"/>
          <w:color w:val="000000" w:themeColor="text1"/>
          <w14:textFill>
            <w14:solidFill>
              <w14:schemeClr w14:val="tx1"/>
            </w14:solidFill>
          </w14:textFill>
        </w:rPr>
        <w:t>14.3单价金额小数点或者百分比有明显错位的，以</w:t>
      </w:r>
      <w:r>
        <w:rPr>
          <w:rStyle w:val="21"/>
          <w:rFonts w:ascii="宋体" w:hAnsi="宋体" w:cs="宋体"/>
          <w:bCs/>
          <w:color w:val="000000" w:themeColor="text1"/>
          <w14:textFill>
            <w14:solidFill>
              <w14:schemeClr w14:val="tx1"/>
            </w14:solidFill>
          </w14:textFill>
        </w:rPr>
        <w:t>判承诺函</w:t>
      </w:r>
      <w:r>
        <w:rPr>
          <w:rStyle w:val="21"/>
          <w:rFonts w:hint="eastAsia" w:ascii="宋体" w:hAnsi="宋体" w:cs="宋体"/>
          <w:color w:val="000000" w:themeColor="text1"/>
          <w14:textFill>
            <w14:solidFill>
              <w14:schemeClr w14:val="tx1"/>
            </w14:solidFill>
          </w14:textFill>
        </w:rPr>
        <w:t>的总价为准，并修改单价；</w:t>
      </w:r>
    </w:p>
    <w:p w14:paraId="666D0CAA">
      <w:pPr>
        <w:pStyle w:val="27"/>
        <w:snapToGrid w:val="0"/>
        <w:spacing w:before="60" w:after="60" w:line="500" w:lineRule="exact"/>
        <w:ind w:firstLine="480" w:firstLineChars="200"/>
        <w:jc w:val="both"/>
        <w:rPr>
          <w:rStyle w:val="21"/>
          <w:rFonts w:ascii="宋体" w:hAnsi="宋体" w:cs="宋体"/>
          <w:color w:val="000000" w:themeColor="text1"/>
          <w14:textFill>
            <w14:solidFill>
              <w14:schemeClr w14:val="tx1"/>
            </w14:solidFill>
          </w14:textFill>
        </w:rPr>
      </w:pPr>
      <w:r>
        <w:rPr>
          <w:rStyle w:val="21"/>
          <w:rFonts w:hint="eastAsia" w:ascii="宋体" w:hAnsi="宋体" w:cs="宋体"/>
          <w:color w:val="000000" w:themeColor="text1"/>
          <w14:textFill>
            <w14:solidFill>
              <w14:schemeClr w14:val="tx1"/>
            </w14:solidFill>
          </w14:textFill>
        </w:rPr>
        <w:t>14.4总价金额与按单价汇总金额不一致的，以单价金额计算结果为准。</w:t>
      </w:r>
    </w:p>
    <w:p w14:paraId="613A054C">
      <w:pPr>
        <w:pStyle w:val="27"/>
        <w:snapToGrid w:val="0"/>
        <w:spacing w:before="60" w:after="60" w:line="500" w:lineRule="exact"/>
        <w:ind w:firstLine="480" w:firstLineChars="200"/>
        <w:jc w:val="both"/>
        <w:rPr>
          <w:rStyle w:val="21"/>
          <w:rFonts w:ascii="宋体" w:hAnsi="宋体" w:cs="宋体"/>
          <w:color w:val="000000" w:themeColor="text1"/>
          <w14:textFill>
            <w14:solidFill>
              <w14:schemeClr w14:val="tx1"/>
            </w14:solidFill>
          </w14:textFill>
        </w:rPr>
      </w:pPr>
      <w:r>
        <w:rPr>
          <w:rStyle w:val="21"/>
          <w:rFonts w:hint="eastAsia" w:ascii="宋体" w:hAnsi="宋体" w:cs="宋体"/>
          <w:color w:val="000000" w:themeColor="text1"/>
          <w14:textFill>
            <w14:solidFill>
              <w14:schemeClr w14:val="tx1"/>
            </w14:solidFill>
          </w14:textFill>
        </w:rPr>
        <w:t>14.5同时出现两种以上不一致的，按照前款规定的顺序修正。修正后的报价经供应商确认后产生约束力，供应商不确认的，其谈判无效。</w:t>
      </w:r>
    </w:p>
    <w:p w14:paraId="1DDE8FDB">
      <w:pPr>
        <w:tabs>
          <w:tab w:val="left" w:pos="790"/>
          <w:tab w:val="left" w:pos="1422"/>
          <w:tab w:val="left" w:pos="1738"/>
        </w:tabs>
        <w:snapToGrid w:val="0"/>
        <w:spacing w:before="60" w:after="60" w:line="500" w:lineRule="exact"/>
        <w:ind w:firstLine="482" w:firstLineChars="200"/>
        <w:rPr>
          <w:rStyle w:val="21"/>
          <w:rFonts w:ascii="宋体" w:hAnsi="宋体" w:cs="宋体"/>
          <w:b/>
          <w:bCs/>
          <w:color w:val="000000" w:themeColor="text1"/>
          <w:sz w:val="24"/>
          <w14:textFill>
            <w14:solidFill>
              <w14:schemeClr w14:val="tx1"/>
            </w14:solidFill>
          </w14:textFill>
        </w:rPr>
      </w:pPr>
      <w:r>
        <w:rPr>
          <w:rStyle w:val="21"/>
          <w:rFonts w:hint="eastAsia" w:ascii="宋体" w:hAnsi="宋体" w:cs="宋体"/>
          <w:b/>
          <w:bCs/>
          <w:color w:val="000000" w:themeColor="text1"/>
          <w:sz w:val="24"/>
          <w14:textFill>
            <w14:solidFill>
              <w14:schemeClr w14:val="tx1"/>
            </w14:solidFill>
          </w14:textFill>
        </w:rPr>
        <w:t>15.谈判纪律</w:t>
      </w:r>
    </w:p>
    <w:p w14:paraId="7B017E4D">
      <w:pPr>
        <w:tabs>
          <w:tab w:val="left" w:pos="790"/>
          <w:tab w:val="left" w:pos="1422"/>
          <w:tab w:val="left" w:pos="1738"/>
        </w:tabs>
        <w:snapToGrid w:val="0"/>
        <w:spacing w:before="60" w:after="60" w:line="500" w:lineRule="exact"/>
        <w:ind w:firstLine="480"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Cs/>
          <w:color w:val="000000" w:themeColor="text1"/>
          <w:sz w:val="24"/>
          <w14:textFill>
            <w14:solidFill>
              <w14:schemeClr w14:val="tx1"/>
            </w14:solidFill>
          </w14:textFill>
        </w:rPr>
        <w:t>谈判期间采购人的谈判小组成员不得擅自与供应商接触，供应商进入或暂时离开谈判现场应服从工作人员的安排，在指定地点就座或休息，不得相互串通或高声喧哗。</w:t>
      </w:r>
      <w:r>
        <w:rPr>
          <w:rStyle w:val="21"/>
          <w:rFonts w:hint="eastAsia" w:ascii="宋体" w:hAnsi="宋体" w:cs="宋体"/>
          <w:color w:val="000000" w:themeColor="text1"/>
          <w:sz w:val="24"/>
          <w14:textFill>
            <w14:solidFill>
              <w14:schemeClr w14:val="tx1"/>
            </w14:solidFill>
          </w14:textFill>
        </w:rPr>
        <w:t>如相关单位和人员存在违规行为,将报有权部门进行处理。</w:t>
      </w:r>
    </w:p>
    <w:p w14:paraId="75DAF858">
      <w:pPr>
        <w:tabs>
          <w:tab w:val="left" w:pos="632"/>
          <w:tab w:val="left" w:pos="790"/>
          <w:tab w:val="left" w:pos="1580"/>
        </w:tabs>
        <w:snapToGrid w:val="0"/>
        <w:spacing w:before="60" w:after="60" w:line="500" w:lineRule="exact"/>
        <w:ind w:left="-8" w:right="68" w:firstLine="482" w:firstLineChars="200"/>
        <w:jc w:val="center"/>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六、合同授予</w:t>
      </w:r>
    </w:p>
    <w:p w14:paraId="4481CA2F">
      <w:pPr>
        <w:tabs>
          <w:tab w:val="left" w:pos="632"/>
          <w:tab w:val="left" w:pos="790"/>
          <w:tab w:val="left" w:pos="1580"/>
        </w:tabs>
        <w:snapToGrid w:val="0"/>
        <w:spacing w:before="60" w:after="60" w:line="500" w:lineRule="exact"/>
        <w:ind w:left="-8" w:right="68" w:firstLine="482"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16.成交通知</w:t>
      </w:r>
    </w:p>
    <w:p w14:paraId="171A07AE">
      <w:pPr>
        <w:tabs>
          <w:tab w:val="left" w:pos="632"/>
          <w:tab w:val="left" w:pos="790"/>
          <w:tab w:val="left" w:pos="1580"/>
        </w:tabs>
        <w:snapToGrid w:val="0"/>
        <w:spacing w:before="60" w:after="60" w:line="500" w:lineRule="exact"/>
        <w:ind w:left="-8" w:right="68" w:firstLine="480" w:firstLineChars="200"/>
        <w:jc w:val="left"/>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成交候选人确定后，在响水县人民政府网</w:t>
      </w:r>
      <w:r>
        <w:rPr>
          <w:rStyle w:val="21"/>
          <w:rFonts w:hint="eastAsia" w:ascii="宋体" w:hAnsi="宋体" w:cs="宋体"/>
          <w:color w:val="000000" w:themeColor="text1"/>
          <w:kern w:val="0"/>
          <w:sz w:val="24"/>
          <w14:textFill>
            <w14:solidFill>
              <w14:schemeClr w14:val="tx1"/>
            </w14:solidFill>
          </w14:textFill>
        </w:rPr>
        <w:t>http：//xiangshui.gov.cn/)-招标投标相关</w:t>
      </w:r>
      <w:r>
        <w:rPr>
          <w:rStyle w:val="21"/>
          <w:rFonts w:hint="eastAsia" w:ascii="宋体" w:hAnsi="宋体" w:cs="宋体"/>
          <w:color w:val="000000" w:themeColor="text1"/>
          <w:sz w:val="24"/>
          <w14:textFill>
            <w14:solidFill>
              <w14:schemeClr w14:val="tx1"/>
            </w14:solidFill>
          </w14:textFill>
        </w:rPr>
        <w:t>栏目上公示1个工作日，供应商或者其他利害关系人对成交结果有异议的，应当在成交候选人公示之日起7个工作日内提出。</w:t>
      </w:r>
    </w:p>
    <w:p w14:paraId="45F44FB0">
      <w:pPr>
        <w:snapToGrid w:val="0"/>
        <w:spacing w:before="60" w:after="60" w:line="500" w:lineRule="exact"/>
        <w:ind w:left="-8" w:right="68" w:firstLine="482"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17.签订合同</w:t>
      </w:r>
    </w:p>
    <w:p w14:paraId="2A7F02FC">
      <w:pPr>
        <w:snapToGrid w:val="0"/>
        <w:spacing w:before="60" w:after="60" w:line="500" w:lineRule="exact"/>
        <w:ind w:left="-8" w:right="68"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17.1采购人和成交商将于成交通知书发出之日起30日内，按照国家有关规定和竞争性谈判文件及成交商的竞争性谈判响应文件订立书面项目实施合同。供应商无正当理由拒签项目实施合同的，采购人取消其成交资格，给采购人造成的损失,成交人还应当对予以赔偿。</w:t>
      </w:r>
    </w:p>
    <w:p w14:paraId="0C910797">
      <w:pPr>
        <w:snapToGrid w:val="0"/>
        <w:spacing w:before="60" w:after="60" w:line="500" w:lineRule="exact"/>
        <w:ind w:left="-8" w:right="68" w:firstLine="480" w:firstLineChars="200"/>
        <w:rPr>
          <w:rStyle w:val="21"/>
          <w:rFonts w:hint="eastAsia"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17.2发出成交通知书，采购人无正当理由拒签合同的，给成交人造成的损失的，还应当赔偿损失。</w:t>
      </w:r>
    </w:p>
    <w:p w14:paraId="69E7F12A">
      <w:pPr>
        <w:snapToGrid w:val="0"/>
        <w:spacing w:before="60" w:after="60" w:line="500" w:lineRule="exact"/>
        <w:ind w:left="-8" w:right="68" w:firstLine="482" w:firstLineChars="200"/>
        <w:rPr>
          <w:rStyle w:val="21"/>
          <w:rFonts w:hint="eastAsia" w:ascii="宋体" w:hAnsi="宋体" w:cs="宋体"/>
          <w:b/>
          <w:bCs/>
          <w:color w:val="000000" w:themeColor="text1"/>
          <w:sz w:val="24"/>
          <w14:textFill>
            <w14:solidFill>
              <w14:schemeClr w14:val="tx1"/>
            </w14:solidFill>
          </w14:textFill>
        </w:rPr>
      </w:pPr>
      <w:r>
        <w:rPr>
          <w:rStyle w:val="21"/>
          <w:rFonts w:hint="eastAsia" w:ascii="宋体" w:hAnsi="宋体" w:cs="宋体"/>
          <w:b/>
          <w:bCs/>
          <w:color w:val="000000" w:themeColor="text1"/>
          <w:sz w:val="24"/>
          <w14:textFill>
            <w14:solidFill>
              <w14:schemeClr w14:val="tx1"/>
            </w14:solidFill>
          </w14:textFill>
        </w:rPr>
        <w:t>参照《中华人民共和国政府采购法实施条例》第四十九条规定，中标或者成交供应商拒绝与采购人签订合同的，采购人重新开展采购活动。</w:t>
      </w:r>
    </w:p>
    <w:p w14:paraId="68666689">
      <w:pPr>
        <w:snapToGrid w:val="0"/>
        <w:spacing w:before="60" w:after="60" w:line="500" w:lineRule="exact"/>
        <w:ind w:firstLine="472" w:firstLineChars="196"/>
        <w:rPr>
          <w:rStyle w:val="21"/>
          <w:rFonts w:ascii="宋体" w:hAnsi="宋体" w:cs="宋体"/>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18.质疑与投诉</w:t>
      </w:r>
    </w:p>
    <w:p w14:paraId="734B6F57">
      <w:pPr>
        <w:snapToGrid w:val="0"/>
        <w:spacing w:line="470" w:lineRule="exact"/>
        <w:ind w:firstLine="480" w:firstLineChars="200"/>
        <w:rPr>
          <w:rStyle w:val="21"/>
          <w:rFonts w:ascii="宋体" w:hAnsi="宋体" w:cs="宋体"/>
          <w:bCs/>
          <w:color w:val="000000" w:themeColor="text1"/>
          <w:sz w:val="24"/>
          <w14:textFill>
            <w14:solidFill>
              <w14:schemeClr w14:val="tx1"/>
            </w14:solidFill>
          </w14:textFill>
        </w:rPr>
      </w:pPr>
      <w:r>
        <w:rPr>
          <w:rStyle w:val="21"/>
          <w:rFonts w:hint="eastAsia" w:ascii="宋体" w:hAnsi="宋体" w:cs="宋体"/>
          <w:bCs/>
          <w:color w:val="000000" w:themeColor="text1"/>
          <w:sz w:val="24"/>
          <w14:textFill>
            <w14:solidFill>
              <w14:schemeClr w14:val="tx1"/>
            </w14:solidFill>
          </w14:textFill>
        </w:rPr>
        <w:t>18.1供应商</w:t>
      </w:r>
      <w:r>
        <w:rPr>
          <w:rStyle w:val="21"/>
          <w:rFonts w:hint="eastAsia" w:ascii="宋体" w:hAnsi="宋体" w:cs="宋体"/>
          <w:color w:val="000000" w:themeColor="text1"/>
          <w:sz w:val="24"/>
          <w14:textFill>
            <w14:solidFill>
              <w14:schemeClr w14:val="tx1"/>
            </w14:solidFill>
          </w14:textFill>
        </w:rPr>
        <w:t>和其他利害关系人</w:t>
      </w:r>
      <w:r>
        <w:rPr>
          <w:rStyle w:val="21"/>
          <w:rFonts w:hint="eastAsia" w:ascii="宋体" w:hAnsi="宋体" w:cs="宋体"/>
          <w:bCs/>
          <w:color w:val="000000" w:themeColor="text1"/>
          <w:sz w:val="24"/>
          <w14:textFill>
            <w14:solidFill>
              <w14:schemeClr w14:val="tx1"/>
            </w14:solidFill>
          </w14:textFill>
        </w:rPr>
        <w:t>认为本竞争性谈判文件不符合有关法律法规规定的，应按法律法规规定以书面形式先向采购人（代理机构）提出质疑，对质疑答复不满意或采购人（代理机构）未回复的，向相关部门投诉。</w:t>
      </w:r>
    </w:p>
    <w:p w14:paraId="7EC91551">
      <w:pPr>
        <w:snapToGrid w:val="0"/>
        <w:spacing w:line="470" w:lineRule="exact"/>
        <w:ind w:firstLine="480" w:firstLineChars="200"/>
        <w:rPr>
          <w:rStyle w:val="21"/>
          <w:rFonts w:ascii="宋体" w:hAnsi="宋体" w:cs="宋体"/>
          <w:bCs/>
          <w:color w:val="000000" w:themeColor="text1"/>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18.2本项目为国有企业采购服务项目，不适用《中华人民共和国政府采购法》等政府采购相关法律法规。为便于本项目的顺利实施，采购人比照《中华人民共和国政府采购法》等有关规定开展采购活动。如供应商对本项目提出质疑或提起投诉的，请与采购人、代理公司或采购人主管部门联系处理。响水县公共资源交易中心仅提供发布信息、场地等服务，不负责处理相关质疑、投诉事项。</w:t>
      </w:r>
    </w:p>
    <w:p w14:paraId="3BEFE158">
      <w:pPr>
        <w:snapToGrid w:val="0"/>
        <w:spacing w:before="60" w:after="60" w:line="500" w:lineRule="exact"/>
        <w:ind w:firstLine="472" w:firstLineChars="196"/>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t xml:space="preserve">19.监督 </w:t>
      </w:r>
    </w:p>
    <w:p w14:paraId="54DE0F48">
      <w:pPr>
        <w:snapToGrid w:val="0"/>
        <w:spacing w:line="470" w:lineRule="exact"/>
        <w:ind w:firstLine="480" w:firstLineChars="200"/>
        <w:rPr>
          <w:rStyle w:val="21"/>
          <w:rFonts w:hint="eastAsia" w:ascii="宋体" w:hAnsi="宋体" w:eastAsia="宋体" w:cs="宋体"/>
          <w:color w:val="000000" w:themeColor="text1"/>
          <w:kern w:val="0"/>
          <w:sz w:val="24"/>
          <w14:textFill>
            <w14:solidFill>
              <w14:schemeClr w14:val="tx1"/>
            </w14:solidFill>
          </w14:textFill>
        </w:rPr>
      </w:pPr>
      <w:r>
        <w:rPr>
          <w:rStyle w:val="21"/>
          <w:rFonts w:hint="eastAsia" w:ascii="宋体" w:hAnsi="宋体" w:eastAsia="宋体" w:cs="宋体"/>
          <w:color w:val="000000" w:themeColor="text1"/>
          <w:kern w:val="0"/>
          <w:sz w:val="24"/>
          <w14:textFill>
            <w14:solidFill>
              <w14:schemeClr w14:val="tx1"/>
            </w14:solidFill>
          </w14:textFill>
        </w:rPr>
        <w:t>监督部门：响水县人民政府国有资产监督管理办公室。</w:t>
      </w:r>
    </w:p>
    <w:p w14:paraId="7DCBA665">
      <w:pPr>
        <w:snapToGrid w:val="0"/>
        <w:spacing w:line="470" w:lineRule="exact"/>
        <w:ind w:firstLine="480" w:firstLineChars="200"/>
        <w:rPr>
          <w:rStyle w:val="21"/>
          <w:rFonts w:hint="eastAsia" w:ascii="宋体" w:hAnsi="宋体" w:eastAsia="宋体" w:cs="宋体"/>
          <w:color w:val="000000" w:themeColor="text1"/>
          <w:kern w:val="0"/>
          <w:sz w:val="24"/>
          <w14:textFill>
            <w14:solidFill>
              <w14:schemeClr w14:val="tx1"/>
            </w14:solidFill>
          </w14:textFill>
        </w:rPr>
      </w:pPr>
      <w:r>
        <w:rPr>
          <w:rStyle w:val="21"/>
          <w:rFonts w:hint="eastAsia" w:ascii="宋体" w:hAnsi="宋体" w:eastAsia="宋体" w:cs="宋体"/>
          <w:color w:val="000000" w:themeColor="text1"/>
          <w:kern w:val="0"/>
          <w:sz w:val="24"/>
          <w14:textFill>
            <w14:solidFill>
              <w14:schemeClr w14:val="tx1"/>
            </w14:solidFill>
          </w14:textFill>
        </w:rPr>
        <w:t>监督电话：0515-86883570</w:t>
      </w:r>
    </w:p>
    <w:p w14:paraId="6CABE033">
      <w:pPr>
        <w:snapToGrid w:val="0"/>
        <w:spacing w:before="60" w:after="60"/>
        <w:ind w:firstLine="883" w:firstLineChars="200"/>
        <w:rPr>
          <w:rStyle w:val="21"/>
          <w:rFonts w:ascii="宋体" w:hAnsi="宋体" w:cs="宋体"/>
          <w:b/>
          <w:color w:val="000000" w:themeColor="text1"/>
          <w:sz w:val="24"/>
          <w14:textFill>
            <w14:solidFill>
              <w14:schemeClr w14:val="tx1"/>
            </w14:solidFill>
          </w14:textFill>
        </w:rPr>
      </w:pPr>
      <w:r>
        <w:rPr>
          <w:rStyle w:val="21"/>
          <w:rFonts w:hint="eastAsia" w:ascii="宋体" w:hAnsi="宋体" w:cs="宋体"/>
          <w:b/>
          <w:color w:val="000000" w:themeColor="text1"/>
          <w:sz w:val="44"/>
          <w:szCs w:val="44"/>
          <w14:textFill>
            <w14:solidFill>
              <w14:schemeClr w14:val="tx1"/>
            </w14:solidFill>
          </w14:textFill>
        </w:rPr>
        <w:br w:type="page"/>
      </w:r>
    </w:p>
    <w:p w14:paraId="74CF4420">
      <w:pPr>
        <w:jc w:val="center"/>
        <w:rPr>
          <w:rStyle w:val="21"/>
          <w:rFonts w:ascii="宋体" w:hAnsi="宋体" w:cs="宋体"/>
          <w:b/>
          <w:color w:val="000000" w:themeColor="text1"/>
          <w:sz w:val="44"/>
          <w:szCs w:val="44"/>
          <w14:textFill>
            <w14:solidFill>
              <w14:schemeClr w14:val="tx1"/>
            </w14:solidFill>
          </w14:textFill>
        </w:rPr>
        <w:sectPr>
          <w:footerReference r:id="rId4" w:type="first"/>
          <w:footerReference r:id="rId3" w:type="default"/>
          <w:pgSz w:w="11906" w:h="16838"/>
          <w:pgMar w:top="1417" w:right="1417" w:bottom="1417" w:left="1417" w:header="567" w:footer="567" w:gutter="0"/>
          <w:cols w:space="0" w:num="1"/>
          <w:titlePg/>
          <w:docGrid w:linePitch="421" w:charSpace="0"/>
        </w:sectPr>
      </w:pPr>
    </w:p>
    <w:p w14:paraId="79A79AC3">
      <w:pPr>
        <w:keepNext w:val="0"/>
        <w:keepLines w:val="0"/>
        <w:kinsoku/>
        <w:overflowPunct/>
        <w:topLinePunct w:val="0"/>
        <w:bidi w:val="0"/>
        <w:spacing w:beforeAutospacing="0" w:afterAutospacing="0"/>
        <w:jc w:val="center"/>
        <w:textAlignment w:val="auto"/>
        <w:outlineLvl w:val="0"/>
        <w:rPr>
          <w:rStyle w:val="21"/>
          <w:rFonts w:hint="eastAsia" w:ascii="宋体" w:hAnsi="宋体" w:eastAsia="宋体" w:cs="宋体"/>
          <w:b/>
          <w:bCs w:val="0"/>
          <w:color w:val="auto"/>
          <w:sz w:val="36"/>
          <w:szCs w:val="36"/>
          <w:highlight w:val="none"/>
        </w:rPr>
      </w:pPr>
      <w:r>
        <w:rPr>
          <w:rStyle w:val="21"/>
          <w:rFonts w:hint="eastAsia" w:ascii="宋体" w:hAnsi="宋体" w:eastAsia="宋体" w:cs="宋体"/>
          <w:b/>
          <w:bCs w:val="0"/>
          <w:color w:val="auto"/>
          <w:sz w:val="36"/>
          <w:szCs w:val="36"/>
          <w:highlight w:val="none"/>
        </w:rPr>
        <w:t>第三</w:t>
      </w:r>
      <w:r>
        <w:rPr>
          <w:rStyle w:val="21"/>
          <w:rFonts w:hint="eastAsia" w:ascii="宋体" w:hAnsi="宋体" w:eastAsia="宋体" w:cs="宋体"/>
          <w:b/>
          <w:bCs w:val="0"/>
          <w:color w:val="auto"/>
          <w:sz w:val="36"/>
          <w:szCs w:val="36"/>
          <w:highlight w:val="none"/>
          <w:lang w:val="en-US" w:eastAsia="zh-CN"/>
        </w:rPr>
        <w:t>部分 项目服务需求</w:t>
      </w:r>
    </w:p>
    <w:p w14:paraId="5B687C9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一、承包方式</w:t>
      </w:r>
    </w:p>
    <w:p w14:paraId="080E0DC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本项目采取服务外包方式，最低价中标。</w:t>
      </w:r>
    </w:p>
    <w:p w14:paraId="393CF1DA">
      <w:pPr>
        <w:keepNext w:val="0"/>
        <w:keepLines w:val="0"/>
        <w:pageBreakBefore w:val="0"/>
        <w:widowControl w:val="0"/>
        <w:kinsoku/>
        <w:wordWrap/>
        <w:overflowPunct/>
        <w:topLinePunct w:val="0"/>
        <w:autoSpaceDE/>
        <w:autoSpaceDN/>
        <w:bidi w:val="0"/>
        <w:adjustRightInd/>
        <w:snapToGrid/>
        <w:spacing w:line="500" w:lineRule="exact"/>
        <w:ind w:left="319" w:leftChars="152"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本项目实施后以人员实际出勤量和考核相结合的方法核算服务费，并按季度结付。</w:t>
      </w:r>
    </w:p>
    <w:p w14:paraId="7BB42D2F">
      <w:pPr>
        <w:keepNext w:val="0"/>
        <w:keepLines w:val="0"/>
        <w:pageBreakBefore w:val="0"/>
        <w:widowControl w:val="0"/>
        <w:kinsoku/>
        <w:wordWrap/>
        <w:overflowPunct/>
        <w:topLinePunct w:val="0"/>
        <w:autoSpaceDE/>
        <w:autoSpaceDN/>
        <w:bidi w:val="0"/>
        <w:adjustRightInd/>
        <w:snapToGrid/>
        <w:spacing w:line="500" w:lineRule="exact"/>
        <w:ind w:left="319" w:leftChars="152"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w:t>
      </w:r>
      <w:r>
        <w:rPr>
          <w:rFonts w:hint="eastAsia" w:ascii="宋体" w:hAnsi="宋体" w:eastAsia="宋体" w:cs="宋体"/>
          <w:sz w:val="24"/>
          <w:szCs w:val="24"/>
        </w:rPr>
        <w:t>投标</w:t>
      </w:r>
      <w:r>
        <w:rPr>
          <w:rFonts w:hint="eastAsia" w:ascii="宋体" w:hAnsi="宋体" w:eastAsia="宋体" w:cs="宋体"/>
          <w:sz w:val="24"/>
          <w:szCs w:val="24"/>
          <w:lang w:val="en-US" w:eastAsia="zh-CN"/>
        </w:rPr>
        <w:t>报</w:t>
      </w:r>
      <w:r>
        <w:rPr>
          <w:rFonts w:hint="eastAsia" w:ascii="宋体" w:hAnsi="宋体" w:eastAsia="宋体" w:cs="宋体"/>
          <w:sz w:val="24"/>
          <w:szCs w:val="24"/>
        </w:rPr>
        <w:t>价包括人工费、人员保险</w:t>
      </w:r>
      <w:r>
        <w:rPr>
          <w:rFonts w:hint="eastAsia" w:ascii="宋体" w:hAnsi="宋体" w:eastAsia="宋体" w:cs="宋体"/>
          <w:sz w:val="24"/>
          <w:szCs w:val="24"/>
          <w:lang w:val="en-US" w:eastAsia="zh-CN"/>
        </w:rPr>
        <w:t>和福利、</w:t>
      </w:r>
      <w:r>
        <w:rPr>
          <w:rFonts w:hint="eastAsia" w:ascii="宋体" w:hAnsi="宋体" w:eastAsia="宋体" w:cs="宋体"/>
          <w:sz w:val="24"/>
          <w:szCs w:val="24"/>
        </w:rPr>
        <w:t>劳护用品、材料</w:t>
      </w:r>
      <w:r>
        <w:rPr>
          <w:rFonts w:hint="eastAsia" w:ascii="宋体" w:hAnsi="宋体" w:eastAsia="宋体" w:cs="宋体"/>
          <w:sz w:val="24"/>
          <w:szCs w:val="24"/>
          <w:lang w:val="en-US" w:eastAsia="zh-CN"/>
        </w:rPr>
        <w:t>费、机械费、合理利润、税金及其它一切不可预见费用。</w:t>
      </w:r>
    </w:p>
    <w:p w14:paraId="678B6D1C">
      <w:pPr>
        <w:keepNext w:val="0"/>
        <w:keepLines w:val="0"/>
        <w:pageBreakBefore w:val="0"/>
        <w:widowControl w:val="0"/>
        <w:kinsoku/>
        <w:wordWrap/>
        <w:overflowPunct/>
        <w:topLinePunct w:val="0"/>
        <w:autoSpaceDE/>
        <w:autoSpaceDN/>
        <w:bidi w:val="0"/>
        <w:adjustRightInd/>
        <w:snapToGrid/>
        <w:spacing w:line="500" w:lineRule="exact"/>
        <w:ind w:left="319" w:leftChars="152"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4、投标人自行勘察现场，了解项目实际情况合理报价，甲方不再另行支付任何费用。</w:t>
      </w:r>
    </w:p>
    <w:p w14:paraId="01EA73C6">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二、绿化养护要求</w:t>
      </w:r>
    </w:p>
    <w:p w14:paraId="0D450FD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按照采购人制定的月度绿化养护计划实施作业。一年内工作频次要求：草坪修剪6次；色块灌木修剪6次；人工除草6次；打药4次；树木刷白1次；草花种植4次；抗旱灌水1次。具体工作内容以采购人安排为准。服从采购人要求。</w:t>
      </w:r>
    </w:p>
    <w:p w14:paraId="36CCE65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2、响水工业经济区</w:t>
      </w:r>
      <w:r>
        <w:rPr>
          <w:rFonts w:hint="eastAsia" w:ascii="宋体" w:hAnsi="宋体" w:eastAsia="宋体" w:cs="宋体"/>
          <w:color w:val="auto"/>
          <w:sz w:val="24"/>
          <w:szCs w:val="24"/>
          <w:highlight w:val="none"/>
          <w:lang w:eastAsia="zh-CN"/>
        </w:rPr>
        <w:t>范围内</w:t>
      </w:r>
      <w:r>
        <w:rPr>
          <w:rFonts w:hint="eastAsia" w:ascii="宋体" w:hAnsi="宋体" w:eastAsia="宋体" w:cs="宋体"/>
          <w:color w:val="auto"/>
          <w:sz w:val="24"/>
          <w:szCs w:val="24"/>
          <w:highlight w:val="none"/>
        </w:rPr>
        <w:t>各种乔木、灌木、绿篱、草坪养护</w:t>
      </w:r>
      <w:r>
        <w:rPr>
          <w:rFonts w:hint="eastAsia" w:ascii="宋体" w:hAnsi="宋体" w:eastAsia="宋体" w:cs="宋体"/>
          <w:sz w:val="24"/>
          <w:szCs w:val="24"/>
          <w:highlight w:val="none"/>
        </w:rPr>
        <w:t>，有土丘、低洼、坑洞时，尽量拉平、垫土保证草坪的平整</w:t>
      </w:r>
      <w:r>
        <w:rPr>
          <w:rFonts w:hint="eastAsia" w:ascii="宋体" w:hAnsi="宋体" w:eastAsia="宋体" w:cs="宋体"/>
          <w:sz w:val="24"/>
          <w:szCs w:val="24"/>
          <w:highlight w:val="none"/>
          <w:lang w:val="en-US" w:eastAsia="zh-CN"/>
        </w:rPr>
        <w:t>度</w:t>
      </w:r>
      <w:r>
        <w:rPr>
          <w:rFonts w:hint="eastAsia" w:ascii="宋体" w:hAnsi="宋体" w:eastAsia="宋体" w:cs="宋体"/>
          <w:sz w:val="24"/>
          <w:szCs w:val="24"/>
          <w:highlight w:val="none"/>
        </w:rPr>
        <w:t>。</w:t>
      </w:r>
    </w:p>
    <w:p w14:paraId="78699DA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响水工业经济区</w:t>
      </w:r>
      <w:r>
        <w:rPr>
          <w:rFonts w:hint="eastAsia" w:ascii="宋体" w:hAnsi="宋体" w:eastAsia="宋体" w:cs="宋体"/>
          <w:sz w:val="24"/>
          <w:szCs w:val="24"/>
          <w:lang w:eastAsia="zh-CN"/>
        </w:rPr>
        <w:t>范围内</w:t>
      </w:r>
      <w:r>
        <w:rPr>
          <w:rFonts w:hint="eastAsia" w:ascii="宋体" w:hAnsi="宋体" w:eastAsia="宋体" w:cs="宋体"/>
          <w:sz w:val="24"/>
          <w:szCs w:val="24"/>
          <w:lang w:val="en-US" w:eastAsia="zh-CN"/>
        </w:rPr>
        <w:t>所有</w:t>
      </w:r>
      <w:r>
        <w:rPr>
          <w:rFonts w:hint="eastAsia" w:ascii="宋体" w:hAnsi="宋体" w:eastAsia="宋体" w:cs="宋体"/>
          <w:sz w:val="24"/>
          <w:szCs w:val="24"/>
        </w:rPr>
        <w:t>草坪</w:t>
      </w:r>
      <w:r>
        <w:rPr>
          <w:rFonts w:hint="eastAsia" w:ascii="宋体" w:hAnsi="宋体" w:eastAsia="宋体" w:cs="宋体"/>
          <w:sz w:val="24"/>
          <w:szCs w:val="24"/>
          <w:lang w:val="en-US" w:eastAsia="zh-CN"/>
        </w:rPr>
        <w:t>尽可能人工</w:t>
      </w:r>
      <w:r>
        <w:rPr>
          <w:rFonts w:hint="eastAsia" w:ascii="宋体" w:hAnsi="宋体" w:eastAsia="宋体" w:cs="宋体"/>
          <w:sz w:val="24"/>
          <w:szCs w:val="24"/>
        </w:rPr>
        <w:t>拔除杂草</w:t>
      </w:r>
      <w:r>
        <w:rPr>
          <w:rFonts w:hint="eastAsia" w:ascii="宋体" w:hAnsi="宋体" w:eastAsia="宋体" w:cs="宋体"/>
          <w:sz w:val="24"/>
          <w:szCs w:val="24"/>
          <w:lang w:eastAsia="zh-CN"/>
        </w:rPr>
        <w:t>，</w:t>
      </w:r>
      <w:r>
        <w:rPr>
          <w:rFonts w:hint="eastAsia" w:ascii="宋体" w:hAnsi="宋体" w:eastAsia="宋体" w:cs="宋体"/>
          <w:sz w:val="24"/>
          <w:szCs w:val="24"/>
        </w:rPr>
        <w:t>草坪退化的地块，合理洒入草籽，逐步恢复草坪的</w:t>
      </w:r>
      <w:r>
        <w:rPr>
          <w:rFonts w:hint="eastAsia" w:ascii="宋体" w:hAnsi="宋体" w:eastAsia="宋体" w:cs="宋体"/>
          <w:sz w:val="24"/>
          <w:szCs w:val="24"/>
          <w:lang w:val="en-US" w:eastAsia="zh-CN"/>
        </w:rPr>
        <w:t>原貌和</w:t>
      </w:r>
      <w:r>
        <w:rPr>
          <w:rFonts w:hint="eastAsia" w:ascii="宋体" w:hAnsi="宋体" w:eastAsia="宋体" w:cs="宋体"/>
          <w:sz w:val="24"/>
          <w:szCs w:val="24"/>
        </w:rPr>
        <w:t>完整</w:t>
      </w:r>
      <w:r>
        <w:rPr>
          <w:rFonts w:hint="eastAsia" w:ascii="宋体" w:hAnsi="宋体" w:eastAsia="宋体" w:cs="宋体"/>
          <w:sz w:val="24"/>
          <w:szCs w:val="24"/>
          <w:lang w:val="en-US" w:eastAsia="zh-CN"/>
        </w:rPr>
        <w:t>性</w:t>
      </w:r>
      <w:r>
        <w:rPr>
          <w:rFonts w:hint="eastAsia" w:ascii="宋体" w:hAnsi="宋体" w:eastAsia="宋体" w:cs="宋体"/>
          <w:sz w:val="24"/>
          <w:szCs w:val="24"/>
        </w:rPr>
        <w:t>。</w:t>
      </w:r>
    </w:p>
    <w:p w14:paraId="50AF604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响水工业经济区</w:t>
      </w:r>
      <w:r>
        <w:rPr>
          <w:rFonts w:hint="eastAsia" w:ascii="宋体" w:hAnsi="宋体" w:eastAsia="宋体" w:cs="宋体"/>
          <w:sz w:val="24"/>
          <w:szCs w:val="24"/>
          <w:lang w:eastAsia="zh-CN"/>
        </w:rPr>
        <w:t>范围内</w:t>
      </w:r>
      <w:r>
        <w:rPr>
          <w:rFonts w:hint="eastAsia" w:ascii="宋体" w:hAnsi="宋体" w:eastAsia="宋体" w:cs="宋体"/>
          <w:sz w:val="24"/>
          <w:szCs w:val="24"/>
        </w:rPr>
        <w:t>各观赏植物按生长情况修剪整齐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绿篱要保持上平下齐状，球型灌木要保持圆形状</w:t>
      </w:r>
      <w:r>
        <w:rPr>
          <w:rFonts w:hint="eastAsia" w:ascii="宋体" w:hAnsi="宋体" w:eastAsia="宋体" w:cs="宋体"/>
          <w:sz w:val="24"/>
          <w:szCs w:val="24"/>
        </w:rPr>
        <w:t>。各植物、草坪、树木提前</w:t>
      </w:r>
      <w:r>
        <w:rPr>
          <w:rFonts w:hint="eastAsia" w:ascii="宋体" w:hAnsi="宋体" w:eastAsia="宋体" w:cs="宋体"/>
          <w:sz w:val="24"/>
          <w:szCs w:val="24"/>
          <w:lang w:val="en-US" w:eastAsia="zh-CN"/>
        </w:rPr>
        <w:t>估好病</w:t>
      </w:r>
      <w:r>
        <w:rPr>
          <w:rFonts w:hint="eastAsia" w:ascii="宋体" w:hAnsi="宋体" w:eastAsia="宋体" w:cs="宋体"/>
          <w:sz w:val="24"/>
          <w:szCs w:val="24"/>
        </w:rPr>
        <w:t>虫害</w:t>
      </w:r>
      <w:r>
        <w:rPr>
          <w:rFonts w:hint="eastAsia" w:ascii="宋体" w:hAnsi="宋体" w:eastAsia="宋体" w:cs="宋体"/>
          <w:sz w:val="24"/>
          <w:szCs w:val="24"/>
          <w:lang w:val="en-US" w:eastAsia="zh-CN"/>
        </w:rPr>
        <w:t>防治措施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保持无病</w:t>
      </w:r>
      <w:r>
        <w:rPr>
          <w:rFonts w:hint="eastAsia" w:ascii="宋体" w:hAnsi="宋体" w:eastAsia="宋体" w:cs="宋体"/>
          <w:sz w:val="24"/>
          <w:szCs w:val="24"/>
        </w:rPr>
        <w:t>虫害</w:t>
      </w:r>
      <w:r>
        <w:rPr>
          <w:rFonts w:hint="eastAsia" w:ascii="宋体" w:hAnsi="宋体" w:eastAsia="宋体" w:cs="宋体"/>
          <w:sz w:val="24"/>
          <w:szCs w:val="24"/>
          <w:lang w:val="en-US" w:eastAsia="zh-CN"/>
        </w:rPr>
        <w:t>状态</w:t>
      </w:r>
      <w:r>
        <w:rPr>
          <w:rFonts w:hint="eastAsia" w:ascii="宋体" w:hAnsi="宋体" w:eastAsia="宋体" w:cs="宋体"/>
          <w:sz w:val="24"/>
          <w:szCs w:val="24"/>
        </w:rPr>
        <w:t>。</w:t>
      </w:r>
    </w:p>
    <w:p w14:paraId="5593A9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响水工业经济区</w:t>
      </w:r>
      <w:r>
        <w:rPr>
          <w:rFonts w:hint="eastAsia" w:ascii="宋体" w:hAnsi="宋体" w:eastAsia="宋体" w:cs="宋体"/>
          <w:sz w:val="24"/>
          <w:szCs w:val="24"/>
          <w:lang w:eastAsia="zh-CN"/>
        </w:rPr>
        <w:t>范围内</w:t>
      </w:r>
      <w:r>
        <w:rPr>
          <w:rFonts w:hint="eastAsia" w:ascii="宋体" w:hAnsi="宋体" w:eastAsia="宋体" w:cs="宋体"/>
          <w:sz w:val="24"/>
          <w:szCs w:val="24"/>
        </w:rPr>
        <w:t>各类杂树须及时清理，</w:t>
      </w:r>
      <w:r>
        <w:rPr>
          <w:rFonts w:hint="eastAsia" w:ascii="宋体" w:hAnsi="宋体" w:eastAsia="宋体" w:cs="宋体"/>
          <w:sz w:val="24"/>
          <w:szCs w:val="24"/>
          <w:lang w:val="en-US" w:eastAsia="zh-CN"/>
        </w:rPr>
        <w:t>配合采购人做好局部绿化和时令草花的补植工作，</w:t>
      </w:r>
      <w:r>
        <w:rPr>
          <w:rFonts w:hint="eastAsia" w:ascii="宋体" w:hAnsi="宋体" w:eastAsia="宋体" w:cs="宋体"/>
          <w:sz w:val="24"/>
          <w:szCs w:val="24"/>
        </w:rPr>
        <w:t>冬季</w:t>
      </w:r>
      <w:r>
        <w:rPr>
          <w:rFonts w:hint="eastAsia" w:ascii="宋体" w:hAnsi="宋体" w:eastAsia="宋体" w:cs="宋体"/>
          <w:sz w:val="24"/>
          <w:szCs w:val="24"/>
          <w:lang w:val="en-US" w:eastAsia="zh-CN"/>
        </w:rPr>
        <w:t>做好</w:t>
      </w:r>
      <w:r>
        <w:rPr>
          <w:rFonts w:hint="eastAsia" w:ascii="宋体" w:hAnsi="宋体" w:eastAsia="宋体" w:cs="宋体"/>
          <w:sz w:val="24"/>
          <w:szCs w:val="24"/>
        </w:rPr>
        <w:t>树木</w:t>
      </w:r>
      <w:r>
        <w:rPr>
          <w:rFonts w:hint="eastAsia" w:ascii="宋体" w:hAnsi="宋体" w:eastAsia="宋体" w:cs="宋体"/>
          <w:sz w:val="24"/>
          <w:szCs w:val="24"/>
          <w:lang w:val="en-US" w:eastAsia="zh-CN"/>
        </w:rPr>
        <w:t>的</w:t>
      </w:r>
      <w:r>
        <w:rPr>
          <w:rFonts w:hint="eastAsia" w:ascii="宋体" w:hAnsi="宋体" w:eastAsia="宋体" w:cs="宋体"/>
          <w:sz w:val="24"/>
          <w:szCs w:val="24"/>
        </w:rPr>
        <w:t>刷白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树池开挖</w:t>
      </w:r>
      <w:r>
        <w:rPr>
          <w:rFonts w:hint="eastAsia" w:ascii="宋体" w:hAnsi="宋体" w:eastAsia="宋体" w:cs="宋体"/>
          <w:sz w:val="24"/>
          <w:szCs w:val="24"/>
        </w:rPr>
        <w:t>和防冻</w:t>
      </w:r>
      <w:r>
        <w:rPr>
          <w:rFonts w:hint="eastAsia" w:ascii="宋体" w:hAnsi="宋体" w:eastAsia="宋体" w:cs="宋体"/>
          <w:sz w:val="24"/>
          <w:szCs w:val="24"/>
          <w:lang w:val="en-US" w:eastAsia="zh-CN"/>
        </w:rPr>
        <w:t>措施</w:t>
      </w:r>
      <w:r>
        <w:rPr>
          <w:rFonts w:hint="eastAsia" w:ascii="宋体" w:hAnsi="宋体" w:eastAsia="宋体" w:cs="宋体"/>
          <w:sz w:val="24"/>
          <w:szCs w:val="24"/>
        </w:rPr>
        <w:t>。</w:t>
      </w:r>
    </w:p>
    <w:p w14:paraId="73E10D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响水工业经济区范围内</w:t>
      </w:r>
      <w:r>
        <w:rPr>
          <w:rFonts w:hint="eastAsia" w:ascii="宋体" w:hAnsi="宋体" w:eastAsia="宋体" w:cs="宋体"/>
          <w:sz w:val="24"/>
          <w:szCs w:val="24"/>
        </w:rPr>
        <w:t>重点绿化区域</w:t>
      </w:r>
      <w:r>
        <w:rPr>
          <w:rFonts w:hint="eastAsia" w:ascii="宋体" w:hAnsi="宋体" w:eastAsia="宋体" w:cs="宋体"/>
          <w:sz w:val="24"/>
          <w:szCs w:val="24"/>
          <w:lang w:val="en-US" w:eastAsia="zh-CN"/>
        </w:rPr>
        <w:t>内的</w:t>
      </w:r>
      <w:r>
        <w:rPr>
          <w:rFonts w:hint="eastAsia" w:ascii="宋体" w:hAnsi="宋体" w:eastAsia="宋体" w:cs="宋体"/>
          <w:sz w:val="24"/>
          <w:szCs w:val="24"/>
        </w:rPr>
        <w:t>草坪，须重点养护，保证草坪的清洁度、草</w:t>
      </w:r>
      <w:r>
        <w:rPr>
          <w:rFonts w:hint="eastAsia" w:ascii="宋体" w:hAnsi="宋体" w:eastAsia="宋体" w:cs="宋体"/>
          <w:sz w:val="24"/>
          <w:szCs w:val="24"/>
          <w:lang w:val="en-US" w:eastAsia="zh-CN"/>
        </w:rPr>
        <w:t>坪</w:t>
      </w:r>
      <w:r>
        <w:rPr>
          <w:rFonts w:hint="eastAsia" w:ascii="宋体" w:hAnsi="宋体" w:eastAsia="宋体" w:cs="宋体"/>
          <w:sz w:val="24"/>
          <w:szCs w:val="24"/>
        </w:rPr>
        <w:t>的高度标准</w:t>
      </w:r>
      <w:r>
        <w:rPr>
          <w:rFonts w:hint="eastAsia" w:ascii="宋体" w:hAnsi="宋体" w:eastAsia="宋体" w:cs="宋体"/>
          <w:sz w:val="24"/>
          <w:szCs w:val="24"/>
          <w:lang w:val="en-US" w:eastAsia="zh-CN"/>
        </w:rPr>
        <w:t>控制在</w:t>
      </w:r>
      <w:r>
        <w:rPr>
          <w:rFonts w:hint="eastAsia" w:ascii="宋体" w:hAnsi="宋体" w:eastAsia="宋体" w:cs="宋体"/>
          <w:b/>
          <w:bCs/>
          <w:sz w:val="24"/>
          <w:szCs w:val="24"/>
          <w:lang w:val="en-US" w:eastAsia="zh-CN"/>
        </w:rPr>
        <w:t>6cm</w:t>
      </w:r>
      <w:r>
        <w:rPr>
          <w:rFonts w:hint="eastAsia" w:ascii="宋体" w:hAnsi="宋体" w:eastAsia="宋体" w:cs="宋体"/>
          <w:sz w:val="24"/>
          <w:szCs w:val="24"/>
          <w:lang w:val="en-US" w:eastAsia="zh-CN"/>
        </w:rPr>
        <w:t>之间</w:t>
      </w:r>
      <w:r>
        <w:rPr>
          <w:rFonts w:hint="eastAsia" w:ascii="宋体" w:hAnsi="宋体" w:eastAsia="宋体" w:cs="宋体"/>
          <w:sz w:val="24"/>
          <w:szCs w:val="24"/>
        </w:rPr>
        <w:t>。重点区域为：</w:t>
      </w:r>
      <w:r>
        <w:rPr>
          <w:rFonts w:hint="eastAsia" w:ascii="宋体" w:hAnsi="宋体" w:eastAsia="宋体" w:cs="宋体"/>
          <w:sz w:val="24"/>
          <w:szCs w:val="24"/>
          <w:lang w:val="en-US" w:eastAsia="zh-CN"/>
        </w:rPr>
        <w:t>邻里中心、小镇公园及周边、纸文化公园、振兴路、开创路、326省道两侧，黄海路、通港大道、厚德路等</w:t>
      </w:r>
      <w:r>
        <w:rPr>
          <w:rFonts w:hint="eastAsia" w:ascii="宋体" w:hAnsi="宋体" w:eastAsia="宋体" w:cs="宋体"/>
          <w:sz w:val="24"/>
          <w:szCs w:val="24"/>
          <w:lang w:eastAsia="zh-CN"/>
        </w:rPr>
        <w:t>。</w:t>
      </w:r>
      <w:r>
        <w:rPr>
          <w:rFonts w:hint="eastAsia" w:ascii="宋体" w:hAnsi="宋体" w:eastAsia="宋体" w:cs="宋体"/>
          <w:sz w:val="24"/>
          <w:szCs w:val="24"/>
        </w:rPr>
        <w:t>重点区域草坪</w:t>
      </w:r>
      <w:r>
        <w:rPr>
          <w:rFonts w:hint="eastAsia" w:ascii="宋体" w:hAnsi="宋体" w:eastAsia="宋体" w:cs="宋体"/>
          <w:sz w:val="24"/>
          <w:szCs w:val="24"/>
          <w:lang w:val="en-US" w:eastAsia="zh-CN"/>
        </w:rPr>
        <w:t>内目视无明显杂草、砖块杂木、树枝枯叶</w:t>
      </w:r>
      <w:r>
        <w:rPr>
          <w:rFonts w:hint="eastAsia" w:ascii="宋体" w:hAnsi="宋体" w:eastAsia="宋体" w:cs="宋体"/>
          <w:sz w:val="24"/>
          <w:szCs w:val="24"/>
          <w:lang w:eastAsia="zh-CN"/>
        </w:rPr>
        <w:t>；</w:t>
      </w:r>
      <w:r>
        <w:rPr>
          <w:rFonts w:hint="eastAsia" w:ascii="宋体" w:hAnsi="宋体" w:eastAsia="宋体" w:cs="宋体"/>
          <w:sz w:val="24"/>
          <w:szCs w:val="24"/>
          <w:highlight w:val="none"/>
        </w:rPr>
        <w:t>非重点</w:t>
      </w:r>
      <w:r>
        <w:rPr>
          <w:rFonts w:hint="eastAsia" w:ascii="宋体" w:hAnsi="宋体" w:eastAsia="宋体" w:cs="宋体"/>
          <w:sz w:val="24"/>
          <w:szCs w:val="24"/>
          <w:highlight w:val="none"/>
          <w:lang w:val="en-US" w:eastAsia="zh-CN"/>
        </w:rPr>
        <w:t>区域</w:t>
      </w:r>
      <w:r>
        <w:rPr>
          <w:rFonts w:hint="eastAsia" w:ascii="宋体" w:hAnsi="宋体" w:eastAsia="宋体" w:cs="宋体"/>
          <w:sz w:val="24"/>
          <w:szCs w:val="24"/>
          <w:highlight w:val="none"/>
        </w:rPr>
        <w:t>草坪的清洁度、草</w:t>
      </w:r>
      <w:r>
        <w:rPr>
          <w:rFonts w:hint="eastAsia" w:ascii="宋体" w:hAnsi="宋体" w:eastAsia="宋体" w:cs="宋体"/>
          <w:sz w:val="24"/>
          <w:szCs w:val="24"/>
          <w:highlight w:val="none"/>
          <w:lang w:val="en-US" w:eastAsia="zh-CN"/>
        </w:rPr>
        <w:t>坪</w:t>
      </w:r>
      <w:r>
        <w:rPr>
          <w:rFonts w:hint="eastAsia" w:ascii="宋体" w:hAnsi="宋体" w:eastAsia="宋体" w:cs="宋体"/>
          <w:sz w:val="24"/>
          <w:szCs w:val="24"/>
          <w:highlight w:val="none"/>
        </w:rPr>
        <w:t>的高度</w:t>
      </w:r>
      <w:r>
        <w:rPr>
          <w:rFonts w:hint="eastAsia" w:ascii="宋体" w:hAnsi="宋体" w:eastAsia="宋体" w:cs="宋体"/>
          <w:sz w:val="24"/>
          <w:szCs w:val="24"/>
          <w:highlight w:val="none"/>
          <w:lang w:val="en-US" w:eastAsia="zh-CN"/>
        </w:rPr>
        <w:t>不超过</w:t>
      </w:r>
      <w:r>
        <w:rPr>
          <w:rFonts w:hint="eastAsia" w:ascii="宋体" w:hAnsi="宋体" w:eastAsia="宋体" w:cs="宋体"/>
          <w:b/>
          <w:bCs/>
          <w:sz w:val="24"/>
          <w:szCs w:val="24"/>
          <w:highlight w:val="none"/>
          <w:lang w:val="en-US" w:eastAsia="zh-CN"/>
        </w:rPr>
        <w:t>10cm</w:t>
      </w:r>
      <w:r>
        <w:rPr>
          <w:rFonts w:hint="eastAsia" w:ascii="宋体" w:hAnsi="宋体" w:eastAsia="宋体" w:cs="宋体"/>
          <w:sz w:val="24"/>
          <w:szCs w:val="24"/>
          <w:highlight w:val="none"/>
          <w:lang w:val="en-US" w:eastAsia="zh-CN"/>
        </w:rPr>
        <w:t>之间，</w:t>
      </w:r>
      <w:r>
        <w:rPr>
          <w:rFonts w:hint="eastAsia" w:ascii="宋体" w:hAnsi="宋体" w:eastAsia="宋体" w:cs="宋体"/>
          <w:sz w:val="24"/>
          <w:szCs w:val="24"/>
        </w:rPr>
        <w:t>各类杂草高度原则上不得超过</w:t>
      </w:r>
      <w:r>
        <w:rPr>
          <w:rFonts w:hint="eastAsia" w:ascii="宋体" w:hAnsi="宋体" w:eastAsia="宋体" w:cs="宋体"/>
          <w:b/>
          <w:bCs/>
          <w:sz w:val="24"/>
          <w:szCs w:val="24"/>
          <w:lang w:val="en-US" w:eastAsia="zh-CN"/>
        </w:rPr>
        <w:t>15</w:t>
      </w:r>
      <w:r>
        <w:rPr>
          <w:rFonts w:hint="eastAsia" w:ascii="宋体" w:hAnsi="宋体" w:eastAsia="宋体" w:cs="宋体"/>
          <w:b/>
          <w:bCs/>
          <w:sz w:val="24"/>
          <w:szCs w:val="24"/>
        </w:rPr>
        <w:t>cm</w:t>
      </w:r>
      <w:r>
        <w:rPr>
          <w:rFonts w:hint="eastAsia" w:ascii="宋体" w:hAnsi="宋体" w:eastAsia="宋体" w:cs="宋体"/>
          <w:sz w:val="24"/>
          <w:szCs w:val="24"/>
        </w:rPr>
        <w:t>，</w:t>
      </w:r>
      <w:r>
        <w:rPr>
          <w:rFonts w:hint="eastAsia" w:ascii="宋体" w:hAnsi="宋体" w:eastAsia="宋体" w:cs="宋体"/>
          <w:sz w:val="24"/>
          <w:szCs w:val="24"/>
          <w:lang w:val="en-US" w:eastAsia="zh-CN"/>
        </w:rPr>
        <w:t>草坪修剪后，第一时间</w:t>
      </w:r>
      <w:r>
        <w:rPr>
          <w:rFonts w:hint="eastAsia" w:ascii="宋体" w:hAnsi="宋体" w:eastAsia="宋体" w:cs="宋体"/>
          <w:sz w:val="24"/>
          <w:szCs w:val="24"/>
        </w:rPr>
        <w:t>清</w:t>
      </w:r>
      <w:r>
        <w:rPr>
          <w:rFonts w:hint="eastAsia" w:ascii="宋体" w:hAnsi="宋体" w:eastAsia="宋体" w:cs="宋体"/>
          <w:sz w:val="24"/>
          <w:szCs w:val="24"/>
          <w:lang w:val="en-US" w:eastAsia="zh-CN"/>
        </w:rPr>
        <w:t>扫路面（原则上随剪随扫），草坪上的残草清理（原则上在6小时内完成），严禁在响水工业经济区范围内乱放乱倒或填埋，投标人自行解决残草处置地点，但需合规合理处置，不得违反响水工业经济区的环保要求和规定</w:t>
      </w:r>
      <w:r>
        <w:rPr>
          <w:rFonts w:hint="eastAsia" w:ascii="宋体" w:hAnsi="宋体" w:eastAsia="宋体" w:cs="宋体"/>
          <w:sz w:val="24"/>
          <w:szCs w:val="24"/>
        </w:rPr>
        <w:t>。</w:t>
      </w:r>
    </w:p>
    <w:p w14:paraId="4554442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7、响水工业经济区范围内</w:t>
      </w:r>
      <w:r>
        <w:rPr>
          <w:rFonts w:hint="eastAsia" w:ascii="宋体" w:hAnsi="宋体" w:eastAsia="宋体" w:cs="宋体"/>
          <w:sz w:val="24"/>
          <w:szCs w:val="24"/>
        </w:rPr>
        <w:t>重点绿化区域</w:t>
      </w:r>
      <w:r>
        <w:rPr>
          <w:rFonts w:hint="eastAsia" w:ascii="宋体" w:hAnsi="宋体" w:eastAsia="宋体" w:cs="宋体"/>
          <w:sz w:val="24"/>
          <w:szCs w:val="24"/>
          <w:lang w:val="en-US" w:eastAsia="zh-CN"/>
        </w:rPr>
        <w:t>内乔木</w:t>
      </w:r>
      <w:r>
        <w:rPr>
          <w:rFonts w:hint="eastAsia" w:ascii="宋体" w:hAnsi="宋体" w:eastAsia="宋体" w:cs="宋体"/>
          <w:sz w:val="24"/>
          <w:szCs w:val="24"/>
          <w:lang w:eastAsia="zh-CN"/>
        </w:rPr>
        <w:t>，</w:t>
      </w:r>
      <w:r>
        <w:rPr>
          <w:rFonts w:hint="eastAsia" w:ascii="宋体" w:hAnsi="宋体" w:eastAsia="宋体" w:cs="宋体"/>
          <w:sz w:val="24"/>
          <w:szCs w:val="24"/>
        </w:rPr>
        <w:t>须重点养护，</w:t>
      </w:r>
      <w:r>
        <w:rPr>
          <w:rFonts w:hint="eastAsia" w:ascii="宋体" w:hAnsi="宋体" w:eastAsia="宋体" w:cs="宋体"/>
          <w:sz w:val="24"/>
          <w:szCs w:val="24"/>
          <w:lang w:val="en-US" w:eastAsia="zh-CN"/>
        </w:rPr>
        <w:t>合理进行疏枝修剪，定高定型。对范围内的乔灌木出现枯死的或枯枝要及时清理，对范围内出现</w:t>
      </w:r>
      <w:r>
        <w:rPr>
          <w:rFonts w:hint="eastAsia" w:ascii="宋体" w:hAnsi="宋体" w:eastAsia="宋体" w:cs="宋体"/>
          <w:sz w:val="24"/>
          <w:szCs w:val="24"/>
        </w:rPr>
        <w:t>倾斜</w:t>
      </w:r>
      <w:r>
        <w:rPr>
          <w:rFonts w:hint="eastAsia" w:ascii="宋体" w:hAnsi="宋体" w:eastAsia="宋体" w:cs="宋体"/>
          <w:sz w:val="24"/>
          <w:szCs w:val="24"/>
          <w:lang w:val="en-US" w:eastAsia="zh-CN"/>
        </w:rPr>
        <w:t>歪倒的乔灌木应及时组织人</w:t>
      </w:r>
      <w:r>
        <w:rPr>
          <w:rFonts w:hint="eastAsia" w:ascii="宋体" w:hAnsi="宋体" w:eastAsia="宋体" w:cs="宋体"/>
          <w:sz w:val="24"/>
          <w:szCs w:val="24"/>
          <w:highlight w:val="none"/>
          <w:lang w:val="en-US" w:eastAsia="zh-CN"/>
        </w:rPr>
        <w:t>员进行加</w:t>
      </w:r>
      <w:r>
        <w:rPr>
          <w:rFonts w:hint="eastAsia" w:ascii="宋体" w:hAnsi="宋体" w:eastAsia="宋体" w:cs="宋体"/>
          <w:sz w:val="24"/>
          <w:szCs w:val="24"/>
          <w:highlight w:val="none"/>
        </w:rPr>
        <w:t>固</w:t>
      </w:r>
      <w:r>
        <w:rPr>
          <w:rFonts w:hint="eastAsia" w:ascii="宋体" w:hAnsi="宋体" w:eastAsia="宋体" w:cs="宋体"/>
          <w:sz w:val="24"/>
          <w:szCs w:val="24"/>
          <w:highlight w:val="none"/>
          <w:lang w:val="en-US" w:eastAsia="zh-CN"/>
        </w:rPr>
        <w:t>扶正处理，保持</w:t>
      </w:r>
      <w:r>
        <w:rPr>
          <w:rFonts w:hint="eastAsia" w:ascii="宋体" w:hAnsi="宋体" w:eastAsia="宋体" w:cs="宋体"/>
          <w:sz w:val="24"/>
          <w:szCs w:val="24"/>
          <w:highlight w:val="none"/>
        </w:rPr>
        <w:t>重点区域</w:t>
      </w:r>
      <w:r>
        <w:rPr>
          <w:rFonts w:hint="eastAsia" w:ascii="宋体" w:hAnsi="宋体" w:eastAsia="宋体" w:cs="宋体"/>
          <w:sz w:val="24"/>
          <w:szCs w:val="24"/>
          <w:highlight w:val="none"/>
          <w:lang w:val="en-US" w:eastAsia="zh-CN"/>
        </w:rPr>
        <w:t>内目视各类乔灌木无明显枯枝或倾斜歪倒现象。</w:t>
      </w:r>
    </w:p>
    <w:p w14:paraId="24CFB8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方正仿宋_GB2312" w:hAnsi="方正仿宋_GB2312" w:eastAsia="方正仿宋_GB2312" w:cs="方正仿宋_GB2312"/>
          <w:sz w:val="24"/>
          <w:szCs w:val="24"/>
          <w:highlight w:val="none"/>
          <w:lang w:val="en-US" w:eastAsia="zh-CN"/>
        </w:rPr>
      </w:pPr>
      <w:r>
        <w:rPr>
          <w:rFonts w:hint="eastAsia" w:ascii="宋体" w:hAnsi="宋体" w:eastAsia="宋体" w:cs="宋体"/>
          <w:sz w:val="24"/>
          <w:szCs w:val="24"/>
          <w:highlight w:val="none"/>
          <w:lang w:val="en-US" w:eastAsia="zh-CN"/>
        </w:rPr>
        <w:t>8、遇响水工业经济区重要活动，急需紧急突击时，投标人</w:t>
      </w:r>
      <w:r>
        <w:rPr>
          <w:rFonts w:hint="eastAsia" w:ascii="宋体" w:hAnsi="宋体" w:eastAsia="宋体" w:cs="宋体"/>
          <w:sz w:val="24"/>
          <w:szCs w:val="24"/>
          <w:highlight w:val="none"/>
        </w:rPr>
        <w:t>须集中力量无条件配合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随时应对，</w:t>
      </w:r>
      <w:r>
        <w:rPr>
          <w:rFonts w:hint="eastAsia" w:ascii="宋体" w:hAnsi="宋体" w:eastAsia="宋体" w:cs="宋体"/>
          <w:sz w:val="24"/>
          <w:szCs w:val="24"/>
          <w:highlight w:val="none"/>
          <w:lang w:val="en-US" w:eastAsia="zh-CN"/>
        </w:rPr>
        <w:t>第一时间组织</w:t>
      </w:r>
      <w:r>
        <w:rPr>
          <w:rFonts w:hint="eastAsia" w:ascii="宋体" w:hAnsi="宋体" w:eastAsia="宋体" w:cs="宋体"/>
          <w:sz w:val="24"/>
          <w:szCs w:val="24"/>
          <w:highlight w:val="none"/>
        </w:rPr>
        <w:t>人员</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在规定时间内</w:t>
      </w:r>
      <w:r>
        <w:rPr>
          <w:rFonts w:hint="eastAsia" w:ascii="宋体" w:hAnsi="宋体" w:eastAsia="宋体" w:cs="宋体"/>
          <w:sz w:val="24"/>
          <w:szCs w:val="24"/>
          <w:highlight w:val="none"/>
          <w:lang w:val="en-US" w:eastAsia="zh-CN"/>
        </w:rPr>
        <w:t>完成任务。不再另行支付费用。</w:t>
      </w:r>
    </w:p>
    <w:p w14:paraId="6906995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三、安全管理要求</w:t>
      </w:r>
    </w:p>
    <w:p w14:paraId="234BAF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进场后，投标人需在</w:t>
      </w:r>
      <w:r>
        <w:rPr>
          <w:rFonts w:hint="eastAsia" w:ascii="宋体" w:hAnsi="宋体" w:eastAsia="宋体" w:cs="宋体"/>
          <w:b/>
          <w:bCs/>
          <w:sz w:val="24"/>
          <w:szCs w:val="24"/>
          <w:highlight w:val="none"/>
          <w:lang w:val="en-US" w:eastAsia="zh-CN"/>
        </w:rPr>
        <w:t>3</w:t>
      </w:r>
      <w:r>
        <w:rPr>
          <w:rFonts w:hint="eastAsia" w:ascii="宋体" w:hAnsi="宋体" w:eastAsia="宋体" w:cs="宋体"/>
          <w:sz w:val="24"/>
          <w:szCs w:val="24"/>
          <w:highlight w:val="none"/>
          <w:lang w:val="en-US" w:eastAsia="zh-CN"/>
        </w:rPr>
        <w:t>个工作日</w:t>
      </w:r>
      <w:r>
        <w:rPr>
          <w:rFonts w:hint="eastAsia" w:ascii="宋体" w:hAnsi="宋体" w:eastAsia="宋体" w:cs="宋体"/>
          <w:sz w:val="24"/>
          <w:szCs w:val="24"/>
          <w:highlight w:val="none"/>
        </w:rPr>
        <w:t>签订业务外包安全协议书，遵守</w:t>
      </w:r>
      <w:r>
        <w:rPr>
          <w:rFonts w:hint="eastAsia" w:ascii="宋体" w:hAnsi="宋体" w:eastAsia="宋体" w:cs="宋体"/>
          <w:sz w:val="24"/>
          <w:szCs w:val="24"/>
          <w:highlight w:val="none"/>
          <w:lang w:val="en-US" w:eastAsia="zh-CN"/>
        </w:rPr>
        <w:t>作业规范、</w:t>
      </w:r>
      <w:r>
        <w:rPr>
          <w:rFonts w:hint="eastAsia" w:ascii="宋体" w:hAnsi="宋体" w:eastAsia="宋体" w:cs="宋体"/>
          <w:sz w:val="24"/>
          <w:szCs w:val="24"/>
          <w:highlight w:val="none"/>
        </w:rPr>
        <w:t>文明作业，安全操作。</w:t>
      </w:r>
    </w:p>
    <w:p w14:paraId="103D76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2、草坪内石子</w:t>
      </w:r>
      <w:r>
        <w:rPr>
          <w:rFonts w:hint="eastAsia" w:ascii="宋体" w:hAnsi="宋体" w:eastAsia="宋体" w:cs="宋体"/>
          <w:sz w:val="24"/>
          <w:szCs w:val="24"/>
          <w:lang w:val="en-US" w:eastAsia="zh-CN"/>
        </w:rPr>
        <w:t>砖块</w:t>
      </w:r>
      <w:r>
        <w:rPr>
          <w:rFonts w:hint="eastAsia" w:ascii="宋体" w:hAnsi="宋体" w:eastAsia="宋体" w:cs="宋体"/>
          <w:sz w:val="24"/>
          <w:szCs w:val="24"/>
        </w:rPr>
        <w:t>、废铁、建筑垃圾、电缆电线、光纤等</w:t>
      </w:r>
      <w:r>
        <w:rPr>
          <w:rFonts w:hint="eastAsia" w:ascii="宋体" w:hAnsi="宋体" w:eastAsia="宋体" w:cs="宋体"/>
          <w:sz w:val="24"/>
          <w:szCs w:val="24"/>
          <w:lang w:eastAsia="zh-CN"/>
        </w:rPr>
        <w:t>，</w:t>
      </w:r>
      <w:r>
        <w:rPr>
          <w:rFonts w:hint="eastAsia" w:ascii="宋体" w:hAnsi="宋体" w:eastAsia="宋体" w:cs="宋体"/>
          <w:sz w:val="24"/>
          <w:szCs w:val="24"/>
        </w:rPr>
        <w:t>绿化养护人员</w:t>
      </w:r>
      <w:r>
        <w:rPr>
          <w:rFonts w:hint="eastAsia" w:ascii="宋体" w:hAnsi="宋体" w:eastAsia="宋体" w:cs="宋体"/>
          <w:sz w:val="24"/>
          <w:szCs w:val="24"/>
          <w:lang w:val="en-US" w:eastAsia="zh-CN"/>
        </w:rPr>
        <w:t>应</w:t>
      </w:r>
      <w:r>
        <w:rPr>
          <w:rFonts w:hint="eastAsia" w:ascii="宋体" w:hAnsi="宋体" w:eastAsia="宋体" w:cs="宋体"/>
          <w:sz w:val="24"/>
          <w:szCs w:val="24"/>
        </w:rPr>
        <w:t>及时甄别并清捡后再</w:t>
      </w:r>
      <w:r>
        <w:rPr>
          <w:rFonts w:hint="eastAsia" w:ascii="宋体" w:hAnsi="宋体" w:eastAsia="宋体" w:cs="宋体"/>
          <w:sz w:val="24"/>
          <w:szCs w:val="24"/>
          <w:lang w:val="en-US" w:eastAsia="zh-CN"/>
        </w:rPr>
        <w:t>进行</w:t>
      </w:r>
      <w:r>
        <w:rPr>
          <w:rFonts w:hint="eastAsia" w:ascii="宋体" w:hAnsi="宋体" w:eastAsia="宋体" w:cs="宋体"/>
          <w:sz w:val="24"/>
          <w:szCs w:val="24"/>
        </w:rPr>
        <w:t>作业。</w:t>
      </w:r>
    </w:p>
    <w:p w14:paraId="13B164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绿化养护人员必须对作业现场要熟悉了解，作业前需对除草区域的安全环境确认</w:t>
      </w:r>
      <w:r>
        <w:rPr>
          <w:rFonts w:hint="eastAsia" w:ascii="宋体" w:hAnsi="宋体" w:eastAsia="宋体" w:cs="宋体"/>
          <w:sz w:val="24"/>
          <w:szCs w:val="24"/>
          <w:lang w:eastAsia="zh-CN"/>
        </w:rPr>
        <w:t>，</w:t>
      </w:r>
      <w:r>
        <w:rPr>
          <w:rFonts w:hint="eastAsia" w:ascii="宋体" w:hAnsi="宋体" w:eastAsia="宋体" w:cs="宋体"/>
          <w:sz w:val="24"/>
          <w:szCs w:val="24"/>
        </w:rPr>
        <w:t>绿化养护单位须制定</w:t>
      </w:r>
      <w:r>
        <w:rPr>
          <w:rFonts w:hint="eastAsia" w:ascii="宋体" w:hAnsi="宋体" w:eastAsia="宋体" w:cs="宋体"/>
          <w:sz w:val="24"/>
          <w:szCs w:val="24"/>
          <w:lang w:val="en-US" w:eastAsia="zh-CN"/>
        </w:rPr>
        <w:t>人员安全</w:t>
      </w:r>
      <w:r>
        <w:rPr>
          <w:rFonts w:hint="eastAsia" w:ascii="宋体" w:hAnsi="宋体" w:eastAsia="宋体" w:cs="宋体"/>
          <w:sz w:val="24"/>
          <w:szCs w:val="24"/>
        </w:rPr>
        <w:t>现场管理措施，</w:t>
      </w:r>
      <w:r>
        <w:rPr>
          <w:rFonts w:hint="eastAsia" w:ascii="宋体" w:hAnsi="宋体" w:eastAsia="宋体" w:cs="宋体"/>
          <w:sz w:val="24"/>
          <w:szCs w:val="24"/>
          <w:lang w:val="en-US" w:eastAsia="zh-CN"/>
        </w:rPr>
        <w:t>如</w:t>
      </w:r>
      <w:r>
        <w:rPr>
          <w:rFonts w:hint="eastAsia" w:ascii="宋体" w:hAnsi="宋体" w:eastAsia="宋体" w:cs="宋体"/>
          <w:sz w:val="24"/>
          <w:szCs w:val="24"/>
        </w:rPr>
        <w:t>配备警示</w:t>
      </w:r>
      <w:r>
        <w:rPr>
          <w:rFonts w:hint="eastAsia" w:ascii="宋体" w:hAnsi="宋体" w:eastAsia="宋体" w:cs="宋体"/>
          <w:sz w:val="24"/>
          <w:szCs w:val="24"/>
          <w:lang w:val="en-US" w:eastAsia="zh-CN"/>
        </w:rPr>
        <w:t>发光</w:t>
      </w:r>
      <w:r>
        <w:rPr>
          <w:rFonts w:hint="eastAsia" w:ascii="宋体" w:hAnsi="宋体" w:eastAsia="宋体" w:cs="宋体"/>
          <w:sz w:val="24"/>
          <w:szCs w:val="24"/>
        </w:rPr>
        <w:t>器材</w:t>
      </w:r>
      <w:r>
        <w:rPr>
          <w:rFonts w:hint="eastAsia" w:ascii="宋体" w:hAnsi="宋体" w:eastAsia="宋体" w:cs="宋体"/>
          <w:sz w:val="24"/>
          <w:szCs w:val="24"/>
          <w:lang w:val="en-US" w:eastAsia="zh-CN"/>
        </w:rPr>
        <w:t>或路障</w:t>
      </w:r>
      <w:r>
        <w:rPr>
          <w:rFonts w:hint="eastAsia" w:ascii="宋体" w:hAnsi="宋体" w:eastAsia="宋体" w:cs="宋体"/>
          <w:sz w:val="24"/>
          <w:szCs w:val="24"/>
        </w:rPr>
        <w:t>，用于</w:t>
      </w:r>
      <w:r>
        <w:rPr>
          <w:rFonts w:hint="eastAsia" w:ascii="宋体" w:hAnsi="宋体" w:eastAsia="宋体" w:cs="宋体"/>
          <w:sz w:val="24"/>
          <w:szCs w:val="24"/>
          <w:lang w:val="en-US" w:eastAsia="zh-CN"/>
        </w:rPr>
        <w:t>修剪、人工除草</w:t>
      </w:r>
      <w:r>
        <w:rPr>
          <w:rFonts w:hint="eastAsia" w:ascii="宋体" w:hAnsi="宋体" w:eastAsia="宋体" w:cs="宋体"/>
          <w:sz w:val="24"/>
          <w:szCs w:val="24"/>
        </w:rPr>
        <w:t>时提醒</w:t>
      </w:r>
      <w:r>
        <w:rPr>
          <w:rFonts w:hint="eastAsia" w:ascii="宋体" w:hAnsi="宋体" w:eastAsia="宋体" w:cs="宋体"/>
          <w:sz w:val="24"/>
          <w:szCs w:val="24"/>
          <w:lang w:val="en-US" w:eastAsia="zh-CN"/>
        </w:rPr>
        <w:t>车辆和</w:t>
      </w:r>
      <w:r>
        <w:rPr>
          <w:rFonts w:hint="eastAsia" w:ascii="宋体" w:hAnsi="宋体" w:eastAsia="宋体" w:cs="宋体"/>
          <w:sz w:val="24"/>
          <w:szCs w:val="24"/>
        </w:rPr>
        <w:t>路人避让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保障人员</w:t>
      </w:r>
      <w:r>
        <w:rPr>
          <w:rFonts w:hint="eastAsia" w:ascii="宋体" w:hAnsi="宋体" w:eastAsia="宋体" w:cs="宋体"/>
          <w:sz w:val="24"/>
          <w:szCs w:val="24"/>
        </w:rPr>
        <w:t>有序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安全</w:t>
      </w:r>
      <w:r>
        <w:rPr>
          <w:rFonts w:hint="eastAsia" w:ascii="宋体" w:hAnsi="宋体" w:eastAsia="宋体" w:cs="宋体"/>
          <w:sz w:val="24"/>
          <w:szCs w:val="24"/>
        </w:rPr>
        <w:t>的养护</w:t>
      </w:r>
      <w:r>
        <w:rPr>
          <w:rFonts w:hint="eastAsia" w:ascii="宋体" w:hAnsi="宋体" w:eastAsia="宋体" w:cs="宋体"/>
          <w:sz w:val="24"/>
          <w:szCs w:val="24"/>
          <w:lang w:val="en-US" w:eastAsia="zh-CN"/>
        </w:rPr>
        <w:t>作业</w:t>
      </w:r>
      <w:r>
        <w:rPr>
          <w:rFonts w:hint="eastAsia" w:ascii="宋体" w:hAnsi="宋体" w:eastAsia="宋体" w:cs="宋体"/>
          <w:sz w:val="24"/>
          <w:szCs w:val="24"/>
        </w:rPr>
        <w:t>。</w:t>
      </w:r>
    </w:p>
    <w:p w14:paraId="7322C5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应定期对</w:t>
      </w:r>
      <w:r>
        <w:rPr>
          <w:rFonts w:hint="eastAsia" w:ascii="宋体" w:hAnsi="宋体" w:eastAsia="宋体" w:cs="宋体"/>
          <w:sz w:val="24"/>
          <w:szCs w:val="24"/>
        </w:rPr>
        <w:t>绿化养护人员</w:t>
      </w:r>
      <w:r>
        <w:rPr>
          <w:rFonts w:hint="eastAsia" w:ascii="宋体" w:hAnsi="宋体" w:eastAsia="宋体" w:cs="宋体"/>
          <w:sz w:val="24"/>
          <w:szCs w:val="24"/>
          <w:lang w:val="en-US" w:eastAsia="zh-CN"/>
        </w:rPr>
        <w:t>进行交通安全和机械操作知识培训，遵守交通法规和作业规范，要每日宣传教育员工</w:t>
      </w:r>
      <w:r>
        <w:rPr>
          <w:rFonts w:hint="eastAsia" w:ascii="宋体" w:hAnsi="宋体" w:eastAsia="宋体" w:cs="宋体"/>
          <w:sz w:val="24"/>
          <w:szCs w:val="24"/>
        </w:rPr>
        <w:t>骑车戴头盔，扣好系带，骑行时速度不超过</w:t>
      </w:r>
      <w:r>
        <w:rPr>
          <w:rFonts w:hint="eastAsia" w:ascii="宋体" w:hAnsi="宋体" w:eastAsia="宋体" w:cs="宋体"/>
          <w:b/>
          <w:bCs/>
          <w:sz w:val="24"/>
          <w:szCs w:val="24"/>
          <w:lang w:val="en-US" w:eastAsia="zh-CN"/>
        </w:rPr>
        <w:t>20km/h</w:t>
      </w:r>
      <w:r>
        <w:rPr>
          <w:rFonts w:hint="eastAsia" w:ascii="宋体" w:hAnsi="宋体" w:eastAsia="宋体" w:cs="宋体"/>
          <w:sz w:val="24"/>
          <w:szCs w:val="24"/>
        </w:rPr>
        <w:t>，骑车</w:t>
      </w:r>
      <w:r>
        <w:rPr>
          <w:rFonts w:hint="eastAsia" w:ascii="宋体" w:hAnsi="宋体" w:eastAsia="宋体" w:cs="宋体"/>
          <w:sz w:val="24"/>
          <w:szCs w:val="24"/>
          <w:lang w:val="en-US" w:eastAsia="zh-CN"/>
        </w:rPr>
        <w:t>不闯红灯、不逆行、</w:t>
      </w:r>
      <w:r>
        <w:rPr>
          <w:rFonts w:hint="eastAsia" w:ascii="宋体" w:hAnsi="宋体" w:eastAsia="宋体" w:cs="宋体"/>
          <w:sz w:val="24"/>
          <w:szCs w:val="24"/>
        </w:rPr>
        <w:t>不玩手机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不打</w:t>
      </w:r>
      <w:r>
        <w:rPr>
          <w:rFonts w:hint="eastAsia" w:ascii="宋体" w:hAnsi="宋体" w:eastAsia="宋体" w:cs="宋体"/>
          <w:sz w:val="24"/>
          <w:szCs w:val="24"/>
        </w:rPr>
        <w:t>电话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不开小差等违规和影响注意力的行为。</w:t>
      </w:r>
    </w:p>
    <w:p w14:paraId="4D8CB3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必须为每一名作业人员</w:t>
      </w:r>
      <w:r>
        <w:rPr>
          <w:rFonts w:hint="eastAsia" w:ascii="宋体" w:hAnsi="宋体" w:eastAsia="宋体" w:cs="宋体"/>
          <w:sz w:val="24"/>
          <w:szCs w:val="24"/>
        </w:rPr>
        <w:t>配备各</w:t>
      </w:r>
      <w:r>
        <w:rPr>
          <w:rFonts w:hint="eastAsia" w:ascii="宋体" w:hAnsi="宋体" w:eastAsia="宋体" w:cs="宋体"/>
          <w:sz w:val="24"/>
          <w:szCs w:val="24"/>
          <w:lang w:val="en-US" w:eastAsia="zh-CN"/>
        </w:rPr>
        <w:t>种安全防</w:t>
      </w:r>
      <w:r>
        <w:rPr>
          <w:rFonts w:hint="eastAsia" w:ascii="宋体" w:hAnsi="宋体" w:eastAsia="宋体" w:cs="宋体"/>
          <w:sz w:val="24"/>
          <w:szCs w:val="24"/>
        </w:rPr>
        <w:t>护用</w:t>
      </w:r>
      <w:r>
        <w:rPr>
          <w:rFonts w:hint="eastAsia" w:ascii="宋体" w:hAnsi="宋体" w:eastAsia="宋体" w:cs="宋体"/>
          <w:sz w:val="24"/>
          <w:szCs w:val="24"/>
          <w:lang w:val="en-US" w:eastAsia="zh-CN"/>
        </w:rPr>
        <w:t>具及反光背心</w:t>
      </w:r>
      <w:r>
        <w:rPr>
          <w:rFonts w:hint="eastAsia" w:ascii="宋体" w:hAnsi="宋体" w:eastAsia="宋体" w:cs="宋体"/>
          <w:sz w:val="24"/>
          <w:szCs w:val="24"/>
        </w:rPr>
        <w:t>。</w:t>
      </w:r>
    </w:p>
    <w:p w14:paraId="15C87AF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必须为</w:t>
      </w:r>
      <w:r>
        <w:rPr>
          <w:rFonts w:hint="eastAsia" w:ascii="宋体" w:hAnsi="宋体" w:eastAsia="宋体" w:cs="宋体"/>
          <w:sz w:val="24"/>
          <w:szCs w:val="24"/>
        </w:rPr>
        <w:t>绿化养护人员</w:t>
      </w:r>
      <w:r>
        <w:rPr>
          <w:rFonts w:hint="eastAsia" w:ascii="宋体" w:hAnsi="宋体" w:eastAsia="宋体" w:cs="宋体"/>
          <w:sz w:val="24"/>
          <w:szCs w:val="24"/>
          <w:lang w:val="en-US" w:eastAsia="zh-CN"/>
        </w:rPr>
        <w:t>购买意外伤害保险</w:t>
      </w:r>
      <w:r>
        <w:rPr>
          <w:rFonts w:hint="eastAsia" w:ascii="宋体" w:hAnsi="宋体" w:eastAsia="宋体" w:cs="宋体"/>
          <w:sz w:val="24"/>
          <w:szCs w:val="24"/>
        </w:rPr>
        <w:t>，如因</w:t>
      </w:r>
      <w:r>
        <w:rPr>
          <w:rFonts w:hint="eastAsia" w:ascii="宋体" w:hAnsi="宋体" w:eastAsia="宋体" w:cs="宋体"/>
          <w:sz w:val="24"/>
          <w:szCs w:val="24"/>
          <w:lang w:val="en-US" w:eastAsia="zh-CN"/>
        </w:rPr>
        <w:t>自身疾病、劳动过量、交通事故、</w:t>
      </w:r>
      <w:r>
        <w:rPr>
          <w:rFonts w:hint="eastAsia" w:ascii="宋体" w:hAnsi="宋体" w:eastAsia="宋体" w:cs="宋体"/>
          <w:sz w:val="24"/>
          <w:szCs w:val="24"/>
        </w:rPr>
        <w:t>养护</w:t>
      </w:r>
      <w:r>
        <w:rPr>
          <w:rFonts w:hint="eastAsia" w:ascii="宋体" w:hAnsi="宋体" w:eastAsia="宋体" w:cs="宋体"/>
          <w:sz w:val="24"/>
          <w:szCs w:val="24"/>
          <w:lang w:val="en-US" w:eastAsia="zh-CN"/>
        </w:rPr>
        <w:t>作业等</w:t>
      </w:r>
      <w:r>
        <w:rPr>
          <w:rFonts w:hint="eastAsia" w:ascii="宋体" w:hAnsi="宋体" w:eastAsia="宋体" w:cs="宋体"/>
          <w:sz w:val="24"/>
          <w:szCs w:val="24"/>
        </w:rPr>
        <w:t>原因引起</w:t>
      </w:r>
      <w:r>
        <w:rPr>
          <w:rFonts w:hint="eastAsia" w:ascii="宋体" w:hAnsi="宋体" w:eastAsia="宋体" w:cs="宋体"/>
          <w:sz w:val="24"/>
          <w:szCs w:val="24"/>
          <w:lang w:val="en-US" w:eastAsia="zh-CN"/>
        </w:rPr>
        <w:t>人员</w:t>
      </w:r>
      <w:r>
        <w:rPr>
          <w:rFonts w:hint="eastAsia" w:ascii="宋体" w:hAnsi="宋体" w:eastAsia="宋体" w:cs="宋体"/>
          <w:sz w:val="24"/>
          <w:szCs w:val="24"/>
        </w:rPr>
        <w:t>各</w:t>
      </w:r>
      <w:r>
        <w:rPr>
          <w:rFonts w:hint="eastAsia" w:ascii="宋体" w:hAnsi="宋体" w:eastAsia="宋体" w:cs="宋体"/>
          <w:sz w:val="24"/>
          <w:szCs w:val="24"/>
          <w:lang w:val="en-US" w:eastAsia="zh-CN"/>
        </w:rPr>
        <w:t>类安全事故</w:t>
      </w:r>
      <w:r>
        <w:rPr>
          <w:rFonts w:hint="eastAsia" w:ascii="宋体" w:hAnsi="宋体" w:eastAsia="宋体" w:cs="宋体"/>
          <w:sz w:val="24"/>
          <w:szCs w:val="24"/>
        </w:rPr>
        <w:t>，</w:t>
      </w:r>
      <w:r>
        <w:rPr>
          <w:rFonts w:hint="eastAsia" w:ascii="宋体" w:hAnsi="宋体" w:eastAsia="宋体" w:cs="宋体"/>
          <w:sz w:val="24"/>
          <w:szCs w:val="24"/>
          <w:lang w:val="en-US" w:eastAsia="zh-CN"/>
        </w:rPr>
        <w:t>一切责任均</w:t>
      </w:r>
      <w:r>
        <w:rPr>
          <w:rFonts w:hint="eastAsia" w:ascii="宋体" w:hAnsi="宋体" w:eastAsia="宋体" w:cs="宋体"/>
          <w:sz w:val="24"/>
          <w:szCs w:val="24"/>
        </w:rPr>
        <w:t>由</w:t>
      </w:r>
      <w:r>
        <w:rPr>
          <w:rFonts w:hint="eastAsia" w:ascii="宋体" w:hAnsi="宋体" w:eastAsia="宋体" w:cs="宋体"/>
          <w:sz w:val="24"/>
          <w:szCs w:val="24"/>
          <w:lang w:val="en-US" w:eastAsia="zh-CN"/>
        </w:rPr>
        <w:t>投标人负责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与采购人无关。</w:t>
      </w:r>
    </w:p>
    <w:p w14:paraId="29687A5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四、人员管理要求</w:t>
      </w:r>
    </w:p>
    <w:p w14:paraId="065F22B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rPr>
        <w:t>1</w:t>
      </w:r>
      <w:r>
        <w:rPr>
          <w:rFonts w:hint="eastAsia" w:ascii="宋体" w:hAnsi="宋体" w:eastAsia="宋体" w:cs="宋体"/>
          <w:color w:val="000000"/>
          <w:sz w:val="24"/>
          <w:szCs w:val="24"/>
        </w:rPr>
        <w:t>、</w:t>
      </w:r>
      <w:r>
        <w:rPr>
          <w:rFonts w:hint="eastAsia" w:ascii="宋体" w:hAnsi="宋体" w:eastAsia="宋体" w:cs="宋体"/>
          <w:sz w:val="24"/>
          <w:szCs w:val="24"/>
        </w:rPr>
        <w:t>人员</w:t>
      </w:r>
      <w:r>
        <w:rPr>
          <w:rFonts w:hint="eastAsia" w:ascii="宋体" w:hAnsi="宋体" w:eastAsia="宋体" w:cs="宋体"/>
          <w:sz w:val="24"/>
          <w:szCs w:val="24"/>
          <w:lang w:val="en-US" w:eastAsia="zh-CN"/>
        </w:rPr>
        <w:t>需配备修剪工不少于55名，杂工不少于65名，每天工作8小时，</w:t>
      </w:r>
      <w:r>
        <w:rPr>
          <w:rFonts w:hint="eastAsia" w:ascii="宋体" w:hAnsi="宋体" w:eastAsia="宋体" w:cs="宋体"/>
          <w:color w:val="000000"/>
          <w:sz w:val="24"/>
          <w:szCs w:val="24"/>
          <w:lang w:val="en-US" w:eastAsia="zh-CN"/>
        </w:rPr>
        <w:t>必须做到不迟到、不早退、不擅自离脱岗，统一作装，带好防护用具。如遇高温、梅雨季节等特殊时期作息时间另</w:t>
      </w:r>
      <w:r>
        <w:rPr>
          <w:rFonts w:hint="eastAsia" w:ascii="宋体" w:hAnsi="宋体" w:eastAsia="宋体" w:cs="宋体"/>
          <w:color w:val="000000"/>
          <w:sz w:val="24"/>
          <w:szCs w:val="24"/>
          <w:highlight w:val="none"/>
          <w:lang w:val="en-US" w:eastAsia="zh-CN"/>
        </w:rPr>
        <w:t>行调整</w:t>
      </w:r>
      <w:r>
        <w:rPr>
          <w:rFonts w:hint="eastAsia" w:ascii="宋体" w:hAnsi="宋体" w:eastAsia="宋体" w:cs="宋体"/>
          <w:color w:val="000000"/>
          <w:sz w:val="24"/>
          <w:szCs w:val="24"/>
          <w:highlight w:val="none"/>
        </w:rPr>
        <w:t>。</w:t>
      </w:r>
    </w:p>
    <w:p w14:paraId="450193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应严格</w:t>
      </w:r>
      <w:r>
        <w:rPr>
          <w:rFonts w:hint="eastAsia" w:ascii="宋体" w:hAnsi="宋体" w:eastAsia="宋体" w:cs="宋体"/>
          <w:sz w:val="24"/>
          <w:szCs w:val="24"/>
          <w:highlight w:val="none"/>
          <w:lang w:val="en-US" w:eastAsia="zh-CN"/>
        </w:rPr>
        <w:t>按照招、投标文件中编制</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人员数量要求</w:t>
      </w:r>
      <w:r>
        <w:rPr>
          <w:rFonts w:hint="eastAsia" w:ascii="宋体" w:hAnsi="宋体" w:eastAsia="宋体" w:cs="宋体"/>
          <w:sz w:val="24"/>
          <w:szCs w:val="24"/>
          <w:highlight w:val="none"/>
        </w:rPr>
        <w:t>执行</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rPr>
        <w:t>达到</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100％</w:t>
      </w:r>
      <w:r>
        <w:rPr>
          <w:rFonts w:hint="eastAsia" w:ascii="宋体" w:hAnsi="宋体" w:eastAsia="宋体" w:cs="宋体"/>
          <w:sz w:val="24"/>
          <w:szCs w:val="24"/>
          <w:highlight w:val="none"/>
          <w:lang w:val="en-US" w:eastAsia="zh-CN"/>
        </w:rPr>
        <w:t>配置</w:t>
      </w:r>
      <w:r>
        <w:rPr>
          <w:rFonts w:hint="eastAsia" w:ascii="宋体" w:hAnsi="宋体" w:eastAsia="宋体" w:cs="宋体"/>
          <w:sz w:val="24"/>
          <w:szCs w:val="24"/>
          <w:highlight w:val="none"/>
        </w:rPr>
        <w:t>到位</w:t>
      </w:r>
      <w:r>
        <w:rPr>
          <w:rFonts w:hint="eastAsia" w:ascii="宋体" w:hAnsi="宋体" w:eastAsia="宋体" w:cs="宋体"/>
          <w:sz w:val="24"/>
          <w:szCs w:val="24"/>
          <w:highlight w:val="none"/>
          <w:lang w:eastAsia="zh-CN"/>
        </w:rPr>
        <w:t>。</w:t>
      </w:r>
      <w:r>
        <w:rPr>
          <w:rFonts w:hint="eastAsia" w:ascii="宋体" w:hAnsi="宋体" w:eastAsia="宋体" w:cs="宋体"/>
          <w:color w:val="000000"/>
          <w:sz w:val="24"/>
          <w:szCs w:val="24"/>
          <w:highlight w:val="none"/>
          <w:lang w:val="en-US" w:eastAsia="zh-CN"/>
        </w:rPr>
        <w:t>严格执行采购人的各项管理制度，上下班列队并用水印相机拍照每日上传微信工作群。</w:t>
      </w:r>
      <w:r>
        <w:rPr>
          <w:rFonts w:hint="eastAsia" w:ascii="宋体" w:hAnsi="宋体" w:eastAsia="宋体" w:cs="宋体"/>
          <w:color w:val="auto"/>
          <w:sz w:val="24"/>
          <w:szCs w:val="24"/>
          <w:highlight w:val="none"/>
          <w:lang w:val="en-US" w:eastAsia="zh-CN"/>
        </w:rPr>
        <w:t>（采购人根据实际出勤人数和投标单价核算服务费</w:t>
      </w:r>
      <w:r>
        <w:rPr>
          <w:rFonts w:hint="eastAsia" w:ascii="宋体" w:hAnsi="宋体" w:eastAsia="宋体" w:cs="宋体"/>
          <w:color w:val="FF0000"/>
          <w:sz w:val="24"/>
          <w:szCs w:val="24"/>
          <w:highlight w:val="none"/>
          <w:lang w:val="en-US" w:eastAsia="zh-CN"/>
        </w:rPr>
        <w:t>）</w:t>
      </w:r>
    </w:p>
    <w:p w14:paraId="309603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必须配置一名项目负责人</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主要负责现场人员管理、工作安排和调度工作。现场</w:t>
      </w:r>
      <w:r>
        <w:rPr>
          <w:rFonts w:hint="eastAsia" w:ascii="宋体" w:hAnsi="宋体" w:eastAsia="宋体" w:cs="宋体"/>
          <w:sz w:val="24"/>
          <w:szCs w:val="24"/>
          <w:highlight w:val="none"/>
        </w:rPr>
        <w:t>绿化养护</w:t>
      </w:r>
      <w:r>
        <w:rPr>
          <w:rFonts w:hint="eastAsia" w:ascii="宋体" w:hAnsi="宋体" w:eastAsia="宋体" w:cs="宋体"/>
          <w:color w:val="000000"/>
          <w:sz w:val="24"/>
          <w:szCs w:val="24"/>
          <w:highlight w:val="none"/>
        </w:rPr>
        <w:t>人员要</w:t>
      </w:r>
      <w:r>
        <w:rPr>
          <w:rFonts w:hint="eastAsia" w:ascii="宋体" w:hAnsi="宋体" w:eastAsia="宋体" w:cs="宋体"/>
          <w:color w:val="000000"/>
          <w:sz w:val="24"/>
          <w:szCs w:val="24"/>
          <w:highlight w:val="none"/>
          <w:lang w:val="en-US" w:eastAsia="zh-CN"/>
        </w:rPr>
        <w:t>建立花名册，做到人员</w:t>
      </w:r>
      <w:r>
        <w:rPr>
          <w:rFonts w:hint="eastAsia" w:ascii="宋体" w:hAnsi="宋体" w:eastAsia="宋体" w:cs="宋体"/>
          <w:color w:val="000000"/>
          <w:sz w:val="24"/>
          <w:szCs w:val="24"/>
          <w:highlight w:val="none"/>
        </w:rPr>
        <w:t>固定</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不随意更换。</w:t>
      </w:r>
    </w:p>
    <w:p w14:paraId="1D0A81A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、机械、物资及车辆要求</w:t>
      </w:r>
    </w:p>
    <w:p w14:paraId="0D0BAD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需配备4.2米小货车2辆，1.5米电动三轮车10辆，小型洒水车2辆，割草机50台、绿</w:t>
      </w:r>
      <w:bookmarkStart w:id="21" w:name="_GoBack"/>
      <w:r>
        <w:rPr>
          <w:rFonts w:hint="eastAsia" w:ascii="宋体" w:hAnsi="宋体" w:eastAsia="宋体" w:cs="宋体"/>
          <w:sz w:val="24"/>
          <w:szCs w:val="24"/>
          <w:highlight w:val="none"/>
          <w:lang w:val="en-US" w:eastAsia="zh-CN"/>
        </w:rPr>
        <w:t>篱修剪机40台，电动高技锯4台，液压剪 4把，打药机6台，汽油抽水泵6台及其他清扫、划草等工具</w:t>
      </w:r>
      <w:r>
        <w:rPr>
          <w:rFonts w:hint="eastAsia" w:ascii="宋体" w:hAnsi="宋体" w:eastAsia="宋体" w:cs="宋体"/>
          <w:sz w:val="24"/>
          <w:szCs w:val="24"/>
          <w:highlight w:val="none"/>
        </w:rPr>
        <w:t>达到100％</w:t>
      </w:r>
      <w:r>
        <w:rPr>
          <w:rFonts w:hint="eastAsia" w:ascii="宋体" w:hAnsi="宋体" w:eastAsia="宋体" w:cs="宋体"/>
          <w:sz w:val="24"/>
          <w:szCs w:val="24"/>
          <w:highlight w:val="none"/>
          <w:lang w:val="en-US" w:eastAsia="zh-CN"/>
        </w:rPr>
        <w:t>配置</w:t>
      </w:r>
      <w:r>
        <w:rPr>
          <w:rFonts w:hint="eastAsia" w:ascii="宋体" w:hAnsi="宋体" w:eastAsia="宋体" w:cs="宋体"/>
          <w:sz w:val="24"/>
          <w:szCs w:val="24"/>
          <w:highlight w:val="none"/>
        </w:rPr>
        <w:t>到位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汽油抽水泵夏季抗旱或冬季灌水时，油料由采购人提供</w:t>
      </w:r>
      <w:r>
        <w:rPr>
          <w:rFonts w:hint="eastAsia" w:ascii="宋体" w:hAnsi="宋体" w:eastAsia="宋体" w:cs="宋体"/>
          <w:sz w:val="24"/>
          <w:szCs w:val="24"/>
          <w:highlight w:val="none"/>
          <w:lang w:eastAsia="zh-CN"/>
        </w:rPr>
        <w:t>）</w:t>
      </w:r>
    </w:p>
    <w:p w14:paraId="64BCE7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自行配备车辆接送人员、机械、油料到各个工作地点，</w:t>
      </w:r>
      <w:r>
        <w:rPr>
          <w:rFonts w:hint="eastAsia" w:ascii="宋体" w:hAnsi="宋体" w:eastAsia="宋体" w:cs="宋体"/>
          <w:sz w:val="24"/>
          <w:szCs w:val="24"/>
          <w:highlight w:val="none"/>
          <w:lang w:val="en-US" w:eastAsia="zh-CN"/>
        </w:rPr>
        <w:t>电动</w:t>
      </w:r>
      <w:r>
        <w:rPr>
          <w:rFonts w:hint="eastAsia" w:ascii="宋体" w:hAnsi="宋体" w:eastAsia="宋体" w:cs="宋体"/>
          <w:sz w:val="24"/>
          <w:szCs w:val="24"/>
          <w:highlight w:val="none"/>
        </w:rPr>
        <w:t>三轮车</w:t>
      </w:r>
      <w:r>
        <w:rPr>
          <w:rFonts w:hint="eastAsia" w:ascii="宋体" w:hAnsi="宋体" w:eastAsia="宋体" w:cs="宋体"/>
          <w:sz w:val="24"/>
          <w:szCs w:val="24"/>
          <w:highlight w:val="none"/>
          <w:lang w:val="en-US" w:eastAsia="zh-CN"/>
        </w:rPr>
        <w:t>在</w:t>
      </w:r>
      <w:r>
        <w:rPr>
          <w:rFonts w:hint="eastAsia" w:ascii="宋体" w:hAnsi="宋体" w:eastAsia="宋体" w:cs="宋体"/>
          <w:sz w:val="24"/>
          <w:szCs w:val="24"/>
          <w:highlight w:val="none"/>
          <w:lang w:eastAsia="zh-CN"/>
        </w:rPr>
        <w:t>园区</w:t>
      </w:r>
      <w:r>
        <w:rPr>
          <w:rFonts w:hint="eastAsia" w:ascii="宋体" w:hAnsi="宋体" w:eastAsia="宋体" w:cs="宋体"/>
          <w:sz w:val="24"/>
          <w:szCs w:val="24"/>
          <w:highlight w:val="none"/>
          <w:lang w:val="en-US" w:eastAsia="zh-CN"/>
        </w:rPr>
        <w:t>范围</w:t>
      </w:r>
      <w:r>
        <w:rPr>
          <w:rFonts w:hint="eastAsia" w:ascii="宋体" w:hAnsi="宋体" w:eastAsia="宋体" w:cs="宋体"/>
          <w:sz w:val="24"/>
          <w:szCs w:val="24"/>
          <w:highlight w:val="none"/>
        </w:rPr>
        <w:t>不可</w:t>
      </w:r>
      <w:r>
        <w:rPr>
          <w:rFonts w:hint="eastAsia" w:ascii="宋体" w:hAnsi="宋体" w:eastAsia="宋体" w:cs="宋体"/>
          <w:sz w:val="24"/>
          <w:szCs w:val="24"/>
          <w:highlight w:val="none"/>
          <w:lang w:val="en-US" w:eastAsia="zh-CN"/>
        </w:rPr>
        <w:t>拖运人员</w:t>
      </w:r>
      <w:r>
        <w:rPr>
          <w:rFonts w:hint="eastAsia" w:ascii="宋体" w:hAnsi="宋体" w:eastAsia="宋体" w:cs="宋体"/>
          <w:sz w:val="24"/>
          <w:szCs w:val="24"/>
          <w:highlight w:val="none"/>
        </w:rPr>
        <w:t>，违者罚款并</w:t>
      </w:r>
      <w:r>
        <w:rPr>
          <w:rFonts w:hint="eastAsia" w:ascii="宋体" w:hAnsi="宋体" w:eastAsia="宋体" w:cs="宋体"/>
          <w:sz w:val="24"/>
          <w:szCs w:val="24"/>
          <w:highlight w:val="none"/>
          <w:lang w:val="en-US" w:eastAsia="zh-CN"/>
        </w:rPr>
        <w:t>进行考核</w:t>
      </w:r>
      <w:r>
        <w:rPr>
          <w:rFonts w:hint="eastAsia" w:ascii="宋体" w:hAnsi="宋体" w:eastAsia="宋体" w:cs="宋体"/>
          <w:sz w:val="24"/>
          <w:szCs w:val="24"/>
          <w:highlight w:val="none"/>
        </w:rPr>
        <w:t>扣分。</w:t>
      </w:r>
    </w:p>
    <w:p w14:paraId="26FE561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绿化作业时需要的工具、</w:t>
      </w:r>
      <w:r>
        <w:rPr>
          <w:rFonts w:hint="eastAsia" w:ascii="宋体" w:hAnsi="宋体" w:eastAsia="宋体" w:cs="宋体"/>
          <w:sz w:val="24"/>
          <w:szCs w:val="24"/>
          <w:highlight w:val="none"/>
        </w:rPr>
        <w:t>油料、机械配件</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按需自行配备齐全。油料只可携带当天的使用量，农药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肥料等物资由采购人提供，按需登记领取当日量，采购人</w:t>
      </w:r>
      <w:r>
        <w:rPr>
          <w:rFonts w:hint="eastAsia" w:ascii="宋体" w:hAnsi="宋体" w:eastAsia="宋体" w:cs="宋体"/>
          <w:sz w:val="24"/>
          <w:szCs w:val="24"/>
          <w:highlight w:val="none"/>
        </w:rPr>
        <w:t>空农药瓶</w:t>
      </w:r>
      <w:r>
        <w:rPr>
          <w:rFonts w:hint="eastAsia" w:ascii="宋体" w:hAnsi="宋体" w:eastAsia="宋体" w:cs="宋体"/>
          <w:sz w:val="24"/>
          <w:szCs w:val="24"/>
          <w:highlight w:val="none"/>
          <w:lang w:val="en-US" w:eastAsia="zh-CN"/>
        </w:rPr>
        <w:t>收回并更换配发第二天用量，并</w:t>
      </w:r>
      <w:r>
        <w:rPr>
          <w:rFonts w:hint="eastAsia" w:ascii="宋体" w:hAnsi="宋体" w:eastAsia="宋体" w:cs="宋体"/>
          <w:sz w:val="24"/>
          <w:szCs w:val="24"/>
          <w:highlight w:val="none"/>
        </w:rPr>
        <w:t>遵守</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要求和监管。</w:t>
      </w:r>
    </w:p>
    <w:p w14:paraId="381439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p>
    <w:p w14:paraId="3D088D2E">
      <w:pPr>
        <w:keepNext w:val="0"/>
        <w:keepLines w:val="0"/>
        <w:kinsoku/>
        <w:overflowPunct/>
        <w:topLinePunct w:val="0"/>
        <w:bidi w:val="0"/>
        <w:spacing w:beforeAutospacing="0" w:afterAutospacing="0"/>
        <w:ind w:firstLine="321" w:firstLineChars="100"/>
        <w:jc w:val="both"/>
        <w:textAlignment w:val="auto"/>
        <w:outlineLvl w:val="0"/>
        <w:rPr>
          <w:rFonts w:hint="eastAsia" w:ascii="方正仿宋_GB2312" w:hAnsi="方正仿宋_GB2312" w:eastAsia="方正仿宋_GB2312" w:cs="方正仿宋_GB2312"/>
          <w:b/>
          <w:bCs/>
          <w:color w:val="FF0000"/>
          <w:sz w:val="32"/>
          <w:szCs w:val="32"/>
          <w:highlight w:val="none"/>
          <w:lang w:val="en-US" w:eastAsia="zh-CN"/>
        </w:rPr>
      </w:pPr>
    </w:p>
    <w:bookmarkEnd w:id="21"/>
    <w:p w14:paraId="6B15C640">
      <w:pPr>
        <w:keepNext w:val="0"/>
        <w:keepLines w:val="0"/>
        <w:kinsoku/>
        <w:overflowPunct/>
        <w:topLinePunct w:val="0"/>
        <w:bidi w:val="0"/>
        <w:spacing w:beforeAutospacing="0" w:afterAutospacing="0"/>
        <w:ind w:firstLine="321" w:firstLineChars="100"/>
        <w:jc w:val="both"/>
        <w:textAlignment w:val="auto"/>
        <w:outlineLvl w:val="0"/>
        <w:rPr>
          <w:rFonts w:hint="eastAsia" w:ascii="方正仿宋_GB2312" w:hAnsi="方正仿宋_GB2312" w:eastAsia="方正仿宋_GB2312" w:cs="方正仿宋_GB2312"/>
          <w:color w:val="FF0000"/>
          <w:sz w:val="32"/>
          <w:szCs w:val="32"/>
          <w:highlight w:val="none"/>
        </w:rPr>
      </w:pPr>
      <w:r>
        <w:rPr>
          <w:rFonts w:hint="eastAsia" w:ascii="方正仿宋_GB2312" w:hAnsi="方正仿宋_GB2312" w:eastAsia="方正仿宋_GB2312" w:cs="方正仿宋_GB2312"/>
          <w:b/>
          <w:bCs/>
          <w:color w:val="auto"/>
          <w:sz w:val="32"/>
          <w:szCs w:val="32"/>
          <w:highlight w:val="none"/>
          <w:lang w:val="en-US" w:eastAsia="zh-CN"/>
        </w:rPr>
        <w:t>注：投标单位投标时提供承诺函，承诺按照项目采购需求提供人员及设备服务，并无条件服从甲方的安排。</w:t>
      </w:r>
    </w:p>
    <w:p w14:paraId="67AEDD46">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0CBDF714">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6C86F33B">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778470F3">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494802B4">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562F98A3">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16759F63">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27AE516B">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757CD41F">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62342211">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0B83ADCF">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72FA7738">
      <w:pPr>
        <w:jc w:val="center"/>
        <w:rPr>
          <w:rStyle w:val="21"/>
          <w:rFonts w:hint="eastAsia" w:ascii="宋体" w:hAnsi="宋体" w:cs="宋体" w:eastAsiaTheme="minorEastAsia"/>
          <w:b/>
          <w:color w:val="000000" w:themeColor="text1"/>
          <w:sz w:val="44"/>
          <w:szCs w:val="44"/>
          <w14:textFill>
            <w14:solidFill>
              <w14:schemeClr w14:val="tx1"/>
            </w14:solidFill>
          </w14:textFill>
        </w:rPr>
      </w:pPr>
    </w:p>
    <w:p w14:paraId="43037D4B">
      <w:pPr>
        <w:keepNext w:val="0"/>
        <w:keepLines w:val="0"/>
        <w:kinsoku/>
        <w:overflowPunct/>
        <w:topLinePunct w:val="0"/>
        <w:bidi w:val="0"/>
        <w:spacing w:beforeAutospacing="0" w:afterAutospacing="0"/>
        <w:jc w:val="both"/>
        <w:textAlignment w:val="auto"/>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w:t>
      </w:r>
    </w:p>
    <w:p w14:paraId="21E0D242">
      <w:pPr>
        <w:spacing w:before="168" w:line="222" w:lineRule="auto"/>
        <w:ind w:left="1468"/>
        <w:outlineLvl w:val="0"/>
        <w:rPr>
          <w:rFonts w:ascii="宋体" w:hAnsi="宋体" w:eastAsia="宋体" w:cs="宋体"/>
          <w:sz w:val="36"/>
          <w:szCs w:val="36"/>
        </w:rPr>
      </w:pPr>
      <w:r>
        <w:rPr>
          <w:rFonts w:ascii="宋体" w:hAnsi="宋体" w:eastAsia="宋体" w:cs="宋体"/>
          <w:b/>
          <w:bCs/>
          <w:sz w:val="36"/>
          <w:szCs w:val="36"/>
        </w:rPr>
        <w:t>响水工业经济区绿化养护面积统计表（326东）</w:t>
      </w:r>
    </w:p>
    <w:p w14:paraId="0EB3E523">
      <w:pPr>
        <w:spacing w:line="50" w:lineRule="exact"/>
      </w:pPr>
    </w:p>
    <w:tbl>
      <w:tblPr>
        <w:tblStyle w:val="37"/>
        <w:tblW w:w="101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3392"/>
        <w:gridCol w:w="1500"/>
        <w:gridCol w:w="1766"/>
        <w:gridCol w:w="1467"/>
        <w:gridCol w:w="1217"/>
      </w:tblGrid>
      <w:tr w14:paraId="52D5B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783" w:type="dxa"/>
            <w:noWrap w:val="0"/>
            <w:vAlign w:val="top"/>
          </w:tcPr>
          <w:p w14:paraId="73809A0A">
            <w:pPr>
              <w:widowControl w:val="0"/>
              <w:autoSpaceDE w:val="0"/>
              <w:autoSpaceDN w:val="0"/>
              <w:spacing w:line="256" w:lineRule="auto"/>
              <w:rPr>
                <w:rFonts w:ascii="Arial"/>
                <w:sz w:val="21"/>
              </w:rPr>
            </w:pPr>
          </w:p>
          <w:p w14:paraId="39B3EB04">
            <w:pPr>
              <w:pStyle w:val="38"/>
              <w:widowControl w:val="0"/>
              <w:autoSpaceDE w:val="0"/>
              <w:autoSpaceDN w:val="0"/>
              <w:spacing w:before="52" w:line="230" w:lineRule="auto"/>
              <w:ind w:left="228"/>
            </w:pPr>
            <w:r>
              <w:rPr>
                <w:spacing w:val="5"/>
              </w:rPr>
              <w:t>序号</w:t>
            </w:r>
          </w:p>
        </w:tc>
        <w:tc>
          <w:tcPr>
            <w:tcW w:w="3392" w:type="dxa"/>
            <w:noWrap w:val="0"/>
            <w:vAlign w:val="top"/>
          </w:tcPr>
          <w:p w14:paraId="0094B5C4">
            <w:pPr>
              <w:widowControl w:val="0"/>
              <w:autoSpaceDE w:val="0"/>
              <w:autoSpaceDN w:val="0"/>
              <w:spacing w:line="255" w:lineRule="auto"/>
              <w:rPr>
                <w:rFonts w:ascii="Arial"/>
                <w:sz w:val="21"/>
              </w:rPr>
            </w:pPr>
          </w:p>
          <w:p w14:paraId="64928006">
            <w:pPr>
              <w:pStyle w:val="38"/>
              <w:widowControl w:val="0"/>
              <w:autoSpaceDE w:val="0"/>
              <w:autoSpaceDN w:val="0"/>
              <w:spacing w:before="52" w:line="229" w:lineRule="auto"/>
              <w:ind w:left="737"/>
            </w:pPr>
            <w:r>
              <w:rPr>
                <w:spacing w:val="6"/>
              </w:rPr>
              <w:t>道路名称</w:t>
            </w:r>
          </w:p>
        </w:tc>
        <w:tc>
          <w:tcPr>
            <w:tcW w:w="1500" w:type="dxa"/>
            <w:noWrap w:val="0"/>
            <w:vAlign w:val="top"/>
          </w:tcPr>
          <w:p w14:paraId="4B25FF46">
            <w:pPr>
              <w:widowControl w:val="0"/>
              <w:autoSpaceDE w:val="0"/>
              <w:autoSpaceDN w:val="0"/>
              <w:spacing w:line="256" w:lineRule="auto"/>
              <w:rPr>
                <w:rFonts w:ascii="Arial"/>
                <w:sz w:val="21"/>
              </w:rPr>
            </w:pPr>
          </w:p>
          <w:p w14:paraId="15C7391F">
            <w:pPr>
              <w:pStyle w:val="38"/>
              <w:widowControl w:val="0"/>
              <w:autoSpaceDE w:val="0"/>
              <w:autoSpaceDN w:val="0"/>
              <w:spacing w:before="52" w:line="229" w:lineRule="auto"/>
              <w:ind w:left="107"/>
            </w:pPr>
            <w:r>
              <w:rPr>
                <w:spacing w:val="4"/>
              </w:rPr>
              <w:t>原绿化面积㎡</w:t>
            </w:r>
          </w:p>
        </w:tc>
        <w:tc>
          <w:tcPr>
            <w:tcW w:w="1766" w:type="dxa"/>
            <w:noWrap w:val="0"/>
            <w:vAlign w:val="top"/>
          </w:tcPr>
          <w:p w14:paraId="56CC66E9">
            <w:pPr>
              <w:widowControl w:val="0"/>
              <w:autoSpaceDE w:val="0"/>
              <w:autoSpaceDN w:val="0"/>
              <w:spacing w:line="256" w:lineRule="auto"/>
              <w:rPr>
                <w:rFonts w:ascii="Arial"/>
                <w:sz w:val="21"/>
              </w:rPr>
            </w:pPr>
          </w:p>
          <w:p w14:paraId="55B70153">
            <w:pPr>
              <w:pStyle w:val="38"/>
              <w:widowControl w:val="0"/>
              <w:autoSpaceDE w:val="0"/>
              <w:autoSpaceDN w:val="0"/>
              <w:spacing w:before="52" w:line="229" w:lineRule="auto"/>
              <w:ind w:left="197"/>
            </w:pPr>
            <w:r>
              <w:rPr>
                <w:spacing w:val="6"/>
              </w:rPr>
              <w:t>后新增绿化面积㎡</w:t>
            </w:r>
          </w:p>
        </w:tc>
        <w:tc>
          <w:tcPr>
            <w:tcW w:w="1467" w:type="dxa"/>
            <w:noWrap w:val="0"/>
            <w:vAlign w:val="top"/>
          </w:tcPr>
          <w:p w14:paraId="6728A41F">
            <w:pPr>
              <w:widowControl w:val="0"/>
              <w:autoSpaceDE w:val="0"/>
              <w:autoSpaceDN w:val="0"/>
              <w:spacing w:line="256" w:lineRule="auto"/>
              <w:rPr>
                <w:rFonts w:ascii="Arial"/>
                <w:sz w:val="21"/>
              </w:rPr>
            </w:pPr>
          </w:p>
          <w:p w14:paraId="22D11296">
            <w:pPr>
              <w:pStyle w:val="38"/>
              <w:widowControl w:val="0"/>
              <w:autoSpaceDE w:val="0"/>
              <w:autoSpaceDN w:val="0"/>
              <w:spacing w:before="52" w:line="229" w:lineRule="auto"/>
              <w:ind w:left="134"/>
            </w:pPr>
            <w:r>
              <w:rPr>
                <w:spacing w:val="5"/>
              </w:rPr>
              <w:t>实际绿化面积㎡</w:t>
            </w:r>
          </w:p>
        </w:tc>
        <w:tc>
          <w:tcPr>
            <w:tcW w:w="1217" w:type="dxa"/>
            <w:noWrap w:val="0"/>
            <w:vAlign w:val="top"/>
          </w:tcPr>
          <w:p w14:paraId="0567BEEF">
            <w:pPr>
              <w:widowControl w:val="0"/>
              <w:autoSpaceDE w:val="0"/>
              <w:autoSpaceDN w:val="0"/>
              <w:spacing w:line="256" w:lineRule="auto"/>
              <w:rPr>
                <w:rFonts w:ascii="Arial"/>
                <w:sz w:val="21"/>
              </w:rPr>
            </w:pPr>
          </w:p>
          <w:p w14:paraId="13372F29">
            <w:pPr>
              <w:pStyle w:val="38"/>
              <w:widowControl w:val="0"/>
              <w:autoSpaceDE w:val="0"/>
              <w:autoSpaceDN w:val="0"/>
              <w:spacing w:before="52" w:line="230" w:lineRule="auto"/>
              <w:ind w:left="582"/>
            </w:pPr>
            <w:r>
              <w:rPr>
                <w:spacing w:val="3"/>
              </w:rPr>
              <w:t>备注</w:t>
            </w:r>
          </w:p>
        </w:tc>
      </w:tr>
      <w:tr w14:paraId="70B9C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83" w:type="dxa"/>
            <w:noWrap w:val="0"/>
            <w:vAlign w:val="top"/>
          </w:tcPr>
          <w:p w14:paraId="37909811">
            <w:pPr>
              <w:pStyle w:val="38"/>
              <w:widowControl w:val="0"/>
              <w:autoSpaceDE w:val="0"/>
              <w:autoSpaceDN w:val="0"/>
              <w:spacing w:before="193" w:line="190" w:lineRule="auto"/>
              <w:ind w:left="366"/>
            </w:pPr>
            <w:r>
              <w:t>1</w:t>
            </w:r>
          </w:p>
        </w:tc>
        <w:tc>
          <w:tcPr>
            <w:tcW w:w="3392" w:type="dxa"/>
            <w:noWrap w:val="0"/>
            <w:vAlign w:val="top"/>
          </w:tcPr>
          <w:p w14:paraId="5063C9D1">
            <w:pPr>
              <w:pStyle w:val="38"/>
              <w:widowControl w:val="0"/>
              <w:autoSpaceDE w:val="0"/>
              <w:autoSpaceDN w:val="0"/>
              <w:spacing w:before="66" w:line="229" w:lineRule="auto"/>
              <w:ind w:left="109"/>
            </w:pPr>
            <w:r>
              <w:rPr>
                <w:spacing w:val="6"/>
              </w:rPr>
              <w:t>S326省道两侧（运盐河-港</w:t>
            </w:r>
          </w:p>
          <w:p w14:paraId="162C0F28">
            <w:pPr>
              <w:pStyle w:val="38"/>
              <w:widowControl w:val="0"/>
              <w:autoSpaceDE w:val="0"/>
              <w:autoSpaceDN w:val="0"/>
              <w:spacing w:before="5" w:line="229" w:lineRule="auto"/>
              <w:ind w:left="757"/>
            </w:pPr>
            <w:r>
              <w:rPr>
                <w:spacing w:val="-1"/>
              </w:rPr>
              <w:t>电大道）</w:t>
            </w:r>
          </w:p>
        </w:tc>
        <w:tc>
          <w:tcPr>
            <w:tcW w:w="1500" w:type="dxa"/>
            <w:noWrap w:val="0"/>
            <w:vAlign w:val="top"/>
          </w:tcPr>
          <w:p w14:paraId="31692812">
            <w:pPr>
              <w:pStyle w:val="38"/>
              <w:widowControl w:val="0"/>
              <w:autoSpaceDE w:val="0"/>
              <w:autoSpaceDN w:val="0"/>
              <w:spacing w:before="194" w:line="189" w:lineRule="auto"/>
              <w:ind w:left="398"/>
            </w:pPr>
            <w:r>
              <w:rPr>
                <w:spacing w:val="2"/>
              </w:rPr>
              <w:t>45000</w:t>
            </w:r>
          </w:p>
        </w:tc>
        <w:tc>
          <w:tcPr>
            <w:tcW w:w="1766" w:type="dxa"/>
            <w:noWrap w:val="0"/>
            <w:vAlign w:val="top"/>
          </w:tcPr>
          <w:p w14:paraId="53BC46AE">
            <w:pPr>
              <w:pStyle w:val="38"/>
              <w:widowControl w:val="0"/>
              <w:autoSpaceDE w:val="0"/>
              <w:autoSpaceDN w:val="0"/>
              <w:spacing w:before="167" w:line="229" w:lineRule="auto"/>
              <w:ind w:left="114"/>
            </w:pPr>
            <w:r>
              <w:rPr>
                <w:spacing w:val="4"/>
              </w:rPr>
              <w:t>228与S326节点24533</w:t>
            </w:r>
          </w:p>
        </w:tc>
        <w:tc>
          <w:tcPr>
            <w:tcW w:w="1467" w:type="dxa"/>
            <w:noWrap w:val="0"/>
            <w:vAlign w:val="top"/>
          </w:tcPr>
          <w:p w14:paraId="12073542">
            <w:pPr>
              <w:pStyle w:val="38"/>
              <w:widowControl w:val="0"/>
              <w:autoSpaceDE w:val="0"/>
              <w:autoSpaceDN w:val="0"/>
              <w:spacing w:before="194" w:line="189" w:lineRule="auto"/>
              <w:ind w:left="509"/>
            </w:pPr>
            <w:r>
              <w:rPr>
                <w:spacing w:val="2"/>
              </w:rPr>
              <w:t>69533</w:t>
            </w:r>
          </w:p>
        </w:tc>
        <w:tc>
          <w:tcPr>
            <w:tcW w:w="1217" w:type="dxa"/>
            <w:noWrap w:val="0"/>
            <w:vAlign w:val="top"/>
          </w:tcPr>
          <w:p w14:paraId="57B95A60">
            <w:pPr>
              <w:pStyle w:val="38"/>
              <w:widowControl w:val="0"/>
              <w:autoSpaceDE w:val="0"/>
              <w:autoSpaceDN w:val="0"/>
              <w:spacing w:before="166" w:line="229" w:lineRule="auto"/>
              <w:ind w:left="497"/>
            </w:pPr>
            <w:r>
              <w:rPr>
                <w:spacing w:val="3"/>
              </w:rPr>
              <w:t>S326东</w:t>
            </w:r>
          </w:p>
        </w:tc>
      </w:tr>
      <w:tr w14:paraId="51878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83" w:type="dxa"/>
            <w:noWrap w:val="0"/>
            <w:vAlign w:val="top"/>
          </w:tcPr>
          <w:p w14:paraId="421354D0">
            <w:pPr>
              <w:pStyle w:val="38"/>
              <w:widowControl w:val="0"/>
              <w:autoSpaceDE w:val="0"/>
              <w:autoSpaceDN w:val="0"/>
              <w:spacing w:before="194" w:line="189" w:lineRule="auto"/>
              <w:ind w:left="355"/>
            </w:pPr>
            <w:r>
              <w:t>2</w:t>
            </w:r>
          </w:p>
        </w:tc>
        <w:tc>
          <w:tcPr>
            <w:tcW w:w="3392" w:type="dxa"/>
            <w:noWrap w:val="0"/>
            <w:vAlign w:val="top"/>
          </w:tcPr>
          <w:p w14:paraId="15C06FAA">
            <w:pPr>
              <w:pStyle w:val="38"/>
              <w:widowControl w:val="0"/>
              <w:autoSpaceDE w:val="0"/>
              <w:autoSpaceDN w:val="0"/>
              <w:spacing w:before="66" w:line="232" w:lineRule="auto"/>
              <w:ind w:left="910" w:right="97" w:hanging="801"/>
            </w:pPr>
            <w:r>
              <w:rPr>
                <w:spacing w:val="6"/>
              </w:rPr>
              <w:t>S326（运盐河-港电路中分</w:t>
            </w:r>
            <w:r>
              <w:t xml:space="preserve"> </w:t>
            </w:r>
            <w:r>
              <w:rPr>
                <w:spacing w:val="-2"/>
              </w:rPr>
              <w:t>带）</w:t>
            </w:r>
          </w:p>
        </w:tc>
        <w:tc>
          <w:tcPr>
            <w:tcW w:w="1500" w:type="dxa"/>
            <w:noWrap w:val="0"/>
            <w:vAlign w:val="top"/>
          </w:tcPr>
          <w:p w14:paraId="61568A89">
            <w:pPr>
              <w:pStyle w:val="38"/>
              <w:widowControl w:val="0"/>
              <w:autoSpaceDE w:val="0"/>
              <w:autoSpaceDN w:val="0"/>
              <w:spacing w:before="194" w:line="189" w:lineRule="auto"/>
              <w:ind w:left="441"/>
            </w:pPr>
            <w:r>
              <w:rPr>
                <w:spacing w:val="2"/>
              </w:rPr>
              <w:t>6890</w:t>
            </w:r>
          </w:p>
        </w:tc>
        <w:tc>
          <w:tcPr>
            <w:tcW w:w="1766" w:type="dxa"/>
            <w:noWrap w:val="0"/>
            <w:vAlign w:val="top"/>
          </w:tcPr>
          <w:p w14:paraId="59F07C23">
            <w:pPr>
              <w:widowControl w:val="0"/>
              <w:autoSpaceDE w:val="0"/>
              <w:autoSpaceDN w:val="0"/>
              <w:rPr>
                <w:rFonts w:ascii="Arial"/>
                <w:sz w:val="21"/>
              </w:rPr>
            </w:pPr>
          </w:p>
        </w:tc>
        <w:tc>
          <w:tcPr>
            <w:tcW w:w="1467" w:type="dxa"/>
            <w:noWrap w:val="0"/>
            <w:vAlign w:val="top"/>
          </w:tcPr>
          <w:p w14:paraId="7641F028">
            <w:pPr>
              <w:pStyle w:val="38"/>
              <w:widowControl w:val="0"/>
              <w:autoSpaceDE w:val="0"/>
              <w:autoSpaceDN w:val="0"/>
              <w:spacing w:before="194" w:line="189" w:lineRule="auto"/>
              <w:ind w:left="552"/>
            </w:pPr>
            <w:r>
              <w:rPr>
                <w:spacing w:val="2"/>
              </w:rPr>
              <w:t>6890</w:t>
            </w:r>
          </w:p>
        </w:tc>
        <w:tc>
          <w:tcPr>
            <w:tcW w:w="1217" w:type="dxa"/>
            <w:noWrap w:val="0"/>
            <w:vAlign w:val="top"/>
          </w:tcPr>
          <w:p w14:paraId="73A7E040">
            <w:pPr>
              <w:pStyle w:val="38"/>
              <w:widowControl w:val="0"/>
              <w:autoSpaceDE w:val="0"/>
              <w:autoSpaceDN w:val="0"/>
              <w:spacing w:before="166" w:line="229" w:lineRule="auto"/>
              <w:ind w:left="497"/>
            </w:pPr>
            <w:r>
              <w:rPr>
                <w:spacing w:val="3"/>
              </w:rPr>
              <w:t>S326东</w:t>
            </w:r>
          </w:p>
        </w:tc>
      </w:tr>
      <w:tr w14:paraId="4AF88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83" w:type="dxa"/>
            <w:noWrap w:val="0"/>
            <w:vAlign w:val="top"/>
          </w:tcPr>
          <w:p w14:paraId="0DE20181">
            <w:pPr>
              <w:pStyle w:val="38"/>
              <w:widowControl w:val="0"/>
              <w:autoSpaceDE w:val="0"/>
              <w:autoSpaceDN w:val="0"/>
              <w:spacing w:before="194" w:line="189" w:lineRule="auto"/>
              <w:ind w:left="357"/>
            </w:pPr>
            <w:r>
              <w:t>3</w:t>
            </w:r>
          </w:p>
        </w:tc>
        <w:tc>
          <w:tcPr>
            <w:tcW w:w="3392" w:type="dxa"/>
            <w:noWrap w:val="0"/>
            <w:vAlign w:val="top"/>
          </w:tcPr>
          <w:p w14:paraId="5E0E427B">
            <w:pPr>
              <w:pStyle w:val="38"/>
              <w:widowControl w:val="0"/>
              <w:autoSpaceDE w:val="0"/>
              <w:autoSpaceDN w:val="0"/>
              <w:spacing w:before="66" w:line="229" w:lineRule="auto"/>
              <w:ind w:left="66"/>
            </w:pPr>
            <w:r>
              <w:rPr>
                <w:spacing w:val="6"/>
              </w:rPr>
              <w:t>S326省道东侧（德龙一号门</w:t>
            </w:r>
          </w:p>
          <w:p w14:paraId="60A5BBBD">
            <w:pPr>
              <w:pStyle w:val="38"/>
              <w:widowControl w:val="0"/>
              <w:autoSpaceDE w:val="0"/>
              <w:autoSpaceDN w:val="0"/>
              <w:spacing w:before="5" w:line="230" w:lineRule="auto"/>
              <w:ind w:left="695"/>
            </w:pPr>
            <w:r>
              <w:rPr>
                <w:spacing w:val="4"/>
              </w:rPr>
              <w:t>-二号门）</w:t>
            </w:r>
          </w:p>
        </w:tc>
        <w:tc>
          <w:tcPr>
            <w:tcW w:w="1500" w:type="dxa"/>
            <w:noWrap w:val="0"/>
            <w:vAlign w:val="top"/>
          </w:tcPr>
          <w:p w14:paraId="2086C719">
            <w:pPr>
              <w:pStyle w:val="38"/>
              <w:widowControl w:val="0"/>
              <w:autoSpaceDE w:val="0"/>
              <w:autoSpaceDN w:val="0"/>
              <w:spacing w:before="194" w:line="189" w:lineRule="auto"/>
              <w:ind w:left="486"/>
            </w:pPr>
            <w:r>
              <w:t>300</w:t>
            </w:r>
          </w:p>
        </w:tc>
        <w:tc>
          <w:tcPr>
            <w:tcW w:w="1766" w:type="dxa"/>
            <w:noWrap w:val="0"/>
            <w:vAlign w:val="top"/>
          </w:tcPr>
          <w:p w14:paraId="76CE0E71">
            <w:pPr>
              <w:widowControl w:val="0"/>
              <w:autoSpaceDE w:val="0"/>
              <w:autoSpaceDN w:val="0"/>
              <w:rPr>
                <w:rFonts w:ascii="Arial"/>
                <w:sz w:val="21"/>
              </w:rPr>
            </w:pPr>
          </w:p>
        </w:tc>
        <w:tc>
          <w:tcPr>
            <w:tcW w:w="1467" w:type="dxa"/>
            <w:noWrap w:val="0"/>
            <w:vAlign w:val="top"/>
          </w:tcPr>
          <w:p w14:paraId="35C85FF3">
            <w:pPr>
              <w:pStyle w:val="38"/>
              <w:widowControl w:val="0"/>
              <w:autoSpaceDE w:val="0"/>
              <w:autoSpaceDN w:val="0"/>
              <w:spacing w:before="194" w:line="189" w:lineRule="auto"/>
              <w:ind w:left="595"/>
            </w:pPr>
            <w:r>
              <w:t>300</w:t>
            </w:r>
          </w:p>
        </w:tc>
        <w:tc>
          <w:tcPr>
            <w:tcW w:w="1217" w:type="dxa"/>
            <w:noWrap w:val="0"/>
            <w:vAlign w:val="top"/>
          </w:tcPr>
          <w:p w14:paraId="3353F29F">
            <w:pPr>
              <w:pStyle w:val="38"/>
              <w:widowControl w:val="0"/>
              <w:autoSpaceDE w:val="0"/>
              <w:autoSpaceDN w:val="0"/>
              <w:spacing w:before="166" w:line="229" w:lineRule="auto"/>
              <w:ind w:left="497"/>
            </w:pPr>
            <w:r>
              <w:rPr>
                <w:spacing w:val="3"/>
              </w:rPr>
              <w:t>S326东</w:t>
            </w:r>
          </w:p>
        </w:tc>
      </w:tr>
      <w:tr w14:paraId="594B5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783" w:type="dxa"/>
            <w:noWrap w:val="0"/>
            <w:vAlign w:val="top"/>
          </w:tcPr>
          <w:p w14:paraId="7D0BA2BF">
            <w:pPr>
              <w:pStyle w:val="38"/>
              <w:widowControl w:val="0"/>
              <w:autoSpaceDE w:val="0"/>
              <w:autoSpaceDN w:val="0"/>
              <w:spacing w:before="194" w:line="189" w:lineRule="auto"/>
              <w:ind w:left="353"/>
            </w:pPr>
            <w:r>
              <w:t>4</w:t>
            </w:r>
          </w:p>
        </w:tc>
        <w:tc>
          <w:tcPr>
            <w:tcW w:w="3392" w:type="dxa"/>
            <w:noWrap w:val="0"/>
            <w:vAlign w:val="top"/>
          </w:tcPr>
          <w:p w14:paraId="597AACFC">
            <w:pPr>
              <w:pStyle w:val="38"/>
              <w:widowControl w:val="0"/>
              <w:autoSpaceDE w:val="0"/>
              <w:autoSpaceDN w:val="0"/>
              <w:spacing w:before="166" w:line="229" w:lineRule="auto"/>
              <w:ind w:left="402"/>
            </w:pPr>
            <w:r>
              <w:rPr>
                <w:spacing w:val="7"/>
              </w:rPr>
              <w:t>德龙三号门停车场</w:t>
            </w:r>
          </w:p>
        </w:tc>
        <w:tc>
          <w:tcPr>
            <w:tcW w:w="1500" w:type="dxa"/>
            <w:noWrap w:val="0"/>
            <w:vAlign w:val="top"/>
          </w:tcPr>
          <w:p w14:paraId="570C1E9D">
            <w:pPr>
              <w:pStyle w:val="38"/>
              <w:widowControl w:val="0"/>
              <w:autoSpaceDE w:val="0"/>
              <w:autoSpaceDN w:val="0"/>
              <w:spacing w:before="193" w:line="190" w:lineRule="auto"/>
              <w:ind w:left="452"/>
            </w:pPr>
            <w:r>
              <w:rPr>
                <w:spacing w:val="-1"/>
              </w:rPr>
              <w:t>1820</w:t>
            </w:r>
          </w:p>
        </w:tc>
        <w:tc>
          <w:tcPr>
            <w:tcW w:w="1766" w:type="dxa"/>
            <w:noWrap w:val="0"/>
            <w:vAlign w:val="top"/>
          </w:tcPr>
          <w:p w14:paraId="66D6C71D">
            <w:pPr>
              <w:widowControl w:val="0"/>
              <w:autoSpaceDE w:val="0"/>
              <w:autoSpaceDN w:val="0"/>
              <w:rPr>
                <w:rFonts w:ascii="Arial"/>
                <w:sz w:val="21"/>
              </w:rPr>
            </w:pPr>
          </w:p>
        </w:tc>
        <w:tc>
          <w:tcPr>
            <w:tcW w:w="1467" w:type="dxa"/>
            <w:noWrap w:val="0"/>
            <w:vAlign w:val="top"/>
          </w:tcPr>
          <w:p w14:paraId="4637A225">
            <w:pPr>
              <w:pStyle w:val="38"/>
              <w:widowControl w:val="0"/>
              <w:autoSpaceDE w:val="0"/>
              <w:autoSpaceDN w:val="0"/>
              <w:spacing w:before="193" w:line="190" w:lineRule="auto"/>
              <w:ind w:left="563"/>
            </w:pPr>
            <w:r>
              <w:rPr>
                <w:spacing w:val="-1"/>
              </w:rPr>
              <w:t>1820</w:t>
            </w:r>
          </w:p>
        </w:tc>
        <w:tc>
          <w:tcPr>
            <w:tcW w:w="1217" w:type="dxa"/>
            <w:noWrap w:val="0"/>
            <w:vAlign w:val="top"/>
          </w:tcPr>
          <w:p w14:paraId="0D3880F3">
            <w:pPr>
              <w:pStyle w:val="38"/>
              <w:widowControl w:val="0"/>
              <w:autoSpaceDE w:val="0"/>
              <w:autoSpaceDN w:val="0"/>
              <w:spacing w:before="166" w:line="229" w:lineRule="auto"/>
              <w:ind w:left="497"/>
            </w:pPr>
            <w:r>
              <w:rPr>
                <w:spacing w:val="3"/>
              </w:rPr>
              <w:t>S326东</w:t>
            </w:r>
          </w:p>
        </w:tc>
      </w:tr>
      <w:tr w14:paraId="1328F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783" w:type="dxa"/>
            <w:noWrap w:val="0"/>
            <w:vAlign w:val="top"/>
          </w:tcPr>
          <w:p w14:paraId="5F3C3F73">
            <w:pPr>
              <w:widowControl w:val="0"/>
              <w:autoSpaceDE w:val="0"/>
              <w:autoSpaceDN w:val="0"/>
              <w:spacing w:line="306" w:lineRule="auto"/>
              <w:rPr>
                <w:rFonts w:ascii="Arial"/>
                <w:sz w:val="21"/>
              </w:rPr>
            </w:pPr>
          </w:p>
          <w:p w14:paraId="57E42E2C">
            <w:pPr>
              <w:pStyle w:val="38"/>
              <w:widowControl w:val="0"/>
              <w:autoSpaceDE w:val="0"/>
              <w:autoSpaceDN w:val="0"/>
              <w:spacing w:before="52" w:line="188" w:lineRule="auto"/>
              <w:ind w:left="357"/>
            </w:pPr>
            <w:r>
              <w:t>5</w:t>
            </w:r>
          </w:p>
        </w:tc>
        <w:tc>
          <w:tcPr>
            <w:tcW w:w="3392" w:type="dxa"/>
            <w:noWrap w:val="0"/>
            <w:vAlign w:val="top"/>
          </w:tcPr>
          <w:p w14:paraId="035988F9">
            <w:pPr>
              <w:widowControl w:val="0"/>
              <w:autoSpaceDE w:val="0"/>
              <w:autoSpaceDN w:val="0"/>
              <w:spacing w:line="278" w:lineRule="auto"/>
              <w:rPr>
                <w:rFonts w:ascii="Arial"/>
                <w:sz w:val="21"/>
              </w:rPr>
            </w:pPr>
          </w:p>
          <w:p w14:paraId="15103FC9">
            <w:pPr>
              <w:pStyle w:val="38"/>
              <w:widowControl w:val="0"/>
              <w:autoSpaceDE w:val="0"/>
              <w:autoSpaceDN w:val="0"/>
              <w:spacing w:before="52" w:line="229" w:lineRule="auto"/>
              <w:ind w:left="150"/>
            </w:pPr>
            <w:r>
              <w:rPr>
                <w:spacing w:val="5"/>
              </w:rPr>
              <w:t>浦港大道（228-海堤路）</w:t>
            </w:r>
          </w:p>
        </w:tc>
        <w:tc>
          <w:tcPr>
            <w:tcW w:w="1500" w:type="dxa"/>
            <w:noWrap w:val="0"/>
            <w:vAlign w:val="top"/>
          </w:tcPr>
          <w:p w14:paraId="0AE5130A">
            <w:pPr>
              <w:widowControl w:val="0"/>
              <w:autoSpaceDE w:val="0"/>
              <w:autoSpaceDN w:val="0"/>
              <w:spacing w:line="305" w:lineRule="auto"/>
              <w:rPr>
                <w:rFonts w:ascii="Arial"/>
                <w:sz w:val="21"/>
              </w:rPr>
            </w:pPr>
          </w:p>
          <w:p w14:paraId="0C964FBB">
            <w:pPr>
              <w:pStyle w:val="38"/>
              <w:widowControl w:val="0"/>
              <w:autoSpaceDE w:val="0"/>
              <w:autoSpaceDN w:val="0"/>
              <w:spacing w:before="52" w:line="189" w:lineRule="auto"/>
              <w:ind w:left="402"/>
            </w:pPr>
            <w:r>
              <w:rPr>
                <w:spacing w:val="2"/>
              </w:rPr>
              <w:t>32278</w:t>
            </w:r>
          </w:p>
        </w:tc>
        <w:tc>
          <w:tcPr>
            <w:tcW w:w="1766" w:type="dxa"/>
            <w:noWrap w:val="0"/>
            <w:vAlign w:val="top"/>
          </w:tcPr>
          <w:p w14:paraId="321C9974">
            <w:pPr>
              <w:pStyle w:val="38"/>
              <w:widowControl w:val="0"/>
              <w:autoSpaceDE w:val="0"/>
              <w:autoSpaceDN w:val="0"/>
              <w:spacing w:before="128" w:line="229" w:lineRule="auto"/>
              <w:ind w:left="69"/>
            </w:pPr>
            <w:r>
              <w:rPr>
                <w:spacing w:val="4"/>
              </w:rPr>
              <w:t>两侧草坪51250+228与</w:t>
            </w:r>
          </w:p>
          <w:p w14:paraId="7276868A">
            <w:pPr>
              <w:pStyle w:val="38"/>
              <w:widowControl w:val="0"/>
              <w:autoSpaceDE w:val="0"/>
              <w:autoSpaceDN w:val="0"/>
              <w:spacing w:before="5" w:line="229" w:lineRule="auto"/>
              <w:ind w:left="69"/>
            </w:pPr>
            <w:r>
              <w:rPr>
                <w:spacing w:val="5"/>
              </w:rPr>
              <w:t>浦港节点2253+两侧草</w:t>
            </w:r>
          </w:p>
          <w:p w14:paraId="6663E419">
            <w:pPr>
              <w:pStyle w:val="38"/>
              <w:widowControl w:val="0"/>
              <w:autoSpaceDE w:val="0"/>
              <w:autoSpaceDN w:val="0"/>
              <w:spacing w:before="5" w:line="229" w:lineRule="auto"/>
              <w:ind w:left="572"/>
            </w:pPr>
            <w:r>
              <w:rPr>
                <w:spacing w:val="3"/>
              </w:rPr>
              <w:t>坪14250</w:t>
            </w:r>
          </w:p>
        </w:tc>
        <w:tc>
          <w:tcPr>
            <w:tcW w:w="1467" w:type="dxa"/>
            <w:noWrap w:val="0"/>
            <w:vAlign w:val="top"/>
          </w:tcPr>
          <w:p w14:paraId="30D64885">
            <w:pPr>
              <w:widowControl w:val="0"/>
              <w:autoSpaceDE w:val="0"/>
              <w:autoSpaceDN w:val="0"/>
              <w:spacing w:line="304" w:lineRule="auto"/>
              <w:rPr>
                <w:rFonts w:ascii="Arial"/>
                <w:sz w:val="21"/>
              </w:rPr>
            </w:pPr>
          </w:p>
          <w:p w14:paraId="0539C53E">
            <w:pPr>
              <w:pStyle w:val="38"/>
              <w:widowControl w:val="0"/>
              <w:autoSpaceDE w:val="0"/>
              <w:autoSpaceDN w:val="0"/>
              <w:spacing w:before="52" w:line="190" w:lineRule="auto"/>
              <w:ind w:left="479"/>
            </w:pPr>
            <w:r>
              <w:t>100031</w:t>
            </w:r>
          </w:p>
        </w:tc>
        <w:tc>
          <w:tcPr>
            <w:tcW w:w="1217" w:type="dxa"/>
            <w:noWrap w:val="0"/>
            <w:vAlign w:val="top"/>
          </w:tcPr>
          <w:p w14:paraId="1AA181CB">
            <w:pPr>
              <w:widowControl w:val="0"/>
              <w:autoSpaceDE w:val="0"/>
              <w:autoSpaceDN w:val="0"/>
              <w:spacing w:line="278" w:lineRule="auto"/>
              <w:rPr>
                <w:rFonts w:ascii="Arial"/>
                <w:sz w:val="21"/>
              </w:rPr>
            </w:pPr>
          </w:p>
          <w:p w14:paraId="388A8D7B">
            <w:pPr>
              <w:pStyle w:val="38"/>
              <w:widowControl w:val="0"/>
              <w:autoSpaceDE w:val="0"/>
              <w:autoSpaceDN w:val="0"/>
              <w:spacing w:before="52" w:line="229" w:lineRule="auto"/>
              <w:ind w:left="497"/>
            </w:pPr>
            <w:r>
              <w:rPr>
                <w:spacing w:val="3"/>
              </w:rPr>
              <w:t>S326东</w:t>
            </w:r>
          </w:p>
        </w:tc>
      </w:tr>
      <w:tr w14:paraId="41841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0B05635E">
            <w:pPr>
              <w:pStyle w:val="38"/>
              <w:widowControl w:val="0"/>
              <w:autoSpaceDE w:val="0"/>
              <w:autoSpaceDN w:val="0"/>
              <w:spacing w:before="230" w:line="189" w:lineRule="auto"/>
              <w:ind w:left="355"/>
            </w:pPr>
            <w:r>
              <w:t>6</w:t>
            </w:r>
          </w:p>
        </w:tc>
        <w:tc>
          <w:tcPr>
            <w:tcW w:w="3392" w:type="dxa"/>
            <w:noWrap w:val="0"/>
            <w:vAlign w:val="top"/>
          </w:tcPr>
          <w:p w14:paraId="1E7FAF18">
            <w:pPr>
              <w:pStyle w:val="38"/>
              <w:widowControl w:val="0"/>
              <w:autoSpaceDE w:val="0"/>
              <w:autoSpaceDN w:val="0"/>
              <w:spacing w:before="99" w:line="237" w:lineRule="auto"/>
              <w:ind w:left="904" w:right="97" w:hanging="794"/>
            </w:pPr>
            <w:r>
              <w:rPr>
                <w:spacing w:val="5"/>
              </w:rPr>
              <w:t>228国道北侧（326-浦港大</w:t>
            </w:r>
            <w:r>
              <w:rPr>
                <w:spacing w:val="7"/>
              </w:rPr>
              <w:t xml:space="preserve"> </w:t>
            </w:r>
            <w:r>
              <w:rPr>
                <w:spacing w:val="1"/>
              </w:rPr>
              <w:t>道）</w:t>
            </w:r>
          </w:p>
        </w:tc>
        <w:tc>
          <w:tcPr>
            <w:tcW w:w="1500" w:type="dxa"/>
            <w:noWrap w:val="0"/>
            <w:vAlign w:val="top"/>
          </w:tcPr>
          <w:p w14:paraId="1F89777E">
            <w:pPr>
              <w:pStyle w:val="38"/>
              <w:widowControl w:val="0"/>
              <w:autoSpaceDE w:val="0"/>
              <w:autoSpaceDN w:val="0"/>
              <w:spacing w:before="229" w:line="190" w:lineRule="auto"/>
              <w:ind w:left="368"/>
            </w:pPr>
            <w:r>
              <w:t>100000</w:t>
            </w:r>
          </w:p>
        </w:tc>
        <w:tc>
          <w:tcPr>
            <w:tcW w:w="1766" w:type="dxa"/>
            <w:noWrap w:val="0"/>
            <w:vAlign w:val="top"/>
          </w:tcPr>
          <w:p w14:paraId="69A3323A">
            <w:pPr>
              <w:widowControl w:val="0"/>
              <w:autoSpaceDE w:val="0"/>
              <w:autoSpaceDN w:val="0"/>
              <w:rPr>
                <w:rFonts w:ascii="Arial"/>
                <w:sz w:val="21"/>
              </w:rPr>
            </w:pPr>
          </w:p>
        </w:tc>
        <w:tc>
          <w:tcPr>
            <w:tcW w:w="1467" w:type="dxa"/>
            <w:noWrap w:val="0"/>
            <w:vAlign w:val="top"/>
          </w:tcPr>
          <w:p w14:paraId="602988B3">
            <w:pPr>
              <w:pStyle w:val="38"/>
              <w:widowControl w:val="0"/>
              <w:autoSpaceDE w:val="0"/>
              <w:autoSpaceDN w:val="0"/>
              <w:spacing w:before="229" w:line="190" w:lineRule="auto"/>
              <w:ind w:left="479"/>
            </w:pPr>
            <w:r>
              <w:t>100000</w:t>
            </w:r>
          </w:p>
        </w:tc>
        <w:tc>
          <w:tcPr>
            <w:tcW w:w="1217" w:type="dxa"/>
            <w:noWrap w:val="0"/>
            <w:vAlign w:val="top"/>
          </w:tcPr>
          <w:p w14:paraId="048F3EBF">
            <w:pPr>
              <w:pStyle w:val="38"/>
              <w:widowControl w:val="0"/>
              <w:autoSpaceDE w:val="0"/>
              <w:autoSpaceDN w:val="0"/>
              <w:spacing w:before="203" w:line="229" w:lineRule="auto"/>
              <w:ind w:left="497"/>
            </w:pPr>
            <w:r>
              <w:rPr>
                <w:spacing w:val="3"/>
              </w:rPr>
              <w:t>S326东</w:t>
            </w:r>
          </w:p>
        </w:tc>
      </w:tr>
      <w:tr w14:paraId="7422D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044E41BB">
            <w:pPr>
              <w:pStyle w:val="38"/>
              <w:widowControl w:val="0"/>
              <w:autoSpaceDE w:val="0"/>
              <w:autoSpaceDN w:val="0"/>
              <w:spacing w:before="231" w:line="188" w:lineRule="auto"/>
              <w:ind w:left="357"/>
            </w:pPr>
            <w:r>
              <w:t>7</w:t>
            </w:r>
          </w:p>
        </w:tc>
        <w:tc>
          <w:tcPr>
            <w:tcW w:w="3392" w:type="dxa"/>
            <w:noWrap w:val="0"/>
            <w:vAlign w:val="top"/>
          </w:tcPr>
          <w:p w14:paraId="12A3EEC5">
            <w:pPr>
              <w:pStyle w:val="38"/>
              <w:widowControl w:val="0"/>
              <w:autoSpaceDE w:val="0"/>
              <w:autoSpaceDN w:val="0"/>
              <w:spacing w:before="102" w:line="233" w:lineRule="auto"/>
              <w:ind w:left="399" w:right="97" w:hanging="289"/>
            </w:pPr>
            <w:r>
              <w:rPr>
                <w:spacing w:val="6"/>
              </w:rPr>
              <w:t>灌江口生态广场228国道南</w:t>
            </w:r>
            <w:r>
              <w:rPr>
                <w:spacing w:val="4"/>
              </w:rPr>
              <w:t xml:space="preserve"> </w:t>
            </w:r>
            <w:r>
              <w:rPr>
                <w:spacing w:val="5"/>
              </w:rPr>
              <w:t>侧（交警队-326）</w:t>
            </w:r>
          </w:p>
        </w:tc>
        <w:tc>
          <w:tcPr>
            <w:tcW w:w="1500" w:type="dxa"/>
            <w:noWrap w:val="0"/>
            <w:vAlign w:val="top"/>
          </w:tcPr>
          <w:p w14:paraId="7F50989F">
            <w:pPr>
              <w:pStyle w:val="38"/>
              <w:widowControl w:val="0"/>
              <w:autoSpaceDE w:val="0"/>
              <w:autoSpaceDN w:val="0"/>
              <w:spacing w:before="230" w:line="190" w:lineRule="auto"/>
              <w:ind w:left="368"/>
            </w:pPr>
            <w:r>
              <w:t>135000</w:t>
            </w:r>
          </w:p>
        </w:tc>
        <w:tc>
          <w:tcPr>
            <w:tcW w:w="1766" w:type="dxa"/>
            <w:noWrap w:val="0"/>
            <w:vAlign w:val="top"/>
          </w:tcPr>
          <w:p w14:paraId="5854D951">
            <w:pPr>
              <w:pStyle w:val="38"/>
              <w:widowControl w:val="0"/>
              <w:autoSpaceDE w:val="0"/>
              <w:autoSpaceDN w:val="0"/>
              <w:spacing w:before="203" w:line="229" w:lineRule="auto"/>
              <w:ind w:left="282"/>
            </w:pPr>
            <w:r>
              <w:rPr>
                <w:spacing w:val="5"/>
              </w:rPr>
              <w:t>取水口绿化5000</w:t>
            </w:r>
          </w:p>
        </w:tc>
        <w:tc>
          <w:tcPr>
            <w:tcW w:w="1467" w:type="dxa"/>
            <w:noWrap w:val="0"/>
            <w:vAlign w:val="top"/>
          </w:tcPr>
          <w:p w14:paraId="553C9276">
            <w:pPr>
              <w:pStyle w:val="38"/>
              <w:widowControl w:val="0"/>
              <w:autoSpaceDE w:val="0"/>
              <w:autoSpaceDN w:val="0"/>
              <w:spacing w:before="230" w:line="190" w:lineRule="auto"/>
              <w:ind w:left="479"/>
            </w:pPr>
            <w:r>
              <w:t>140000</w:t>
            </w:r>
          </w:p>
        </w:tc>
        <w:tc>
          <w:tcPr>
            <w:tcW w:w="1217" w:type="dxa"/>
            <w:noWrap w:val="0"/>
            <w:vAlign w:val="top"/>
          </w:tcPr>
          <w:p w14:paraId="626D07F9">
            <w:pPr>
              <w:pStyle w:val="38"/>
              <w:widowControl w:val="0"/>
              <w:autoSpaceDE w:val="0"/>
              <w:autoSpaceDN w:val="0"/>
              <w:spacing w:before="203" w:line="229" w:lineRule="auto"/>
              <w:ind w:left="497"/>
            </w:pPr>
            <w:r>
              <w:rPr>
                <w:spacing w:val="3"/>
              </w:rPr>
              <w:t>S326东</w:t>
            </w:r>
          </w:p>
        </w:tc>
      </w:tr>
      <w:tr w14:paraId="4AE5D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0E47C400">
            <w:pPr>
              <w:pStyle w:val="38"/>
              <w:widowControl w:val="0"/>
              <w:autoSpaceDE w:val="0"/>
              <w:autoSpaceDN w:val="0"/>
              <w:spacing w:before="232" w:line="189" w:lineRule="auto"/>
              <w:ind w:left="354"/>
            </w:pPr>
            <w:r>
              <w:t>8</w:t>
            </w:r>
          </w:p>
        </w:tc>
        <w:tc>
          <w:tcPr>
            <w:tcW w:w="3392" w:type="dxa"/>
            <w:noWrap w:val="0"/>
            <w:vAlign w:val="top"/>
          </w:tcPr>
          <w:p w14:paraId="7E0FC80C">
            <w:pPr>
              <w:pStyle w:val="38"/>
              <w:widowControl w:val="0"/>
              <w:autoSpaceDE w:val="0"/>
              <w:autoSpaceDN w:val="0"/>
              <w:spacing w:before="204" w:line="229" w:lineRule="auto"/>
              <w:ind w:left="153"/>
            </w:pPr>
            <w:r>
              <w:rPr>
                <w:spacing w:val="5"/>
              </w:rPr>
              <w:t>厚德路（326-浦港大道）</w:t>
            </w:r>
          </w:p>
        </w:tc>
        <w:tc>
          <w:tcPr>
            <w:tcW w:w="1500" w:type="dxa"/>
            <w:noWrap w:val="0"/>
            <w:vAlign w:val="top"/>
          </w:tcPr>
          <w:p w14:paraId="0913258D">
            <w:pPr>
              <w:pStyle w:val="38"/>
              <w:widowControl w:val="0"/>
              <w:autoSpaceDE w:val="0"/>
              <w:autoSpaceDN w:val="0"/>
              <w:spacing w:before="231" w:line="190" w:lineRule="auto"/>
              <w:ind w:left="411"/>
            </w:pPr>
            <w:r>
              <w:t>19331</w:t>
            </w:r>
          </w:p>
        </w:tc>
        <w:tc>
          <w:tcPr>
            <w:tcW w:w="1766" w:type="dxa"/>
            <w:noWrap w:val="0"/>
            <w:vAlign w:val="top"/>
          </w:tcPr>
          <w:p w14:paraId="38795B7E">
            <w:pPr>
              <w:pStyle w:val="38"/>
              <w:widowControl w:val="0"/>
              <w:autoSpaceDE w:val="0"/>
              <w:autoSpaceDN w:val="0"/>
              <w:spacing w:before="204" w:line="229" w:lineRule="auto"/>
              <w:ind w:left="195"/>
            </w:pPr>
            <w:r>
              <w:rPr>
                <w:spacing w:val="5"/>
              </w:rPr>
              <w:t>腾凯门口草坪6020</w:t>
            </w:r>
          </w:p>
        </w:tc>
        <w:tc>
          <w:tcPr>
            <w:tcW w:w="1467" w:type="dxa"/>
            <w:noWrap w:val="0"/>
            <w:vAlign w:val="top"/>
          </w:tcPr>
          <w:p w14:paraId="3C0F1514">
            <w:pPr>
              <w:pStyle w:val="38"/>
              <w:widowControl w:val="0"/>
              <w:autoSpaceDE w:val="0"/>
              <w:autoSpaceDN w:val="0"/>
              <w:spacing w:before="231" w:line="190" w:lineRule="auto"/>
              <w:ind w:left="510"/>
            </w:pPr>
            <w:r>
              <w:rPr>
                <w:spacing w:val="2"/>
              </w:rPr>
              <w:t>25351</w:t>
            </w:r>
          </w:p>
        </w:tc>
        <w:tc>
          <w:tcPr>
            <w:tcW w:w="1217" w:type="dxa"/>
            <w:noWrap w:val="0"/>
            <w:vAlign w:val="top"/>
          </w:tcPr>
          <w:p w14:paraId="119179B8">
            <w:pPr>
              <w:pStyle w:val="38"/>
              <w:widowControl w:val="0"/>
              <w:autoSpaceDE w:val="0"/>
              <w:autoSpaceDN w:val="0"/>
              <w:spacing w:before="204" w:line="229" w:lineRule="auto"/>
              <w:ind w:left="497"/>
            </w:pPr>
            <w:r>
              <w:rPr>
                <w:spacing w:val="3"/>
              </w:rPr>
              <w:t>S326东</w:t>
            </w:r>
          </w:p>
        </w:tc>
      </w:tr>
      <w:tr w14:paraId="06094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195C0E5E">
            <w:pPr>
              <w:pStyle w:val="38"/>
              <w:widowControl w:val="0"/>
              <w:autoSpaceDE w:val="0"/>
              <w:autoSpaceDN w:val="0"/>
              <w:spacing w:before="232" w:line="189" w:lineRule="auto"/>
              <w:ind w:left="354"/>
            </w:pPr>
            <w:r>
              <w:t>9</w:t>
            </w:r>
          </w:p>
        </w:tc>
        <w:tc>
          <w:tcPr>
            <w:tcW w:w="3392" w:type="dxa"/>
            <w:noWrap w:val="0"/>
            <w:vAlign w:val="top"/>
          </w:tcPr>
          <w:p w14:paraId="73A15DED">
            <w:pPr>
              <w:pStyle w:val="38"/>
              <w:widowControl w:val="0"/>
              <w:autoSpaceDE w:val="0"/>
              <w:autoSpaceDN w:val="0"/>
              <w:spacing w:before="205" w:line="229" w:lineRule="auto"/>
              <w:ind w:left="111"/>
            </w:pPr>
            <w:r>
              <w:rPr>
                <w:spacing w:val="6"/>
              </w:rPr>
              <w:t>兴海路（厚德路-海堤路）</w:t>
            </w:r>
          </w:p>
        </w:tc>
        <w:tc>
          <w:tcPr>
            <w:tcW w:w="1500" w:type="dxa"/>
            <w:noWrap w:val="0"/>
            <w:vAlign w:val="top"/>
          </w:tcPr>
          <w:p w14:paraId="0BB76936">
            <w:pPr>
              <w:pStyle w:val="38"/>
              <w:widowControl w:val="0"/>
              <w:autoSpaceDE w:val="0"/>
              <w:autoSpaceDN w:val="0"/>
              <w:spacing w:before="231" w:line="190" w:lineRule="auto"/>
              <w:ind w:left="411"/>
            </w:pPr>
            <w:r>
              <w:t>11258</w:t>
            </w:r>
          </w:p>
        </w:tc>
        <w:tc>
          <w:tcPr>
            <w:tcW w:w="1766" w:type="dxa"/>
            <w:noWrap w:val="0"/>
            <w:vAlign w:val="top"/>
          </w:tcPr>
          <w:p w14:paraId="61E5FE33">
            <w:pPr>
              <w:pStyle w:val="38"/>
              <w:widowControl w:val="0"/>
              <w:autoSpaceDE w:val="0"/>
              <w:autoSpaceDN w:val="0"/>
              <w:spacing w:before="205" w:line="229" w:lineRule="auto"/>
              <w:ind w:left="324"/>
            </w:pPr>
            <w:r>
              <w:rPr>
                <w:spacing w:val="4"/>
              </w:rPr>
              <w:t>西侧草坪25432</w:t>
            </w:r>
          </w:p>
        </w:tc>
        <w:tc>
          <w:tcPr>
            <w:tcW w:w="1467" w:type="dxa"/>
            <w:noWrap w:val="0"/>
            <w:vAlign w:val="top"/>
          </w:tcPr>
          <w:p w14:paraId="73897105">
            <w:pPr>
              <w:pStyle w:val="38"/>
              <w:widowControl w:val="0"/>
              <w:autoSpaceDE w:val="0"/>
              <w:autoSpaceDN w:val="0"/>
              <w:spacing w:before="232" w:line="189" w:lineRule="auto"/>
              <w:ind w:left="511"/>
            </w:pPr>
            <w:r>
              <w:rPr>
                <w:spacing w:val="2"/>
              </w:rPr>
              <w:t>36690</w:t>
            </w:r>
          </w:p>
        </w:tc>
        <w:tc>
          <w:tcPr>
            <w:tcW w:w="1217" w:type="dxa"/>
            <w:noWrap w:val="0"/>
            <w:vAlign w:val="top"/>
          </w:tcPr>
          <w:p w14:paraId="6B805BE4">
            <w:pPr>
              <w:pStyle w:val="38"/>
              <w:widowControl w:val="0"/>
              <w:autoSpaceDE w:val="0"/>
              <w:autoSpaceDN w:val="0"/>
              <w:spacing w:before="205" w:line="229" w:lineRule="auto"/>
              <w:ind w:left="497"/>
            </w:pPr>
            <w:r>
              <w:rPr>
                <w:spacing w:val="3"/>
              </w:rPr>
              <w:t>S326东</w:t>
            </w:r>
          </w:p>
        </w:tc>
      </w:tr>
      <w:tr w14:paraId="249A0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392D609D">
            <w:pPr>
              <w:pStyle w:val="38"/>
              <w:widowControl w:val="0"/>
              <w:autoSpaceDE w:val="0"/>
              <w:autoSpaceDN w:val="0"/>
              <w:spacing w:before="232" w:line="190" w:lineRule="auto"/>
              <w:ind w:left="325"/>
            </w:pPr>
            <w:r>
              <w:rPr>
                <w:spacing w:val="-6"/>
              </w:rPr>
              <w:t>10</w:t>
            </w:r>
          </w:p>
        </w:tc>
        <w:tc>
          <w:tcPr>
            <w:tcW w:w="3392" w:type="dxa"/>
            <w:noWrap w:val="0"/>
            <w:vAlign w:val="top"/>
          </w:tcPr>
          <w:p w14:paraId="7CAA5F0E">
            <w:pPr>
              <w:pStyle w:val="38"/>
              <w:widowControl w:val="0"/>
              <w:autoSpaceDE w:val="0"/>
              <w:autoSpaceDN w:val="0"/>
              <w:spacing w:before="105" w:line="232" w:lineRule="auto"/>
              <w:ind w:left="741" w:right="70" w:hanging="676"/>
            </w:pPr>
            <w:r>
              <w:rPr>
                <w:spacing w:val="5"/>
              </w:rPr>
              <w:t>通港大道（326-浦港大道）</w:t>
            </w:r>
            <w:r>
              <w:rPr>
                <w:spacing w:val="3"/>
              </w:rPr>
              <w:t xml:space="preserve"> </w:t>
            </w:r>
            <w:r>
              <w:rPr>
                <w:spacing w:val="5"/>
              </w:rPr>
              <w:t>市政绿化</w:t>
            </w:r>
          </w:p>
        </w:tc>
        <w:tc>
          <w:tcPr>
            <w:tcW w:w="1500" w:type="dxa"/>
            <w:noWrap w:val="0"/>
            <w:vAlign w:val="top"/>
          </w:tcPr>
          <w:p w14:paraId="20AB63B1">
            <w:pPr>
              <w:pStyle w:val="38"/>
              <w:widowControl w:val="0"/>
              <w:autoSpaceDE w:val="0"/>
              <w:autoSpaceDN w:val="0"/>
              <w:spacing w:before="233" w:line="189" w:lineRule="auto"/>
              <w:ind w:left="402"/>
            </w:pPr>
            <w:r>
              <w:rPr>
                <w:spacing w:val="2"/>
              </w:rPr>
              <w:t>33633</w:t>
            </w:r>
          </w:p>
        </w:tc>
        <w:tc>
          <w:tcPr>
            <w:tcW w:w="1766" w:type="dxa"/>
            <w:noWrap w:val="0"/>
            <w:vAlign w:val="top"/>
          </w:tcPr>
          <w:p w14:paraId="3C5B5C2F">
            <w:pPr>
              <w:widowControl w:val="0"/>
              <w:autoSpaceDE w:val="0"/>
              <w:autoSpaceDN w:val="0"/>
              <w:rPr>
                <w:rFonts w:ascii="Arial"/>
                <w:sz w:val="21"/>
              </w:rPr>
            </w:pPr>
          </w:p>
        </w:tc>
        <w:tc>
          <w:tcPr>
            <w:tcW w:w="1467" w:type="dxa"/>
            <w:noWrap w:val="0"/>
            <w:vAlign w:val="top"/>
          </w:tcPr>
          <w:p w14:paraId="65790075">
            <w:pPr>
              <w:pStyle w:val="38"/>
              <w:widowControl w:val="0"/>
              <w:autoSpaceDE w:val="0"/>
              <w:autoSpaceDN w:val="0"/>
              <w:spacing w:before="233" w:line="189" w:lineRule="auto"/>
              <w:ind w:left="511"/>
            </w:pPr>
            <w:r>
              <w:rPr>
                <w:spacing w:val="2"/>
              </w:rPr>
              <w:t>33633</w:t>
            </w:r>
          </w:p>
        </w:tc>
        <w:tc>
          <w:tcPr>
            <w:tcW w:w="1217" w:type="dxa"/>
            <w:noWrap w:val="0"/>
            <w:vAlign w:val="top"/>
          </w:tcPr>
          <w:p w14:paraId="63B2B1B0">
            <w:pPr>
              <w:pStyle w:val="38"/>
              <w:widowControl w:val="0"/>
              <w:autoSpaceDE w:val="0"/>
              <w:autoSpaceDN w:val="0"/>
              <w:spacing w:before="206" w:line="229" w:lineRule="auto"/>
              <w:ind w:left="497"/>
            </w:pPr>
            <w:r>
              <w:rPr>
                <w:spacing w:val="3"/>
              </w:rPr>
              <w:t>S326东</w:t>
            </w:r>
          </w:p>
        </w:tc>
      </w:tr>
      <w:tr w14:paraId="7F8AE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542183BA">
            <w:pPr>
              <w:pStyle w:val="38"/>
              <w:widowControl w:val="0"/>
              <w:autoSpaceDE w:val="0"/>
              <w:autoSpaceDN w:val="0"/>
              <w:spacing w:before="232" w:line="190" w:lineRule="auto"/>
              <w:ind w:left="325"/>
            </w:pPr>
            <w:r>
              <w:rPr>
                <w:spacing w:val="-6"/>
              </w:rPr>
              <w:t>11</w:t>
            </w:r>
          </w:p>
        </w:tc>
        <w:tc>
          <w:tcPr>
            <w:tcW w:w="3392" w:type="dxa"/>
            <w:noWrap w:val="0"/>
            <w:vAlign w:val="top"/>
          </w:tcPr>
          <w:p w14:paraId="5ECECAB7">
            <w:pPr>
              <w:pStyle w:val="38"/>
              <w:widowControl w:val="0"/>
              <w:autoSpaceDE w:val="0"/>
              <w:autoSpaceDN w:val="0"/>
              <w:spacing w:before="103" w:line="233" w:lineRule="auto"/>
              <w:ind w:left="739" w:right="70" w:hanging="674"/>
            </w:pPr>
            <w:r>
              <w:rPr>
                <w:spacing w:val="5"/>
              </w:rPr>
              <w:t>通港大道（326-浦港大道）</w:t>
            </w:r>
            <w:r>
              <w:rPr>
                <w:spacing w:val="3"/>
              </w:rPr>
              <w:t xml:space="preserve"> </w:t>
            </w:r>
            <w:r>
              <w:rPr>
                <w:spacing w:val="5"/>
              </w:rPr>
              <w:t>景观工程</w:t>
            </w:r>
          </w:p>
        </w:tc>
        <w:tc>
          <w:tcPr>
            <w:tcW w:w="1500" w:type="dxa"/>
            <w:noWrap w:val="0"/>
            <w:vAlign w:val="top"/>
          </w:tcPr>
          <w:p w14:paraId="39AD3602">
            <w:pPr>
              <w:pStyle w:val="38"/>
              <w:widowControl w:val="0"/>
              <w:autoSpaceDE w:val="0"/>
              <w:autoSpaceDN w:val="0"/>
              <w:spacing w:before="232" w:line="190" w:lineRule="auto"/>
              <w:ind w:left="368"/>
            </w:pPr>
            <w:r>
              <w:t>174989</w:t>
            </w:r>
          </w:p>
        </w:tc>
        <w:tc>
          <w:tcPr>
            <w:tcW w:w="1766" w:type="dxa"/>
            <w:noWrap w:val="0"/>
            <w:vAlign w:val="top"/>
          </w:tcPr>
          <w:p w14:paraId="2DE4B382">
            <w:pPr>
              <w:widowControl w:val="0"/>
              <w:autoSpaceDE w:val="0"/>
              <w:autoSpaceDN w:val="0"/>
              <w:rPr>
                <w:rFonts w:ascii="Arial"/>
                <w:sz w:val="21"/>
              </w:rPr>
            </w:pPr>
          </w:p>
        </w:tc>
        <w:tc>
          <w:tcPr>
            <w:tcW w:w="1467" w:type="dxa"/>
            <w:noWrap w:val="0"/>
            <w:vAlign w:val="top"/>
          </w:tcPr>
          <w:p w14:paraId="5C54D1DE">
            <w:pPr>
              <w:pStyle w:val="38"/>
              <w:widowControl w:val="0"/>
              <w:autoSpaceDE w:val="0"/>
              <w:autoSpaceDN w:val="0"/>
              <w:spacing w:before="232" w:line="190" w:lineRule="auto"/>
              <w:ind w:left="479"/>
            </w:pPr>
            <w:r>
              <w:t>174989</w:t>
            </w:r>
          </w:p>
        </w:tc>
        <w:tc>
          <w:tcPr>
            <w:tcW w:w="1217" w:type="dxa"/>
            <w:noWrap w:val="0"/>
            <w:vAlign w:val="top"/>
          </w:tcPr>
          <w:p w14:paraId="2CC34D02">
            <w:pPr>
              <w:pStyle w:val="38"/>
              <w:widowControl w:val="0"/>
              <w:autoSpaceDE w:val="0"/>
              <w:autoSpaceDN w:val="0"/>
              <w:spacing w:before="206" w:line="229" w:lineRule="auto"/>
              <w:ind w:left="497"/>
            </w:pPr>
            <w:r>
              <w:rPr>
                <w:spacing w:val="3"/>
              </w:rPr>
              <w:t>S326东</w:t>
            </w:r>
          </w:p>
        </w:tc>
      </w:tr>
      <w:tr w14:paraId="1DD98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59F30EDA">
            <w:pPr>
              <w:pStyle w:val="38"/>
              <w:widowControl w:val="0"/>
              <w:autoSpaceDE w:val="0"/>
              <w:autoSpaceDN w:val="0"/>
              <w:spacing w:before="233" w:line="190" w:lineRule="auto"/>
              <w:ind w:left="325"/>
            </w:pPr>
            <w:r>
              <w:rPr>
                <w:spacing w:val="-6"/>
              </w:rPr>
              <w:t>12</w:t>
            </w:r>
          </w:p>
        </w:tc>
        <w:tc>
          <w:tcPr>
            <w:tcW w:w="3392" w:type="dxa"/>
            <w:noWrap w:val="0"/>
            <w:vAlign w:val="top"/>
          </w:tcPr>
          <w:p w14:paraId="75FFB4BE">
            <w:pPr>
              <w:pStyle w:val="38"/>
              <w:widowControl w:val="0"/>
              <w:autoSpaceDE w:val="0"/>
              <w:autoSpaceDN w:val="0"/>
              <w:spacing w:before="206" w:line="229" w:lineRule="auto"/>
              <w:ind w:left="318"/>
            </w:pPr>
            <w:r>
              <w:rPr>
                <w:spacing w:val="7"/>
              </w:rPr>
              <w:t>合金产业园周边区域</w:t>
            </w:r>
          </w:p>
        </w:tc>
        <w:tc>
          <w:tcPr>
            <w:tcW w:w="1500" w:type="dxa"/>
            <w:noWrap w:val="0"/>
            <w:vAlign w:val="top"/>
          </w:tcPr>
          <w:p w14:paraId="0BE16A0B">
            <w:pPr>
              <w:pStyle w:val="38"/>
              <w:widowControl w:val="0"/>
              <w:autoSpaceDE w:val="0"/>
              <w:autoSpaceDN w:val="0"/>
              <w:spacing w:before="233" w:line="190" w:lineRule="auto"/>
              <w:ind w:left="368"/>
            </w:pPr>
            <w:r>
              <w:t>100000</w:t>
            </w:r>
          </w:p>
        </w:tc>
        <w:tc>
          <w:tcPr>
            <w:tcW w:w="1766" w:type="dxa"/>
            <w:noWrap w:val="0"/>
            <w:vAlign w:val="top"/>
          </w:tcPr>
          <w:p w14:paraId="4411B75A">
            <w:pPr>
              <w:pStyle w:val="38"/>
              <w:widowControl w:val="0"/>
              <w:autoSpaceDE w:val="0"/>
              <w:autoSpaceDN w:val="0"/>
              <w:spacing w:before="206" w:line="229" w:lineRule="auto"/>
              <w:ind w:left="198"/>
            </w:pPr>
            <w:r>
              <w:rPr>
                <w:spacing w:val="5"/>
              </w:rPr>
              <w:t>大叶黄杨球3276棵</w:t>
            </w:r>
          </w:p>
        </w:tc>
        <w:tc>
          <w:tcPr>
            <w:tcW w:w="1467" w:type="dxa"/>
            <w:noWrap w:val="0"/>
            <w:vAlign w:val="top"/>
          </w:tcPr>
          <w:p w14:paraId="0473CA90">
            <w:pPr>
              <w:pStyle w:val="38"/>
              <w:widowControl w:val="0"/>
              <w:autoSpaceDE w:val="0"/>
              <w:autoSpaceDN w:val="0"/>
              <w:spacing w:before="233" w:line="190" w:lineRule="auto"/>
              <w:ind w:left="479"/>
            </w:pPr>
            <w:r>
              <w:t>100000</w:t>
            </w:r>
          </w:p>
        </w:tc>
        <w:tc>
          <w:tcPr>
            <w:tcW w:w="1217" w:type="dxa"/>
            <w:noWrap w:val="0"/>
            <w:vAlign w:val="top"/>
          </w:tcPr>
          <w:p w14:paraId="05FA4459">
            <w:pPr>
              <w:pStyle w:val="38"/>
              <w:widowControl w:val="0"/>
              <w:autoSpaceDE w:val="0"/>
              <w:autoSpaceDN w:val="0"/>
              <w:spacing w:before="206" w:line="229" w:lineRule="auto"/>
              <w:ind w:left="497"/>
            </w:pPr>
            <w:r>
              <w:rPr>
                <w:spacing w:val="3"/>
              </w:rPr>
              <w:t>S326东</w:t>
            </w:r>
          </w:p>
        </w:tc>
      </w:tr>
      <w:tr w14:paraId="13554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049BC798">
            <w:pPr>
              <w:pStyle w:val="38"/>
              <w:widowControl w:val="0"/>
              <w:autoSpaceDE w:val="0"/>
              <w:autoSpaceDN w:val="0"/>
              <w:spacing w:before="234" w:line="190" w:lineRule="auto"/>
              <w:ind w:left="325"/>
            </w:pPr>
            <w:r>
              <w:rPr>
                <w:spacing w:val="-6"/>
              </w:rPr>
              <w:t>13</w:t>
            </w:r>
          </w:p>
        </w:tc>
        <w:tc>
          <w:tcPr>
            <w:tcW w:w="3392" w:type="dxa"/>
            <w:noWrap w:val="0"/>
            <w:vAlign w:val="top"/>
          </w:tcPr>
          <w:p w14:paraId="5685EB6E">
            <w:pPr>
              <w:pStyle w:val="38"/>
              <w:widowControl w:val="0"/>
              <w:autoSpaceDE w:val="0"/>
              <w:autoSpaceDN w:val="0"/>
              <w:spacing w:before="207" w:line="229" w:lineRule="auto"/>
              <w:ind w:left="654"/>
            </w:pPr>
            <w:r>
              <w:rPr>
                <w:spacing w:val="6"/>
              </w:rPr>
              <w:t>合金产业园</w:t>
            </w:r>
          </w:p>
        </w:tc>
        <w:tc>
          <w:tcPr>
            <w:tcW w:w="1500" w:type="dxa"/>
            <w:noWrap w:val="0"/>
            <w:vAlign w:val="top"/>
          </w:tcPr>
          <w:p w14:paraId="1992B8F8">
            <w:pPr>
              <w:pStyle w:val="38"/>
              <w:widowControl w:val="0"/>
              <w:autoSpaceDE w:val="0"/>
              <w:autoSpaceDN w:val="0"/>
              <w:spacing w:before="235" w:line="189" w:lineRule="auto"/>
              <w:ind w:left="399"/>
            </w:pPr>
            <w:r>
              <w:rPr>
                <w:spacing w:val="2"/>
              </w:rPr>
              <w:t>87974</w:t>
            </w:r>
          </w:p>
        </w:tc>
        <w:tc>
          <w:tcPr>
            <w:tcW w:w="1766" w:type="dxa"/>
            <w:noWrap w:val="0"/>
            <w:vAlign w:val="top"/>
          </w:tcPr>
          <w:p w14:paraId="15DC596C">
            <w:pPr>
              <w:widowControl w:val="0"/>
              <w:autoSpaceDE w:val="0"/>
              <w:autoSpaceDN w:val="0"/>
              <w:rPr>
                <w:rFonts w:ascii="Arial"/>
                <w:sz w:val="21"/>
              </w:rPr>
            </w:pPr>
          </w:p>
        </w:tc>
        <w:tc>
          <w:tcPr>
            <w:tcW w:w="1467" w:type="dxa"/>
            <w:noWrap w:val="0"/>
            <w:vAlign w:val="top"/>
          </w:tcPr>
          <w:p w14:paraId="4DA437BE">
            <w:pPr>
              <w:pStyle w:val="38"/>
              <w:widowControl w:val="0"/>
              <w:autoSpaceDE w:val="0"/>
              <w:autoSpaceDN w:val="0"/>
              <w:spacing w:before="235" w:line="189" w:lineRule="auto"/>
              <w:ind w:left="508"/>
            </w:pPr>
            <w:r>
              <w:rPr>
                <w:spacing w:val="2"/>
              </w:rPr>
              <w:t>87974</w:t>
            </w:r>
          </w:p>
        </w:tc>
        <w:tc>
          <w:tcPr>
            <w:tcW w:w="1217" w:type="dxa"/>
            <w:noWrap w:val="0"/>
            <w:vAlign w:val="top"/>
          </w:tcPr>
          <w:p w14:paraId="18846C68">
            <w:pPr>
              <w:pStyle w:val="38"/>
              <w:widowControl w:val="0"/>
              <w:autoSpaceDE w:val="0"/>
              <w:autoSpaceDN w:val="0"/>
              <w:spacing w:before="207" w:line="229" w:lineRule="auto"/>
              <w:ind w:left="497"/>
            </w:pPr>
            <w:r>
              <w:rPr>
                <w:spacing w:val="3"/>
              </w:rPr>
              <w:t>S326东</w:t>
            </w:r>
          </w:p>
        </w:tc>
      </w:tr>
      <w:tr w14:paraId="35627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6CB5E2B1">
            <w:pPr>
              <w:pStyle w:val="38"/>
              <w:widowControl w:val="0"/>
              <w:autoSpaceDE w:val="0"/>
              <w:autoSpaceDN w:val="0"/>
              <w:spacing w:before="234" w:line="190" w:lineRule="auto"/>
              <w:ind w:left="325"/>
            </w:pPr>
            <w:r>
              <w:rPr>
                <w:spacing w:val="-6"/>
              </w:rPr>
              <w:t>14</w:t>
            </w:r>
          </w:p>
        </w:tc>
        <w:tc>
          <w:tcPr>
            <w:tcW w:w="3392" w:type="dxa"/>
            <w:noWrap w:val="0"/>
            <w:vAlign w:val="top"/>
          </w:tcPr>
          <w:p w14:paraId="4A11AEB6">
            <w:pPr>
              <w:pStyle w:val="38"/>
              <w:widowControl w:val="0"/>
              <w:autoSpaceDE w:val="0"/>
              <w:autoSpaceDN w:val="0"/>
              <w:spacing w:before="104" w:line="237" w:lineRule="auto"/>
              <w:ind w:left="904" w:right="181" w:hanging="712"/>
            </w:pPr>
            <w:r>
              <w:rPr>
                <w:spacing w:val="7"/>
              </w:rPr>
              <w:t>淮海路（厚德路-新港大</w:t>
            </w:r>
            <w:r>
              <w:t xml:space="preserve"> </w:t>
            </w:r>
            <w:r>
              <w:rPr>
                <w:spacing w:val="1"/>
              </w:rPr>
              <w:t>道）</w:t>
            </w:r>
          </w:p>
        </w:tc>
        <w:tc>
          <w:tcPr>
            <w:tcW w:w="1500" w:type="dxa"/>
            <w:noWrap w:val="0"/>
            <w:vAlign w:val="top"/>
          </w:tcPr>
          <w:p w14:paraId="5D484DB9">
            <w:pPr>
              <w:pStyle w:val="38"/>
              <w:widowControl w:val="0"/>
              <w:autoSpaceDE w:val="0"/>
              <w:autoSpaceDN w:val="0"/>
              <w:spacing w:before="234" w:line="190" w:lineRule="auto"/>
              <w:ind w:left="441"/>
            </w:pPr>
            <w:r>
              <w:rPr>
                <w:spacing w:val="2"/>
              </w:rPr>
              <w:t>6178</w:t>
            </w:r>
          </w:p>
        </w:tc>
        <w:tc>
          <w:tcPr>
            <w:tcW w:w="1766" w:type="dxa"/>
            <w:noWrap w:val="0"/>
            <w:vAlign w:val="top"/>
          </w:tcPr>
          <w:p w14:paraId="1D9CB17D">
            <w:pPr>
              <w:pStyle w:val="38"/>
              <w:widowControl w:val="0"/>
              <w:autoSpaceDE w:val="0"/>
              <w:autoSpaceDN w:val="0"/>
              <w:spacing w:before="208" w:line="229" w:lineRule="auto"/>
              <w:ind w:left="324"/>
            </w:pPr>
            <w:r>
              <w:rPr>
                <w:spacing w:val="4"/>
              </w:rPr>
              <w:t>西侧移植25000</w:t>
            </w:r>
          </w:p>
        </w:tc>
        <w:tc>
          <w:tcPr>
            <w:tcW w:w="1467" w:type="dxa"/>
            <w:noWrap w:val="0"/>
            <w:vAlign w:val="top"/>
          </w:tcPr>
          <w:p w14:paraId="3E55126B">
            <w:pPr>
              <w:pStyle w:val="38"/>
              <w:widowControl w:val="0"/>
              <w:autoSpaceDE w:val="0"/>
              <w:autoSpaceDN w:val="0"/>
              <w:spacing w:before="234" w:line="190" w:lineRule="auto"/>
              <w:ind w:left="511"/>
            </w:pPr>
            <w:r>
              <w:rPr>
                <w:spacing w:val="2"/>
              </w:rPr>
              <w:t>31178</w:t>
            </w:r>
          </w:p>
        </w:tc>
        <w:tc>
          <w:tcPr>
            <w:tcW w:w="1217" w:type="dxa"/>
            <w:noWrap w:val="0"/>
            <w:vAlign w:val="top"/>
          </w:tcPr>
          <w:p w14:paraId="17CEFB2C">
            <w:pPr>
              <w:pStyle w:val="38"/>
              <w:widowControl w:val="0"/>
              <w:autoSpaceDE w:val="0"/>
              <w:autoSpaceDN w:val="0"/>
              <w:spacing w:before="208" w:line="229" w:lineRule="auto"/>
              <w:ind w:left="497"/>
            </w:pPr>
            <w:r>
              <w:rPr>
                <w:spacing w:val="3"/>
              </w:rPr>
              <w:t>S326东</w:t>
            </w:r>
          </w:p>
        </w:tc>
      </w:tr>
      <w:tr w14:paraId="1E175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0DB13540">
            <w:pPr>
              <w:pStyle w:val="38"/>
              <w:widowControl w:val="0"/>
              <w:autoSpaceDE w:val="0"/>
              <w:autoSpaceDN w:val="0"/>
              <w:spacing w:before="235" w:line="190" w:lineRule="auto"/>
              <w:ind w:left="325"/>
            </w:pPr>
            <w:r>
              <w:rPr>
                <w:spacing w:val="-6"/>
              </w:rPr>
              <w:t>15</w:t>
            </w:r>
          </w:p>
        </w:tc>
        <w:tc>
          <w:tcPr>
            <w:tcW w:w="3392" w:type="dxa"/>
            <w:noWrap w:val="0"/>
            <w:vAlign w:val="top"/>
          </w:tcPr>
          <w:p w14:paraId="6770AD8E">
            <w:pPr>
              <w:pStyle w:val="38"/>
              <w:widowControl w:val="0"/>
              <w:autoSpaceDE w:val="0"/>
              <w:autoSpaceDN w:val="0"/>
              <w:spacing w:before="108" w:line="232" w:lineRule="auto"/>
              <w:ind w:left="906" w:right="97" w:hanging="799"/>
            </w:pPr>
            <w:r>
              <w:rPr>
                <w:spacing w:val="7"/>
              </w:rPr>
              <w:t>伍昌支路（浦港大道-淮海</w:t>
            </w:r>
            <w:r>
              <w:rPr>
                <w:spacing w:val="1"/>
              </w:rPr>
              <w:t xml:space="preserve"> </w:t>
            </w:r>
            <w:r>
              <w:t>路）</w:t>
            </w:r>
          </w:p>
        </w:tc>
        <w:tc>
          <w:tcPr>
            <w:tcW w:w="1500" w:type="dxa"/>
            <w:noWrap w:val="0"/>
            <w:vAlign w:val="top"/>
          </w:tcPr>
          <w:p w14:paraId="4AEE0F75">
            <w:pPr>
              <w:pStyle w:val="38"/>
              <w:widowControl w:val="0"/>
              <w:autoSpaceDE w:val="0"/>
              <w:autoSpaceDN w:val="0"/>
              <w:spacing w:before="236" w:line="189" w:lineRule="auto"/>
              <w:ind w:left="440"/>
            </w:pPr>
            <w:r>
              <w:rPr>
                <w:spacing w:val="2"/>
              </w:rPr>
              <w:t>8424</w:t>
            </w:r>
          </w:p>
        </w:tc>
        <w:tc>
          <w:tcPr>
            <w:tcW w:w="1766" w:type="dxa"/>
            <w:noWrap w:val="0"/>
            <w:vAlign w:val="top"/>
          </w:tcPr>
          <w:p w14:paraId="46361AAB">
            <w:pPr>
              <w:widowControl w:val="0"/>
              <w:autoSpaceDE w:val="0"/>
              <w:autoSpaceDN w:val="0"/>
              <w:rPr>
                <w:rFonts w:ascii="Arial"/>
                <w:sz w:val="21"/>
              </w:rPr>
            </w:pPr>
          </w:p>
        </w:tc>
        <w:tc>
          <w:tcPr>
            <w:tcW w:w="1467" w:type="dxa"/>
            <w:noWrap w:val="0"/>
            <w:vAlign w:val="top"/>
          </w:tcPr>
          <w:p w14:paraId="35A4903C">
            <w:pPr>
              <w:pStyle w:val="38"/>
              <w:widowControl w:val="0"/>
              <w:autoSpaceDE w:val="0"/>
              <w:autoSpaceDN w:val="0"/>
              <w:spacing w:before="236" w:line="189" w:lineRule="auto"/>
              <w:ind w:left="551"/>
            </w:pPr>
            <w:r>
              <w:rPr>
                <w:spacing w:val="2"/>
              </w:rPr>
              <w:t>8424</w:t>
            </w:r>
          </w:p>
        </w:tc>
        <w:tc>
          <w:tcPr>
            <w:tcW w:w="1217" w:type="dxa"/>
            <w:noWrap w:val="0"/>
            <w:vAlign w:val="top"/>
          </w:tcPr>
          <w:p w14:paraId="2914A0BA">
            <w:pPr>
              <w:pStyle w:val="38"/>
              <w:widowControl w:val="0"/>
              <w:autoSpaceDE w:val="0"/>
              <w:autoSpaceDN w:val="0"/>
              <w:spacing w:before="209" w:line="229" w:lineRule="auto"/>
              <w:ind w:left="497"/>
            </w:pPr>
            <w:r>
              <w:rPr>
                <w:spacing w:val="3"/>
              </w:rPr>
              <w:t>S326东</w:t>
            </w:r>
          </w:p>
        </w:tc>
      </w:tr>
      <w:tr w14:paraId="066D3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61DF5CC5">
            <w:pPr>
              <w:pStyle w:val="38"/>
              <w:widowControl w:val="0"/>
              <w:autoSpaceDE w:val="0"/>
              <w:autoSpaceDN w:val="0"/>
              <w:spacing w:before="235" w:line="190" w:lineRule="auto"/>
              <w:ind w:left="325"/>
            </w:pPr>
            <w:r>
              <w:rPr>
                <w:spacing w:val="-6"/>
              </w:rPr>
              <w:t>16</w:t>
            </w:r>
          </w:p>
        </w:tc>
        <w:tc>
          <w:tcPr>
            <w:tcW w:w="3392" w:type="dxa"/>
            <w:noWrap w:val="0"/>
            <w:vAlign w:val="top"/>
          </w:tcPr>
          <w:p w14:paraId="61AC4CC3">
            <w:pPr>
              <w:pStyle w:val="38"/>
              <w:widowControl w:val="0"/>
              <w:autoSpaceDE w:val="0"/>
              <w:autoSpaceDN w:val="0"/>
              <w:spacing w:before="209" w:line="229" w:lineRule="auto"/>
              <w:ind w:left="737"/>
            </w:pPr>
            <w:r>
              <w:rPr>
                <w:spacing w:val="6"/>
              </w:rPr>
              <w:t>港电东路</w:t>
            </w:r>
          </w:p>
        </w:tc>
        <w:tc>
          <w:tcPr>
            <w:tcW w:w="1500" w:type="dxa"/>
            <w:noWrap w:val="0"/>
            <w:vAlign w:val="top"/>
          </w:tcPr>
          <w:p w14:paraId="59983D16">
            <w:pPr>
              <w:pStyle w:val="38"/>
              <w:widowControl w:val="0"/>
              <w:autoSpaceDE w:val="0"/>
              <w:autoSpaceDN w:val="0"/>
              <w:spacing w:before="235" w:line="190" w:lineRule="auto"/>
              <w:ind w:left="441"/>
            </w:pPr>
            <w:r>
              <w:rPr>
                <w:spacing w:val="1"/>
              </w:rPr>
              <w:t>2515</w:t>
            </w:r>
          </w:p>
        </w:tc>
        <w:tc>
          <w:tcPr>
            <w:tcW w:w="1766" w:type="dxa"/>
            <w:noWrap w:val="0"/>
            <w:vAlign w:val="top"/>
          </w:tcPr>
          <w:p w14:paraId="7E1B8502">
            <w:pPr>
              <w:widowControl w:val="0"/>
              <w:autoSpaceDE w:val="0"/>
              <w:autoSpaceDN w:val="0"/>
              <w:rPr>
                <w:rFonts w:ascii="Arial"/>
                <w:sz w:val="21"/>
              </w:rPr>
            </w:pPr>
          </w:p>
        </w:tc>
        <w:tc>
          <w:tcPr>
            <w:tcW w:w="1467" w:type="dxa"/>
            <w:noWrap w:val="0"/>
            <w:vAlign w:val="top"/>
          </w:tcPr>
          <w:p w14:paraId="5618047A">
            <w:pPr>
              <w:pStyle w:val="38"/>
              <w:widowControl w:val="0"/>
              <w:autoSpaceDE w:val="0"/>
              <w:autoSpaceDN w:val="0"/>
              <w:spacing w:before="235" w:line="190" w:lineRule="auto"/>
              <w:ind w:left="552"/>
            </w:pPr>
            <w:r>
              <w:rPr>
                <w:spacing w:val="1"/>
              </w:rPr>
              <w:t>2515</w:t>
            </w:r>
          </w:p>
        </w:tc>
        <w:tc>
          <w:tcPr>
            <w:tcW w:w="1217" w:type="dxa"/>
            <w:noWrap w:val="0"/>
            <w:vAlign w:val="top"/>
          </w:tcPr>
          <w:p w14:paraId="4420846D">
            <w:pPr>
              <w:pStyle w:val="38"/>
              <w:widowControl w:val="0"/>
              <w:autoSpaceDE w:val="0"/>
              <w:autoSpaceDN w:val="0"/>
              <w:spacing w:before="209" w:line="229" w:lineRule="auto"/>
              <w:ind w:left="497"/>
            </w:pPr>
            <w:r>
              <w:rPr>
                <w:spacing w:val="3"/>
              </w:rPr>
              <w:t>S326东</w:t>
            </w:r>
          </w:p>
        </w:tc>
      </w:tr>
      <w:tr w14:paraId="2D889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15983F5B">
            <w:pPr>
              <w:pStyle w:val="38"/>
              <w:widowControl w:val="0"/>
              <w:autoSpaceDE w:val="0"/>
              <w:autoSpaceDN w:val="0"/>
              <w:spacing w:before="236" w:line="190" w:lineRule="auto"/>
              <w:ind w:left="325"/>
            </w:pPr>
            <w:r>
              <w:rPr>
                <w:spacing w:val="-6"/>
              </w:rPr>
              <w:t>17</w:t>
            </w:r>
          </w:p>
        </w:tc>
        <w:tc>
          <w:tcPr>
            <w:tcW w:w="3392" w:type="dxa"/>
            <w:noWrap w:val="0"/>
            <w:vAlign w:val="top"/>
          </w:tcPr>
          <w:p w14:paraId="1818E933">
            <w:pPr>
              <w:pStyle w:val="38"/>
              <w:widowControl w:val="0"/>
              <w:autoSpaceDE w:val="0"/>
              <w:autoSpaceDN w:val="0"/>
              <w:spacing w:before="210" w:line="230" w:lineRule="auto"/>
              <w:ind w:left="737"/>
            </w:pPr>
            <w:r>
              <w:rPr>
                <w:spacing w:val="6"/>
              </w:rPr>
              <w:t>湿地公园</w:t>
            </w:r>
          </w:p>
        </w:tc>
        <w:tc>
          <w:tcPr>
            <w:tcW w:w="1500" w:type="dxa"/>
            <w:noWrap w:val="0"/>
            <w:vAlign w:val="top"/>
          </w:tcPr>
          <w:p w14:paraId="1F6CF3DC">
            <w:pPr>
              <w:pStyle w:val="38"/>
              <w:widowControl w:val="0"/>
              <w:autoSpaceDE w:val="0"/>
              <w:autoSpaceDN w:val="0"/>
              <w:spacing w:before="236" w:line="190" w:lineRule="auto"/>
              <w:ind w:left="368"/>
            </w:pPr>
            <w:r>
              <w:t>108589</w:t>
            </w:r>
          </w:p>
        </w:tc>
        <w:tc>
          <w:tcPr>
            <w:tcW w:w="1766" w:type="dxa"/>
            <w:noWrap w:val="0"/>
            <w:vAlign w:val="top"/>
          </w:tcPr>
          <w:p w14:paraId="5C1FE18B">
            <w:pPr>
              <w:widowControl w:val="0"/>
              <w:autoSpaceDE w:val="0"/>
              <w:autoSpaceDN w:val="0"/>
              <w:rPr>
                <w:rFonts w:ascii="Arial"/>
                <w:sz w:val="21"/>
              </w:rPr>
            </w:pPr>
          </w:p>
        </w:tc>
        <w:tc>
          <w:tcPr>
            <w:tcW w:w="1467" w:type="dxa"/>
            <w:noWrap w:val="0"/>
            <w:vAlign w:val="top"/>
          </w:tcPr>
          <w:p w14:paraId="062C2D61">
            <w:pPr>
              <w:pStyle w:val="38"/>
              <w:widowControl w:val="0"/>
              <w:autoSpaceDE w:val="0"/>
              <w:autoSpaceDN w:val="0"/>
              <w:spacing w:before="236" w:line="190" w:lineRule="auto"/>
              <w:ind w:left="479"/>
            </w:pPr>
            <w:r>
              <w:t>108589</w:t>
            </w:r>
          </w:p>
        </w:tc>
        <w:tc>
          <w:tcPr>
            <w:tcW w:w="1217" w:type="dxa"/>
            <w:noWrap w:val="0"/>
            <w:vAlign w:val="top"/>
          </w:tcPr>
          <w:p w14:paraId="6CA82320">
            <w:pPr>
              <w:pStyle w:val="38"/>
              <w:widowControl w:val="0"/>
              <w:autoSpaceDE w:val="0"/>
              <w:autoSpaceDN w:val="0"/>
              <w:spacing w:before="210" w:line="229" w:lineRule="auto"/>
              <w:ind w:left="497"/>
            </w:pPr>
            <w:r>
              <w:rPr>
                <w:spacing w:val="3"/>
              </w:rPr>
              <w:t>S326东</w:t>
            </w:r>
          </w:p>
        </w:tc>
      </w:tr>
      <w:tr w14:paraId="749E2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49A7D5B3">
            <w:pPr>
              <w:pStyle w:val="38"/>
              <w:widowControl w:val="0"/>
              <w:autoSpaceDE w:val="0"/>
              <w:autoSpaceDN w:val="0"/>
              <w:spacing w:before="237" w:line="190" w:lineRule="auto"/>
              <w:ind w:left="325"/>
            </w:pPr>
            <w:r>
              <w:rPr>
                <w:spacing w:val="-6"/>
              </w:rPr>
              <w:t>18</w:t>
            </w:r>
          </w:p>
        </w:tc>
        <w:tc>
          <w:tcPr>
            <w:tcW w:w="3392" w:type="dxa"/>
            <w:noWrap w:val="0"/>
            <w:vAlign w:val="top"/>
          </w:tcPr>
          <w:p w14:paraId="21FDF8D2">
            <w:pPr>
              <w:pStyle w:val="38"/>
              <w:widowControl w:val="0"/>
              <w:autoSpaceDE w:val="0"/>
              <w:autoSpaceDN w:val="0"/>
              <w:spacing w:before="210" w:line="229" w:lineRule="auto"/>
              <w:ind w:left="570"/>
            </w:pPr>
            <w:r>
              <w:rPr>
                <w:spacing w:val="6"/>
              </w:rPr>
              <w:t>浦港尾水湿地</w:t>
            </w:r>
          </w:p>
        </w:tc>
        <w:tc>
          <w:tcPr>
            <w:tcW w:w="1500" w:type="dxa"/>
            <w:noWrap w:val="0"/>
            <w:vAlign w:val="top"/>
          </w:tcPr>
          <w:p w14:paraId="1B999C93">
            <w:pPr>
              <w:pStyle w:val="38"/>
              <w:widowControl w:val="0"/>
              <w:autoSpaceDE w:val="0"/>
              <w:autoSpaceDN w:val="0"/>
              <w:spacing w:before="237" w:line="190" w:lineRule="auto"/>
              <w:ind w:left="443"/>
            </w:pPr>
            <w:r>
              <w:rPr>
                <w:spacing w:val="1"/>
              </w:rPr>
              <w:t>7161</w:t>
            </w:r>
          </w:p>
        </w:tc>
        <w:tc>
          <w:tcPr>
            <w:tcW w:w="1766" w:type="dxa"/>
            <w:noWrap w:val="0"/>
            <w:vAlign w:val="top"/>
          </w:tcPr>
          <w:p w14:paraId="76C4C02B">
            <w:pPr>
              <w:widowControl w:val="0"/>
              <w:autoSpaceDE w:val="0"/>
              <w:autoSpaceDN w:val="0"/>
              <w:rPr>
                <w:rFonts w:ascii="Arial"/>
                <w:sz w:val="21"/>
              </w:rPr>
            </w:pPr>
          </w:p>
        </w:tc>
        <w:tc>
          <w:tcPr>
            <w:tcW w:w="1467" w:type="dxa"/>
            <w:noWrap w:val="0"/>
            <w:vAlign w:val="top"/>
          </w:tcPr>
          <w:p w14:paraId="301748B0">
            <w:pPr>
              <w:pStyle w:val="38"/>
              <w:widowControl w:val="0"/>
              <w:autoSpaceDE w:val="0"/>
              <w:autoSpaceDN w:val="0"/>
              <w:spacing w:before="237" w:line="190" w:lineRule="auto"/>
              <w:ind w:left="554"/>
            </w:pPr>
            <w:r>
              <w:rPr>
                <w:spacing w:val="1"/>
              </w:rPr>
              <w:t>7161</w:t>
            </w:r>
          </w:p>
        </w:tc>
        <w:tc>
          <w:tcPr>
            <w:tcW w:w="1217" w:type="dxa"/>
            <w:noWrap w:val="0"/>
            <w:vAlign w:val="top"/>
          </w:tcPr>
          <w:p w14:paraId="785F5779">
            <w:pPr>
              <w:pStyle w:val="38"/>
              <w:widowControl w:val="0"/>
              <w:autoSpaceDE w:val="0"/>
              <w:autoSpaceDN w:val="0"/>
              <w:spacing w:before="210" w:line="229" w:lineRule="auto"/>
              <w:ind w:left="497"/>
            </w:pPr>
            <w:r>
              <w:rPr>
                <w:spacing w:val="3"/>
              </w:rPr>
              <w:t>S326东</w:t>
            </w:r>
          </w:p>
        </w:tc>
      </w:tr>
      <w:tr w14:paraId="4DD3F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382D5FE0">
            <w:pPr>
              <w:pStyle w:val="38"/>
              <w:widowControl w:val="0"/>
              <w:autoSpaceDE w:val="0"/>
              <w:autoSpaceDN w:val="0"/>
              <w:spacing w:before="237" w:line="190" w:lineRule="auto"/>
              <w:ind w:left="325"/>
            </w:pPr>
            <w:r>
              <w:rPr>
                <w:spacing w:val="-6"/>
              </w:rPr>
              <w:t>19</w:t>
            </w:r>
          </w:p>
        </w:tc>
        <w:tc>
          <w:tcPr>
            <w:tcW w:w="3392" w:type="dxa"/>
            <w:noWrap w:val="0"/>
            <w:vAlign w:val="top"/>
          </w:tcPr>
          <w:p w14:paraId="0543FB8A">
            <w:pPr>
              <w:pStyle w:val="38"/>
              <w:widowControl w:val="0"/>
              <w:autoSpaceDE w:val="0"/>
              <w:autoSpaceDN w:val="0"/>
              <w:spacing w:before="210" w:line="229" w:lineRule="auto"/>
              <w:ind w:left="234"/>
            </w:pPr>
            <w:r>
              <w:rPr>
                <w:spacing w:val="6"/>
              </w:rPr>
              <w:t>S326省道东侧河道绿化</w:t>
            </w:r>
          </w:p>
        </w:tc>
        <w:tc>
          <w:tcPr>
            <w:tcW w:w="1500" w:type="dxa"/>
            <w:noWrap w:val="0"/>
            <w:vAlign w:val="top"/>
          </w:tcPr>
          <w:p w14:paraId="6A524D8D">
            <w:pPr>
              <w:pStyle w:val="38"/>
              <w:widowControl w:val="0"/>
              <w:autoSpaceDE w:val="0"/>
              <w:autoSpaceDN w:val="0"/>
              <w:spacing w:before="238" w:line="189" w:lineRule="auto"/>
              <w:ind w:left="403"/>
            </w:pPr>
            <w:r>
              <w:rPr>
                <w:spacing w:val="1"/>
              </w:rPr>
              <w:t>73380</w:t>
            </w:r>
          </w:p>
        </w:tc>
        <w:tc>
          <w:tcPr>
            <w:tcW w:w="1766" w:type="dxa"/>
            <w:noWrap w:val="0"/>
            <w:vAlign w:val="top"/>
          </w:tcPr>
          <w:p w14:paraId="32E05954">
            <w:pPr>
              <w:widowControl w:val="0"/>
              <w:autoSpaceDE w:val="0"/>
              <w:autoSpaceDN w:val="0"/>
              <w:rPr>
                <w:rFonts w:ascii="Arial"/>
                <w:sz w:val="21"/>
              </w:rPr>
            </w:pPr>
          </w:p>
        </w:tc>
        <w:tc>
          <w:tcPr>
            <w:tcW w:w="1467" w:type="dxa"/>
            <w:noWrap w:val="0"/>
            <w:vAlign w:val="top"/>
          </w:tcPr>
          <w:p w14:paraId="3120763D">
            <w:pPr>
              <w:pStyle w:val="38"/>
              <w:widowControl w:val="0"/>
              <w:autoSpaceDE w:val="0"/>
              <w:autoSpaceDN w:val="0"/>
              <w:spacing w:before="238" w:line="189" w:lineRule="auto"/>
              <w:ind w:left="512"/>
            </w:pPr>
            <w:r>
              <w:rPr>
                <w:spacing w:val="1"/>
              </w:rPr>
              <w:t>73380</w:t>
            </w:r>
          </w:p>
        </w:tc>
        <w:tc>
          <w:tcPr>
            <w:tcW w:w="1217" w:type="dxa"/>
            <w:noWrap w:val="0"/>
            <w:vAlign w:val="top"/>
          </w:tcPr>
          <w:p w14:paraId="70008744">
            <w:pPr>
              <w:pStyle w:val="38"/>
              <w:widowControl w:val="0"/>
              <w:autoSpaceDE w:val="0"/>
              <w:autoSpaceDN w:val="0"/>
              <w:spacing w:before="210" w:line="229" w:lineRule="auto"/>
              <w:ind w:left="497"/>
            </w:pPr>
            <w:r>
              <w:rPr>
                <w:spacing w:val="3"/>
              </w:rPr>
              <w:t>S326东</w:t>
            </w:r>
          </w:p>
        </w:tc>
      </w:tr>
      <w:tr w14:paraId="51557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42665B56">
            <w:pPr>
              <w:pStyle w:val="38"/>
              <w:widowControl w:val="0"/>
              <w:autoSpaceDE w:val="0"/>
              <w:autoSpaceDN w:val="0"/>
              <w:spacing w:before="239" w:line="189" w:lineRule="auto"/>
              <w:ind w:left="315"/>
            </w:pPr>
            <w:r>
              <w:rPr>
                <w:spacing w:val="-1"/>
              </w:rPr>
              <w:t>20</w:t>
            </w:r>
          </w:p>
        </w:tc>
        <w:tc>
          <w:tcPr>
            <w:tcW w:w="3392" w:type="dxa"/>
            <w:noWrap w:val="0"/>
            <w:vAlign w:val="top"/>
          </w:tcPr>
          <w:p w14:paraId="7EDFF9C6">
            <w:pPr>
              <w:pStyle w:val="38"/>
              <w:widowControl w:val="0"/>
              <w:autoSpaceDE w:val="0"/>
              <w:autoSpaceDN w:val="0"/>
              <w:spacing w:before="108" w:line="234" w:lineRule="auto"/>
              <w:ind w:left="823" w:right="97" w:hanging="714"/>
            </w:pPr>
            <w:r>
              <w:rPr>
                <w:spacing w:val="6"/>
              </w:rPr>
              <w:t>新港大道（S326省道-浦港</w:t>
            </w:r>
            <w:r>
              <w:t xml:space="preserve"> </w:t>
            </w:r>
            <w:r>
              <w:rPr>
                <w:spacing w:val="2"/>
              </w:rPr>
              <w:t>大道）</w:t>
            </w:r>
          </w:p>
        </w:tc>
        <w:tc>
          <w:tcPr>
            <w:tcW w:w="1500" w:type="dxa"/>
            <w:noWrap w:val="0"/>
            <w:vAlign w:val="top"/>
          </w:tcPr>
          <w:p w14:paraId="13CA3326">
            <w:pPr>
              <w:pStyle w:val="38"/>
              <w:widowControl w:val="0"/>
              <w:autoSpaceDE w:val="0"/>
              <w:autoSpaceDN w:val="0"/>
              <w:spacing w:before="239" w:line="189" w:lineRule="auto"/>
              <w:ind w:left="401"/>
            </w:pPr>
            <w:r>
              <w:rPr>
                <w:spacing w:val="2"/>
              </w:rPr>
              <w:t>23400</w:t>
            </w:r>
          </w:p>
        </w:tc>
        <w:tc>
          <w:tcPr>
            <w:tcW w:w="1766" w:type="dxa"/>
            <w:noWrap w:val="0"/>
            <w:vAlign w:val="top"/>
          </w:tcPr>
          <w:p w14:paraId="5D26D938">
            <w:pPr>
              <w:widowControl w:val="0"/>
              <w:autoSpaceDE w:val="0"/>
              <w:autoSpaceDN w:val="0"/>
              <w:rPr>
                <w:rFonts w:ascii="Arial"/>
                <w:sz w:val="21"/>
              </w:rPr>
            </w:pPr>
          </w:p>
        </w:tc>
        <w:tc>
          <w:tcPr>
            <w:tcW w:w="1467" w:type="dxa"/>
            <w:noWrap w:val="0"/>
            <w:vAlign w:val="top"/>
          </w:tcPr>
          <w:p w14:paraId="6A9B8591">
            <w:pPr>
              <w:pStyle w:val="38"/>
              <w:widowControl w:val="0"/>
              <w:autoSpaceDE w:val="0"/>
              <w:autoSpaceDN w:val="0"/>
              <w:spacing w:before="239" w:line="189" w:lineRule="auto"/>
              <w:ind w:left="510"/>
            </w:pPr>
            <w:r>
              <w:rPr>
                <w:spacing w:val="2"/>
              </w:rPr>
              <w:t>23400</w:t>
            </w:r>
          </w:p>
        </w:tc>
        <w:tc>
          <w:tcPr>
            <w:tcW w:w="1217" w:type="dxa"/>
            <w:noWrap w:val="0"/>
            <w:vAlign w:val="top"/>
          </w:tcPr>
          <w:p w14:paraId="655F66B7">
            <w:pPr>
              <w:pStyle w:val="38"/>
              <w:widowControl w:val="0"/>
              <w:autoSpaceDE w:val="0"/>
              <w:autoSpaceDN w:val="0"/>
              <w:spacing w:before="211" w:line="229" w:lineRule="auto"/>
              <w:ind w:left="497"/>
            </w:pPr>
            <w:r>
              <w:rPr>
                <w:spacing w:val="3"/>
              </w:rPr>
              <w:t>S326东</w:t>
            </w:r>
          </w:p>
        </w:tc>
      </w:tr>
      <w:tr w14:paraId="0437C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83" w:type="dxa"/>
            <w:noWrap w:val="0"/>
            <w:vAlign w:val="top"/>
          </w:tcPr>
          <w:p w14:paraId="63829144">
            <w:pPr>
              <w:widowControl w:val="0"/>
              <w:autoSpaceDE w:val="0"/>
              <w:autoSpaceDN w:val="0"/>
              <w:rPr>
                <w:rFonts w:ascii="Arial"/>
                <w:sz w:val="21"/>
              </w:rPr>
            </w:pPr>
          </w:p>
        </w:tc>
        <w:tc>
          <w:tcPr>
            <w:tcW w:w="3392" w:type="dxa"/>
            <w:noWrap w:val="0"/>
            <w:vAlign w:val="top"/>
          </w:tcPr>
          <w:p w14:paraId="24C86F8C">
            <w:pPr>
              <w:pStyle w:val="38"/>
              <w:widowControl w:val="0"/>
              <w:autoSpaceDE w:val="0"/>
              <w:autoSpaceDN w:val="0"/>
              <w:spacing w:before="212" w:line="230" w:lineRule="auto"/>
              <w:ind w:left="906"/>
            </w:pPr>
            <w:r>
              <w:rPr>
                <w:b/>
                <w:bCs/>
                <w:spacing w:val="3"/>
              </w:rPr>
              <w:t>合计</w:t>
            </w:r>
          </w:p>
        </w:tc>
        <w:tc>
          <w:tcPr>
            <w:tcW w:w="1500" w:type="dxa"/>
            <w:noWrap w:val="0"/>
            <w:vAlign w:val="top"/>
          </w:tcPr>
          <w:p w14:paraId="5BB1D9B3">
            <w:pPr>
              <w:pStyle w:val="38"/>
              <w:widowControl w:val="0"/>
              <w:autoSpaceDE w:val="0"/>
              <w:autoSpaceDN w:val="0"/>
              <w:spacing w:before="238" w:line="190" w:lineRule="auto"/>
              <w:ind w:left="353"/>
            </w:pPr>
            <w:r>
              <w:rPr>
                <w:b/>
                <w:bCs/>
                <w:spacing w:val="2"/>
              </w:rPr>
              <w:t>978120</w:t>
            </w:r>
          </w:p>
        </w:tc>
        <w:tc>
          <w:tcPr>
            <w:tcW w:w="1766" w:type="dxa"/>
            <w:noWrap w:val="0"/>
            <w:vAlign w:val="top"/>
          </w:tcPr>
          <w:p w14:paraId="38684F51">
            <w:pPr>
              <w:pStyle w:val="38"/>
              <w:widowControl w:val="0"/>
              <w:autoSpaceDE w:val="0"/>
              <w:autoSpaceDN w:val="0"/>
              <w:spacing w:before="238" w:line="190" w:lineRule="auto"/>
              <w:ind w:left="623"/>
            </w:pPr>
            <w:r>
              <w:rPr>
                <w:b/>
                <w:bCs/>
              </w:rPr>
              <w:t>153738</w:t>
            </w:r>
          </w:p>
        </w:tc>
        <w:tc>
          <w:tcPr>
            <w:tcW w:w="1467" w:type="dxa"/>
            <w:noWrap w:val="0"/>
            <w:vAlign w:val="top"/>
          </w:tcPr>
          <w:p w14:paraId="1A0B00E9">
            <w:pPr>
              <w:pStyle w:val="38"/>
              <w:widowControl w:val="0"/>
              <w:autoSpaceDE w:val="0"/>
              <w:autoSpaceDN w:val="0"/>
              <w:spacing w:before="238" w:line="190" w:lineRule="auto"/>
              <w:ind w:left="431"/>
            </w:pPr>
            <w:r>
              <w:rPr>
                <w:b/>
                <w:bCs/>
              </w:rPr>
              <w:t>1131558</w:t>
            </w:r>
          </w:p>
        </w:tc>
        <w:tc>
          <w:tcPr>
            <w:tcW w:w="1217" w:type="dxa"/>
            <w:noWrap w:val="0"/>
            <w:vAlign w:val="top"/>
          </w:tcPr>
          <w:p w14:paraId="3C31CA52">
            <w:pPr>
              <w:widowControl w:val="0"/>
              <w:autoSpaceDE w:val="0"/>
              <w:autoSpaceDN w:val="0"/>
              <w:rPr>
                <w:rFonts w:ascii="Arial"/>
                <w:sz w:val="21"/>
              </w:rPr>
            </w:pPr>
          </w:p>
        </w:tc>
      </w:tr>
    </w:tbl>
    <w:p w14:paraId="5DEF45A2">
      <w:pPr>
        <w:spacing w:before="206" w:line="229" w:lineRule="auto"/>
        <w:ind w:left="40"/>
        <w:rPr>
          <w:rFonts w:ascii="宋体" w:hAnsi="宋体" w:eastAsia="宋体" w:cs="宋体"/>
          <w:sz w:val="16"/>
          <w:szCs w:val="16"/>
        </w:rPr>
      </w:pPr>
      <w:r>
        <w:rPr>
          <w:rFonts w:ascii="宋体" w:hAnsi="宋体" w:eastAsia="宋体" w:cs="宋体"/>
          <w:spacing w:val="7"/>
          <w:sz w:val="16"/>
          <w:szCs w:val="16"/>
        </w:rPr>
        <w:t>注：1、数据来源响水工业经济区规划局。 2、326省道（运盐河-海堤路中</w:t>
      </w:r>
      <w:r>
        <w:rPr>
          <w:rFonts w:ascii="宋体" w:hAnsi="宋体" w:eastAsia="宋体" w:cs="宋体"/>
          <w:spacing w:val="6"/>
          <w:sz w:val="16"/>
          <w:szCs w:val="16"/>
        </w:rPr>
        <w:t>分带）原面积合计13780平方，326东与326西平分6890平方。</w:t>
      </w:r>
    </w:p>
    <w:p w14:paraId="3ED59C5F">
      <w:pPr>
        <w:spacing w:line="229" w:lineRule="auto"/>
        <w:rPr>
          <w:rFonts w:ascii="宋体" w:hAnsi="宋体" w:eastAsia="宋体" w:cs="宋体"/>
          <w:sz w:val="16"/>
          <w:szCs w:val="16"/>
        </w:rPr>
        <w:sectPr>
          <w:pgSz w:w="11905" w:h="16837"/>
          <w:pgMar w:top="1655" w:right="924" w:bottom="1644" w:left="837" w:header="0" w:footer="0" w:gutter="0"/>
          <w:cols w:space="720" w:num="1"/>
        </w:sectPr>
      </w:pPr>
    </w:p>
    <w:p w14:paraId="59EF2E65">
      <w:pPr>
        <w:spacing w:before="130" w:line="222" w:lineRule="auto"/>
        <w:ind w:left="1468"/>
        <w:outlineLvl w:val="0"/>
        <w:rPr>
          <w:rFonts w:ascii="宋体" w:hAnsi="宋体" w:eastAsia="宋体" w:cs="宋体"/>
          <w:sz w:val="36"/>
          <w:szCs w:val="36"/>
        </w:rPr>
      </w:pPr>
      <w:r>
        <w:rPr>
          <w:rFonts w:ascii="宋体" w:hAnsi="宋体" w:eastAsia="宋体" w:cs="宋体"/>
          <w:b/>
          <w:bCs/>
          <w:sz w:val="36"/>
          <w:szCs w:val="36"/>
        </w:rPr>
        <w:t>响水工业经济区绿化养护面积统计表（326西）</w:t>
      </w:r>
    </w:p>
    <w:p w14:paraId="42E4717C">
      <w:pPr>
        <w:spacing w:line="14" w:lineRule="exact"/>
      </w:pPr>
    </w:p>
    <w:tbl>
      <w:tblPr>
        <w:tblStyle w:val="37"/>
        <w:tblW w:w="9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3420"/>
        <w:gridCol w:w="1350"/>
        <w:gridCol w:w="1783"/>
        <w:gridCol w:w="1417"/>
        <w:gridCol w:w="1116"/>
      </w:tblGrid>
      <w:tr w14:paraId="6DB33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83" w:type="dxa"/>
            <w:noWrap w:val="0"/>
            <w:vAlign w:val="top"/>
          </w:tcPr>
          <w:p w14:paraId="6072B32C">
            <w:pPr>
              <w:pStyle w:val="38"/>
              <w:widowControl w:val="0"/>
              <w:autoSpaceDE w:val="0"/>
              <w:autoSpaceDN w:val="0"/>
              <w:spacing w:before="208" w:line="230" w:lineRule="auto"/>
              <w:ind w:left="228"/>
            </w:pPr>
            <w:r>
              <w:rPr>
                <w:spacing w:val="5"/>
              </w:rPr>
              <w:t>序号</w:t>
            </w:r>
          </w:p>
        </w:tc>
        <w:tc>
          <w:tcPr>
            <w:tcW w:w="3420" w:type="dxa"/>
            <w:noWrap w:val="0"/>
            <w:vAlign w:val="top"/>
          </w:tcPr>
          <w:p w14:paraId="7351D0E9">
            <w:pPr>
              <w:pStyle w:val="38"/>
              <w:widowControl w:val="0"/>
              <w:autoSpaceDE w:val="0"/>
              <w:autoSpaceDN w:val="0"/>
              <w:spacing w:before="208" w:line="229" w:lineRule="auto"/>
              <w:ind w:left="737"/>
            </w:pPr>
            <w:r>
              <w:rPr>
                <w:spacing w:val="6"/>
              </w:rPr>
              <w:t>道路名称</w:t>
            </w:r>
          </w:p>
        </w:tc>
        <w:tc>
          <w:tcPr>
            <w:tcW w:w="1350" w:type="dxa"/>
            <w:noWrap w:val="0"/>
            <w:vAlign w:val="top"/>
          </w:tcPr>
          <w:p w14:paraId="1B9B3D57">
            <w:pPr>
              <w:pStyle w:val="38"/>
              <w:widowControl w:val="0"/>
              <w:autoSpaceDE w:val="0"/>
              <w:autoSpaceDN w:val="0"/>
              <w:spacing w:before="208" w:line="229" w:lineRule="auto"/>
              <w:ind w:left="107"/>
            </w:pPr>
            <w:r>
              <w:rPr>
                <w:spacing w:val="4"/>
              </w:rPr>
              <w:t>原绿化面积㎡</w:t>
            </w:r>
          </w:p>
        </w:tc>
        <w:tc>
          <w:tcPr>
            <w:tcW w:w="1783" w:type="dxa"/>
            <w:noWrap w:val="0"/>
            <w:vAlign w:val="top"/>
          </w:tcPr>
          <w:p w14:paraId="2B36D453">
            <w:pPr>
              <w:pStyle w:val="38"/>
              <w:widowControl w:val="0"/>
              <w:autoSpaceDE w:val="0"/>
              <w:autoSpaceDN w:val="0"/>
              <w:spacing w:before="208" w:line="229" w:lineRule="auto"/>
              <w:ind w:left="197"/>
            </w:pPr>
            <w:r>
              <w:rPr>
                <w:spacing w:val="6"/>
              </w:rPr>
              <w:t>后新增绿化面积㎡</w:t>
            </w:r>
          </w:p>
        </w:tc>
        <w:tc>
          <w:tcPr>
            <w:tcW w:w="1417" w:type="dxa"/>
            <w:noWrap w:val="0"/>
            <w:vAlign w:val="top"/>
          </w:tcPr>
          <w:p w14:paraId="5673BA2D">
            <w:pPr>
              <w:pStyle w:val="38"/>
              <w:widowControl w:val="0"/>
              <w:autoSpaceDE w:val="0"/>
              <w:autoSpaceDN w:val="0"/>
              <w:spacing w:before="208" w:line="229" w:lineRule="auto"/>
              <w:ind w:left="134"/>
            </w:pPr>
            <w:r>
              <w:rPr>
                <w:spacing w:val="5"/>
              </w:rPr>
              <w:t>实际绿化面积㎡</w:t>
            </w:r>
          </w:p>
        </w:tc>
        <w:tc>
          <w:tcPr>
            <w:tcW w:w="1116" w:type="dxa"/>
            <w:noWrap w:val="0"/>
            <w:vAlign w:val="top"/>
          </w:tcPr>
          <w:p w14:paraId="7895158F">
            <w:pPr>
              <w:pStyle w:val="38"/>
              <w:widowControl w:val="0"/>
              <w:autoSpaceDE w:val="0"/>
              <w:autoSpaceDN w:val="0"/>
              <w:spacing w:before="208" w:line="230" w:lineRule="auto"/>
              <w:ind w:left="582"/>
            </w:pPr>
            <w:r>
              <w:rPr>
                <w:spacing w:val="3"/>
              </w:rPr>
              <w:t>备注</w:t>
            </w:r>
          </w:p>
        </w:tc>
      </w:tr>
      <w:tr w14:paraId="5AF41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56288BEF">
            <w:pPr>
              <w:pStyle w:val="38"/>
              <w:widowControl w:val="0"/>
              <w:autoSpaceDE w:val="0"/>
              <w:autoSpaceDN w:val="0"/>
              <w:spacing w:before="229" w:line="190" w:lineRule="auto"/>
              <w:ind w:left="366"/>
            </w:pPr>
            <w:r>
              <w:t>1</w:t>
            </w:r>
          </w:p>
        </w:tc>
        <w:tc>
          <w:tcPr>
            <w:tcW w:w="3420" w:type="dxa"/>
            <w:noWrap w:val="0"/>
            <w:vAlign w:val="top"/>
          </w:tcPr>
          <w:p w14:paraId="65B4A792">
            <w:pPr>
              <w:pStyle w:val="38"/>
              <w:widowControl w:val="0"/>
              <w:autoSpaceDE w:val="0"/>
              <w:autoSpaceDN w:val="0"/>
              <w:spacing w:before="100" w:line="233" w:lineRule="auto"/>
              <w:ind w:left="906" w:right="97" w:hanging="797"/>
            </w:pPr>
            <w:r>
              <w:rPr>
                <w:spacing w:val="6"/>
              </w:rPr>
              <w:t>S326省道（港电西路-海堤</w:t>
            </w:r>
            <w:r>
              <w:t xml:space="preserve"> 路）</w:t>
            </w:r>
          </w:p>
        </w:tc>
        <w:tc>
          <w:tcPr>
            <w:tcW w:w="1350" w:type="dxa"/>
            <w:noWrap w:val="0"/>
            <w:vAlign w:val="top"/>
          </w:tcPr>
          <w:p w14:paraId="31808802">
            <w:pPr>
              <w:pStyle w:val="38"/>
              <w:widowControl w:val="0"/>
              <w:autoSpaceDE w:val="0"/>
              <w:autoSpaceDN w:val="0"/>
              <w:spacing w:before="230" w:line="189" w:lineRule="auto"/>
              <w:ind w:left="398"/>
            </w:pPr>
            <w:r>
              <w:rPr>
                <w:spacing w:val="2"/>
              </w:rPr>
              <w:t>48400</w:t>
            </w:r>
          </w:p>
        </w:tc>
        <w:tc>
          <w:tcPr>
            <w:tcW w:w="1783" w:type="dxa"/>
            <w:noWrap w:val="0"/>
            <w:vAlign w:val="top"/>
          </w:tcPr>
          <w:p w14:paraId="77E3CE69">
            <w:pPr>
              <w:widowControl w:val="0"/>
              <w:autoSpaceDE w:val="0"/>
              <w:autoSpaceDN w:val="0"/>
              <w:rPr>
                <w:rFonts w:ascii="Arial"/>
                <w:sz w:val="21"/>
              </w:rPr>
            </w:pPr>
          </w:p>
        </w:tc>
        <w:tc>
          <w:tcPr>
            <w:tcW w:w="1417" w:type="dxa"/>
            <w:noWrap w:val="0"/>
            <w:vAlign w:val="top"/>
          </w:tcPr>
          <w:p w14:paraId="2D5FB125">
            <w:pPr>
              <w:pStyle w:val="38"/>
              <w:widowControl w:val="0"/>
              <w:autoSpaceDE w:val="0"/>
              <w:autoSpaceDN w:val="0"/>
              <w:spacing w:before="230" w:line="189" w:lineRule="auto"/>
              <w:ind w:left="507"/>
            </w:pPr>
            <w:r>
              <w:rPr>
                <w:spacing w:val="2"/>
              </w:rPr>
              <w:t>48400</w:t>
            </w:r>
          </w:p>
        </w:tc>
        <w:tc>
          <w:tcPr>
            <w:tcW w:w="1116" w:type="dxa"/>
            <w:noWrap w:val="0"/>
            <w:vAlign w:val="top"/>
          </w:tcPr>
          <w:p w14:paraId="66DB74A7">
            <w:pPr>
              <w:pStyle w:val="38"/>
              <w:widowControl w:val="0"/>
              <w:autoSpaceDE w:val="0"/>
              <w:autoSpaceDN w:val="0"/>
              <w:spacing w:before="203" w:line="232" w:lineRule="auto"/>
              <w:ind w:left="497"/>
            </w:pPr>
            <w:r>
              <w:rPr>
                <w:spacing w:val="3"/>
              </w:rPr>
              <w:t>S326西</w:t>
            </w:r>
          </w:p>
        </w:tc>
      </w:tr>
      <w:tr w14:paraId="4507D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547C4570">
            <w:pPr>
              <w:pStyle w:val="38"/>
              <w:widowControl w:val="0"/>
              <w:autoSpaceDE w:val="0"/>
              <w:autoSpaceDN w:val="0"/>
              <w:spacing w:before="230" w:line="189" w:lineRule="auto"/>
              <w:ind w:left="355"/>
            </w:pPr>
            <w:r>
              <w:t>2</w:t>
            </w:r>
          </w:p>
        </w:tc>
        <w:tc>
          <w:tcPr>
            <w:tcW w:w="3420" w:type="dxa"/>
            <w:noWrap w:val="0"/>
            <w:vAlign w:val="top"/>
          </w:tcPr>
          <w:p w14:paraId="359924A2">
            <w:pPr>
              <w:pStyle w:val="38"/>
              <w:widowControl w:val="0"/>
              <w:autoSpaceDE w:val="0"/>
              <w:autoSpaceDN w:val="0"/>
              <w:spacing w:before="101" w:line="233" w:lineRule="auto"/>
              <w:ind w:left="910" w:right="97" w:hanging="801"/>
            </w:pPr>
            <w:r>
              <w:rPr>
                <w:spacing w:val="6"/>
              </w:rPr>
              <w:t>S326（港电路-海堤路中分</w:t>
            </w:r>
            <w:r>
              <w:t xml:space="preserve"> </w:t>
            </w:r>
            <w:r>
              <w:rPr>
                <w:spacing w:val="-2"/>
              </w:rPr>
              <w:t>带）</w:t>
            </w:r>
          </w:p>
        </w:tc>
        <w:tc>
          <w:tcPr>
            <w:tcW w:w="1350" w:type="dxa"/>
            <w:noWrap w:val="0"/>
            <w:vAlign w:val="top"/>
          </w:tcPr>
          <w:p w14:paraId="135F25B3">
            <w:pPr>
              <w:pStyle w:val="38"/>
              <w:widowControl w:val="0"/>
              <w:autoSpaceDE w:val="0"/>
              <w:autoSpaceDN w:val="0"/>
              <w:spacing w:before="230" w:line="189" w:lineRule="auto"/>
              <w:ind w:left="441"/>
            </w:pPr>
            <w:r>
              <w:rPr>
                <w:spacing w:val="2"/>
              </w:rPr>
              <w:t>6890</w:t>
            </w:r>
          </w:p>
        </w:tc>
        <w:tc>
          <w:tcPr>
            <w:tcW w:w="1783" w:type="dxa"/>
            <w:noWrap w:val="0"/>
            <w:vAlign w:val="top"/>
          </w:tcPr>
          <w:p w14:paraId="0E08AD1A">
            <w:pPr>
              <w:widowControl w:val="0"/>
              <w:autoSpaceDE w:val="0"/>
              <w:autoSpaceDN w:val="0"/>
              <w:rPr>
                <w:rFonts w:ascii="Arial"/>
                <w:sz w:val="21"/>
              </w:rPr>
            </w:pPr>
          </w:p>
        </w:tc>
        <w:tc>
          <w:tcPr>
            <w:tcW w:w="1417" w:type="dxa"/>
            <w:noWrap w:val="0"/>
            <w:vAlign w:val="top"/>
          </w:tcPr>
          <w:p w14:paraId="05CDB9B1">
            <w:pPr>
              <w:pStyle w:val="38"/>
              <w:widowControl w:val="0"/>
              <w:autoSpaceDE w:val="0"/>
              <w:autoSpaceDN w:val="0"/>
              <w:spacing w:before="230" w:line="189" w:lineRule="auto"/>
              <w:ind w:left="552"/>
            </w:pPr>
            <w:r>
              <w:rPr>
                <w:spacing w:val="2"/>
              </w:rPr>
              <w:t>6890</w:t>
            </w:r>
          </w:p>
        </w:tc>
        <w:tc>
          <w:tcPr>
            <w:tcW w:w="1116" w:type="dxa"/>
            <w:noWrap w:val="0"/>
            <w:vAlign w:val="top"/>
          </w:tcPr>
          <w:p w14:paraId="666BCA49">
            <w:pPr>
              <w:pStyle w:val="38"/>
              <w:widowControl w:val="0"/>
              <w:autoSpaceDE w:val="0"/>
              <w:autoSpaceDN w:val="0"/>
              <w:spacing w:before="203" w:line="232" w:lineRule="auto"/>
              <w:ind w:left="497"/>
            </w:pPr>
            <w:r>
              <w:rPr>
                <w:spacing w:val="3"/>
              </w:rPr>
              <w:t>S326西</w:t>
            </w:r>
          </w:p>
        </w:tc>
      </w:tr>
      <w:tr w14:paraId="4D0A0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3C0ABA61">
            <w:pPr>
              <w:pStyle w:val="38"/>
              <w:widowControl w:val="0"/>
              <w:autoSpaceDE w:val="0"/>
              <w:autoSpaceDN w:val="0"/>
              <w:spacing w:before="231" w:line="189" w:lineRule="auto"/>
              <w:ind w:left="357"/>
            </w:pPr>
            <w:r>
              <w:t>3</w:t>
            </w:r>
          </w:p>
        </w:tc>
        <w:tc>
          <w:tcPr>
            <w:tcW w:w="3420" w:type="dxa"/>
            <w:noWrap w:val="0"/>
            <w:vAlign w:val="top"/>
          </w:tcPr>
          <w:p w14:paraId="693764F6">
            <w:pPr>
              <w:pStyle w:val="38"/>
              <w:widowControl w:val="0"/>
              <w:autoSpaceDE w:val="0"/>
              <w:autoSpaceDN w:val="0"/>
              <w:spacing w:before="204" w:line="229" w:lineRule="auto"/>
              <w:ind w:left="194"/>
            </w:pPr>
            <w:r>
              <w:rPr>
                <w:spacing w:val="5"/>
              </w:rPr>
              <w:t>228国道（326-灌江大道</w:t>
            </w:r>
          </w:p>
        </w:tc>
        <w:tc>
          <w:tcPr>
            <w:tcW w:w="1350" w:type="dxa"/>
            <w:noWrap w:val="0"/>
            <w:vAlign w:val="top"/>
          </w:tcPr>
          <w:p w14:paraId="7D854BF2">
            <w:pPr>
              <w:pStyle w:val="38"/>
              <w:widowControl w:val="0"/>
              <w:autoSpaceDE w:val="0"/>
              <w:autoSpaceDN w:val="0"/>
              <w:spacing w:before="230" w:line="190" w:lineRule="auto"/>
              <w:ind w:left="368"/>
            </w:pPr>
            <w:r>
              <w:t>185305</w:t>
            </w:r>
          </w:p>
        </w:tc>
        <w:tc>
          <w:tcPr>
            <w:tcW w:w="1783" w:type="dxa"/>
            <w:noWrap w:val="0"/>
            <w:vAlign w:val="top"/>
          </w:tcPr>
          <w:p w14:paraId="35D8A14B">
            <w:pPr>
              <w:pStyle w:val="38"/>
              <w:widowControl w:val="0"/>
              <w:autoSpaceDE w:val="0"/>
              <w:autoSpaceDN w:val="0"/>
              <w:spacing w:before="204" w:line="229" w:lineRule="auto"/>
              <w:ind w:left="533"/>
            </w:pPr>
            <w:r>
              <w:rPr>
                <w:spacing w:val="4"/>
              </w:rPr>
              <w:t>移植8000</w:t>
            </w:r>
          </w:p>
        </w:tc>
        <w:tc>
          <w:tcPr>
            <w:tcW w:w="1417" w:type="dxa"/>
            <w:noWrap w:val="0"/>
            <w:vAlign w:val="top"/>
          </w:tcPr>
          <w:p w14:paraId="2F9DD8B6">
            <w:pPr>
              <w:pStyle w:val="38"/>
              <w:widowControl w:val="0"/>
              <w:autoSpaceDE w:val="0"/>
              <w:autoSpaceDN w:val="0"/>
              <w:spacing w:before="230" w:line="190" w:lineRule="auto"/>
              <w:ind w:left="479"/>
            </w:pPr>
            <w:r>
              <w:t>193305</w:t>
            </w:r>
          </w:p>
        </w:tc>
        <w:tc>
          <w:tcPr>
            <w:tcW w:w="1116" w:type="dxa"/>
            <w:noWrap w:val="0"/>
            <w:vAlign w:val="top"/>
          </w:tcPr>
          <w:p w14:paraId="4F032BC7">
            <w:pPr>
              <w:pStyle w:val="38"/>
              <w:widowControl w:val="0"/>
              <w:autoSpaceDE w:val="0"/>
              <w:autoSpaceDN w:val="0"/>
              <w:spacing w:before="204" w:line="232" w:lineRule="auto"/>
              <w:ind w:left="497"/>
            </w:pPr>
            <w:r>
              <w:rPr>
                <w:spacing w:val="3"/>
              </w:rPr>
              <w:t>S326西</w:t>
            </w:r>
          </w:p>
        </w:tc>
      </w:tr>
      <w:tr w14:paraId="6860F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783" w:type="dxa"/>
            <w:noWrap w:val="0"/>
            <w:vAlign w:val="top"/>
          </w:tcPr>
          <w:p w14:paraId="621E2546">
            <w:pPr>
              <w:widowControl w:val="0"/>
              <w:autoSpaceDE w:val="0"/>
              <w:autoSpaceDN w:val="0"/>
              <w:spacing w:line="365" w:lineRule="auto"/>
              <w:rPr>
                <w:rFonts w:ascii="Arial"/>
                <w:sz w:val="21"/>
              </w:rPr>
            </w:pPr>
          </w:p>
          <w:p w14:paraId="3CF4E85F">
            <w:pPr>
              <w:pStyle w:val="38"/>
              <w:widowControl w:val="0"/>
              <w:autoSpaceDE w:val="0"/>
              <w:autoSpaceDN w:val="0"/>
              <w:spacing w:before="52" w:line="189" w:lineRule="auto"/>
              <w:ind w:left="353"/>
            </w:pPr>
            <w:r>
              <w:t>4</w:t>
            </w:r>
          </w:p>
        </w:tc>
        <w:tc>
          <w:tcPr>
            <w:tcW w:w="3420" w:type="dxa"/>
            <w:noWrap w:val="0"/>
            <w:vAlign w:val="top"/>
          </w:tcPr>
          <w:p w14:paraId="2A296D54">
            <w:pPr>
              <w:pStyle w:val="38"/>
              <w:widowControl w:val="0"/>
              <w:autoSpaceDE w:val="0"/>
              <w:autoSpaceDN w:val="0"/>
              <w:spacing w:before="291" w:line="229" w:lineRule="auto"/>
              <w:ind w:left="110"/>
            </w:pPr>
            <w:r>
              <w:rPr>
                <w:spacing w:val="7"/>
              </w:rPr>
              <w:t>灌江大道西侧（成日钢铁-</w:t>
            </w:r>
          </w:p>
          <w:p w14:paraId="7A4710D0">
            <w:pPr>
              <w:pStyle w:val="38"/>
              <w:widowControl w:val="0"/>
              <w:autoSpaceDE w:val="0"/>
              <w:autoSpaceDN w:val="0"/>
              <w:spacing w:before="5" w:line="229" w:lineRule="auto"/>
              <w:ind w:left="670"/>
            </w:pPr>
            <w:r>
              <w:rPr>
                <w:spacing w:val="1"/>
              </w:rPr>
              <w:t>国华电厂）</w:t>
            </w:r>
          </w:p>
        </w:tc>
        <w:tc>
          <w:tcPr>
            <w:tcW w:w="1350" w:type="dxa"/>
            <w:noWrap w:val="0"/>
            <w:vAlign w:val="top"/>
          </w:tcPr>
          <w:p w14:paraId="5CEBACC7">
            <w:pPr>
              <w:widowControl w:val="0"/>
              <w:autoSpaceDE w:val="0"/>
              <w:autoSpaceDN w:val="0"/>
              <w:spacing w:line="364" w:lineRule="auto"/>
              <w:rPr>
                <w:rFonts w:ascii="Arial"/>
                <w:sz w:val="21"/>
              </w:rPr>
            </w:pPr>
          </w:p>
          <w:p w14:paraId="3A280CF7">
            <w:pPr>
              <w:pStyle w:val="38"/>
              <w:widowControl w:val="0"/>
              <w:autoSpaceDE w:val="0"/>
              <w:autoSpaceDN w:val="0"/>
              <w:spacing w:before="52" w:line="190" w:lineRule="auto"/>
              <w:ind w:left="411"/>
            </w:pPr>
            <w:r>
              <w:t>11086</w:t>
            </w:r>
          </w:p>
        </w:tc>
        <w:tc>
          <w:tcPr>
            <w:tcW w:w="1783" w:type="dxa"/>
            <w:noWrap w:val="0"/>
            <w:vAlign w:val="top"/>
          </w:tcPr>
          <w:p w14:paraId="1B6F41DB">
            <w:pPr>
              <w:pStyle w:val="38"/>
              <w:widowControl w:val="0"/>
              <w:autoSpaceDE w:val="0"/>
              <w:autoSpaceDN w:val="0"/>
              <w:spacing w:before="87" w:line="229" w:lineRule="auto"/>
              <w:ind w:left="111"/>
            </w:pPr>
            <w:r>
              <w:rPr>
                <w:spacing w:val="6"/>
              </w:rPr>
              <w:t>海丰船厂节点350+宏</w:t>
            </w:r>
          </w:p>
          <w:p w14:paraId="5D7108BF">
            <w:pPr>
              <w:pStyle w:val="38"/>
              <w:widowControl w:val="0"/>
              <w:autoSpaceDE w:val="0"/>
              <w:autoSpaceDN w:val="0"/>
              <w:spacing w:before="5" w:line="229" w:lineRule="auto"/>
              <w:ind w:left="111"/>
            </w:pPr>
            <w:r>
              <w:rPr>
                <w:spacing w:val="5"/>
              </w:rPr>
              <w:t>海码头-团港闸8500+</w:t>
            </w:r>
          </w:p>
          <w:p w14:paraId="3BF3340D">
            <w:pPr>
              <w:pStyle w:val="38"/>
              <w:widowControl w:val="0"/>
              <w:autoSpaceDE w:val="0"/>
              <w:autoSpaceDN w:val="0"/>
              <w:spacing w:before="5" w:line="229" w:lineRule="auto"/>
              <w:ind w:left="196"/>
            </w:pPr>
            <w:r>
              <w:rPr>
                <w:spacing w:val="7"/>
              </w:rPr>
              <w:t>宏海港务南侧节点</w:t>
            </w:r>
          </w:p>
          <w:p w14:paraId="530901F6">
            <w:pPr>
              <w:pStyle w:val="38"/>
              <w:widowControl w:val="0"/>
              <w:autoSpaceDE w:val="0"/>
              <w:autoSpaceDN w:val="0"/>
              <w:spacing w:before="31" w:line="190" w:lineRule="auto"/>
              <w:ind w:left="712"/>
            </w:pPr>
            <w:r>
              <w:rPr>
                <w:spacing w:val="-1"/>
              </w:rPr>
              <w:t>1400</w:t>
            </w:r>
          </w:p>
        </w:tc>
        <w:tc>
          <w:tcPr>
            <w:tcW w:w="1417" w:type="dxa"/>
            <w:noWrap w:val="0"/>
            <w:vAlign w:val="top"/>
          </w:tcPr>
          <w:p w14:paraId="6EF60AA9">
            <w:pPr>
              <w:widowControl w:val="0"/>
              <w:autoSpaceDE w:val="0"/>
              <w:autoSpaceDN w:val="0"/>
              <w:spacing w:line="364" w:lineRule="auto"/>
              <w:rPr>
                <w:rFonts w:ascii="Arial"/>
                <w:sz w:val="21"/>
              </w:rPr>
            </w:pPr>
          </w:p>
          <w:p w14:paraId="5B52045A">
            <w:pPr>
              <w:pStyle w:val="38"/>
              <w:widowControl w:val="0"/>
              <w:autoSpaceDE w:val="0"/>
              <w:autoSpaceDN w:val="0"/>
              <w:spacing w:before="52" w:line="190" w:lineRule="auto"/>
              <w:ind w:left="510"/>
            </w:pPr>
            <w:r>
              <w:rPr>
                <w:spacing w:val="2"/>
              </w:rPr>
              <w:t>21336</w:t>
            </w:r>
          </w:p>
        </w:tc>
        <w:tc>
          <w:tcPr>
            <w:tcW w:w="1116" w:type="dxa"/>
            <w:noWrap w:val="0"/>
            <w:vAlign w:val="top"/>
          </w:tcPr>
          <w:p w14:paraId="2F28E3B3">
            <w:pPr>
              <w:widowControl w:val="0"/>
              <w:autoSpaceDE w:val="0"/>
              <w:autoSpaceDN w:val="0"/>
              <w:spacing w:line="338" w:lineRule="auto"/>
              <w:rPr>
                <w:rFonts w:ascii="Arial"/>
                <w:sz w:val="21"/>
              </w:rPr>
            </w:pPr>
          </w:p>
          <w:p w14:paraId="5E50CA14">
            <w:pPr>
              <w:pStyle w:val="38"/>
              <w:widowControl w:val="0"/>
              <w:autoSpaceDE w:val="0"/>
              <w:autoSpaceDN w:val="0"/>
              <w:spacing w:before="52" w:line="232" w:lineRule="auto"/>
              <w:ind w:left="497"/>
            </w:pPr>
            <w:r>
              <w:rPr>
                <w:spacing w:val="3"/>
              </w:rPr>
              <w:t>S326西</w:t>
            </w:r>
          </w:p>
        </w:tc>
      </w:tr>
      <w:tr w14:paraId="2032C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0494B524">
            <w:pPr>
              <w:pStyle w:val="38"/>
              <w:widowControl w:val="0"/>
              <w:autoSpaceDE w:val="0"/>
              <w:autoSpaceDN w:val="0"/>
              <w:spacing w:before="233" w:line="188" w:lineRule="auto"/>
              <w:ind w:left="357"/>
            </w:pPr>
            <w:r>
              <w:t>5</w:t>
            </w:r>
          </w:p>
        </w:tc>
        <w:tc>
          <w:tcPr>
            <w:tcW w:w="3420" w:type="dxa"/>
            <w:noWrap w:val="0"/>
            <w:vAlign w:val="top"/>
          </w:tcPr>
          <w:p w14:paraId="523B78DD">
            <w:pPr>
              <w:pStyle w:val="38"/>
              <w:widowControl w:val="0"/>
              <w:autoSpaceDE w:val="0"/>
              <w:autoSpaceDN w:val="0"/>
              <w:spacing w:before="205" w:line="229" w:lineRule="auto"/>
              <w:ind w:left="151"/>
            </w:pPr>
            <w:r>
              <w:rPr>
                <w:spacing w:val="5"/>
              </w:rPr>
              <w:t>锦绣路（326-灌江大道）</w:t>
            </w:r>
          </w:p>
        </w:tc>
        <w:tc>
          <w:tcPr>
            <w:tcW w:w="1350" w:type="dxa"/>
            <w:noWrap w:val="0"/>
            <w:vAlign w:val="top"/>
          </w:tcPr>
          <w:p w14:paraId="5B077291">
            <w:pPr>
              <w:pStyle w:val="38"/>
              <w:widowControl w:val="0"/>
              <w:autoSpaceDE w:val="0"/>
              <w:autoSpaceDN w:val="0"/>
              <w:spacing w:before="231" w:line="190" w:lineRule="auto"/>
              <w:ind w:left="411"/>
            </w:pPr>
            <w:r>
              <w:t>12715</w:t>
            </w:r>
          </w:p>
        </w:tc>
        <w:tc>
          <w:tcPr>
            <w:tcW w:w="1783" w:type="dxa"/>
            <w:noWrap w:val="0"/>
            <w:vAlign w:val="top"/>
          </w:tcPr>
          <w:p w14:paraId="17FBF56A">
            <w:pPr>
              <w:pStyle w:val="38"/>
              <w:widowControl w:val="0"/>
              <w:autoSpaceDE w:val="0"/>
              <w:autoSpaceDN w:val="0"/>
              <w:spacing w:before="205" w:line="229" w:lineRule="auto"/>
              <w:ind w:left="199"/>
            </w:pPr>
            <w:r>
              <w:rPr>
                <w:spacing w:val="5"/>
              </w:rPr>
              <w:t>苏夏门口草坪6500</w:t>
            </w:r>
          </w:p>
        </w:tc>
        <w:tc>
          <w:tcPr>
            <w:tcW w:w="1417" w:type="dxa"/>
            <w:noWrap w:val="0"/>
            <w:vAlign w:val="top"/>
          </w:tcPr>
          <w:p w14:paraId="33A5DC56">
            <w:pPr>
              <w:pStyle w:val="38"/>
              <w:widowControl w:val="0"/>
              <w:autoSpaceDE w:val="0"/>
              <w:autoSpaceDN w:val="0"/>
              <w:spacing w:before="231" w:line="190" w:lineRule="auto"/>
              <w:ind w:left="520"/>
            </w:pPr>
            <w:r>
              <w:t>19215</w:t>
            </w:r>
          </w:p>
        </w:tc>
        <w:tc>
          <w:tcPr>
            <w:tcW w:w="1116" w:type="dxa"/>
            <w:noWrap w:val="0"/>
            <w:vAlign w:val="top"/>
          </w:tcPr>
          <w:p w14:paraId="0524F4CE">
            <w:pPr>
              <w:pStyle w:val="38"/>
              <w:widowControl w:val="0"/>
              <w:autoSpaceDE w:val="0"/>
              <w:autoSpaceDN w:val="0"/>
              <w:spacing w:before="205" w:line="232" w:lineRule="auto"/>
              <w:ind w:left="497"/>
            </w:pPr>
            <w:r>
              <w:rPr>
                <w:spacing w:val="3"/>
              </w:rPr>
              <w:t>S326西</w:t>
            </w:r>
          </w:p>
        </w:tc>
      </w:tr>
      <w:tr w14:paraId="24BD3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83" w:type="dxa"/>
            <w:noWrap w:val="0"/>
            <w:vAlign w:val="top"/>
          </w:tcPr>
          <w:p w14:paraId="03195C60">
            <w:pPr>
              <w:pStyle w:val="38"/>
              <w:widowControl w:val="0"/>
              <w:autoSpaceDE w:val="0"/>
              <w:autoSpaceDN w:val="0"/>
              <w:spacing w:before="232" w:line="189" w:lineRule="auto"/>
              <w:ind w:left="355"/>
            </w:pPr>
            <w:r>
              <w:t>6</w:t>
            </w:r>
          </w:p>
        </w:tc>
        <w:tc>
          <w:tcPr>
            <w:tcW w:w="3420" w:type="dxa"/>
            <w:noWrap w:val="0"/>
            <w:vAlign w:val="top"/>
          </w:tcPr>
          <w:p w14:paraId="41C6E999">
            <w:pPr>
              <w:pStyle w:val="38"/>
              <w:widowControl w:val="0"/>
              <w:autoSpaceDE w:val="0"/>
              <w:autoSpaceDN w:val="0"/>
              <w:spacing w:before="205" w:line="229" w:lineRule="auto"/>
              <w:ind w:left="234"/>
            </w:pPr>
            <w:r>
              <w:rPr>
                <w:spacing w:val="5"/>
              </w:rPr>
              <w:t>开创路（326-黄河路）</w:t>
            </w:r>
          </w:p>
        </w:tc>
        <w:tc>
          <w:tcPr>
            <w:tcW w:w="1350" w:type="dxa"/>
            <w:noWrap w:val="0"/>
            <w:vAlign w:val="top"/>
          </w:tcPr>
          <w:p w14:paraId="73829DF1">
            <w:pPr>
              <w:pStyle w:val="38"/>
              <w:widowControl w:val="0"/>
              <w:autoSpaceDE w:val="0"/>
              <w:autoSpaceDN w:val="0"/>
              <w:spacing w:before="232" w:line="190" w:lineRule="auto"/>
              <w:ind w:left="411"/>
            </w:pPr>
            <w:r>
              <w:t>13557</w:t>
            </w:r>
          </w:p>
        </w:tc>
        <w:tc>
          <w:tcPr>
            <w:tcW w:w="1783" w:type="dxa"/>
            <w:noWrap w:val="0"/>
            <w:vAlign w:val="top"/>
          </w:tcPr>
          <w:p w14:paraId="02CAA599">
            <w:pPr>
              <w:pStyle w:val="38"/>
              <w:widowControl w:val="0"/>
              <w:autoSpaceDE w:val="0"/>
              <w:autoSpaceDN w:val="0"/>
              <w:spacing w:before="103" w:line="233" w:lineRule="auto"/>
              <w:ind w:left="532" w:right="52" w:hanging="460"/>
            </w:pPr>
            <w:r>
              <w:rPr>
                <w:spacing w:val="5"/>
              </w:rPr>
              <w:t>智能产业园5031+两侧</w:t>
            </w:r>
            <w:r>
              <w:rPr>
                <w:spacing w:val="4"/>
              </w:rPr>
              <w:t xml:space="preserve"> 草坪7632</w:t>
            </w:r>
          </w:p>
        </w:tc>
        <w:tc>
          <w:tcPr>
            <w:tcW w:w="1417" w:type="dxa"/>
            <w:noWrap w:val="0"/>
            <w:vAlign w:val="top"/>
          </w:tcPr>
          <w:p w14:paraId="3FB9C55B">
            <w:pPr>
              <w:pStyle w:val="38"/>
              <w:widowControl w:val="0"/>
              <w:autoSpaceDE w:val="0"/>
              <w:autoSpaceDN w:val="0"/>
              <w:spacing w:before="232" w:line="189" w:lineRule="auto"/>
              <w:ind w:left="510"/>
            </w:pPr>
            <w:r>
              <w:rPr>
                <w:spacing w:val="2"/>
              </w:rPr>
              <w:t>26220</w:t>
            </w:r>
          </w:p>
        </w:tc>
        <w:tc>
          <w:tcPr>
            <w:tcW w:w="1116" w:type="dxa"/>
            <w:noWrap w:val="0"/>
            <w:vAlign w:val="top"/>
          </w:tcPr>
          <w:p w14:paraId="067D0083">
            <w:pPr>
              <w:pStyle w:val="38"/>
              <w:widowControl w:val="0"/>
              <w:autoSpaceDE w:val="0"/>
              <w:autoSpaceDN w:val="0"/>
              <w:spacing w:before="206" w:line="232" w:lineRule="auto"/>
              <w:ind w:left="497"/>
            </w:pPr>
            <w:r>
              <w:rPr>
                <w:spacing w:val="3"/>
              </w:rPr>
              <w:t>S326西</w:t>
            </w:r>
          </w:p>
        </w:tc>
      </w:tr>
      <w:tr w14:paraId="06023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6A9D071B">
            <w:pPr>
              <w:pStyle w:val="38"/>
              <w:widowControl w:val="0"/>
              <w:autoSpaceDE w:val="0"/>
              <w:autoSpaceDN w:val="0"/>
              <w:spacing w:before="233" w:line="188" w:lineRule="auto"/>
              <w:ind w:left="357"/>
            </w:pPr>
            <w:r>
              <w:t>7</w:t>
            </w:r>
          </w:p>
        </w:tc>
        <w:tc>
          <w:tcPr>
            <w:tcW w:w="3420" w:type="dxa"/>
            <w:noWrap w:val="0"/>
            <w:vAlign w:val="top"/>
          </w:tcPr>
          <w:p w14:paraId="661DE74A">
            <w:pPr>
              <w:pStyle w:val="38"/>
              <w:widowControl w:val="0"/>
              <w:autoSpaceDE w:val="0"/>
              <w:autoSpaceDN w:val="0"/>
              <w:spacing w:before="105" w:line="232" w:lineRule="auto"/>
              <w:ind w:left="823" w:right="97" w:hanging="714"/>
            </w:pPr>
            <w:r>
              <w:rPr>
                <w:spacing w:val="7"/>
              </w:rPr>
              <w:t>开创路西延（黄河路-灌江</w:t>
            </w:r>
            <w:r>
              <w:t xml:space="preserve"> </w:t>
            </w:r>
            <w:r>
              <w:rPr>
                <w:spacing w:val="2"/>
              </w:rPr>
              <w:t>大道）</w:t>
            </w:r>
          </w:p>
        </w:tc>
        <w:tc>
          <w:tcPr>
            <w:tcW w:w="1350" w:type="dxa"/>
            <w:noWrap w:val="0"/>
            <w:vAlign w:val="top"/>
          </w:tcPr>
          <w:p w14:paraId="60601FBB">
            <w:pPr>
              <w:pStyle w:val="38"/>
              <w:widowControl w:val="0"/>
              <w:autoSpaceDE w:val="0"/>
              <w:autoSpaceDN w:val="0"/>
              <w:spacing w:before="232" w:line="190" w:lineRule="auto"/>
              <w:ind w:left="443"/>
            </w:pPr>
            <w:r>
              <w:rPr>
                <w:spacing w:val="1"/>
              </w:rPr>
              <w:t>5144</w:t>
            </w:r>
          </w:p>
        </w:tc>
        <w:tc>
          <w:tcPr>
            <w:tcW w:w="1783" w:type="dxa"/>
            <w:noWrap w:val="0"/>
            <w:vAlign w:val="top"/>
          </w:tcPr>
          <w:p w14:paraId="211720B8">
            <w:pPr>
              <w:widowControl w:val="0"/>
              <w:autoSpaceDE w:val="0"/>
              <w:autoSpaceDN w:val="0"/>
              <w:rPr>
                <w:rFonts w:ascii="Arial"/>
                <w:sz w:val="21"/>
              </w:rPr>
            </w:pPr>
          </w:p>
        </w:tc>
        <w:tc>
          <w:tcPr>
            <w:tcW w:w="1417" w:type="dxa"/>
            <w:noWrap w:val="0"/>
            <w:vAlign w:val="top"/>
          </w:tcPr>
          <w:p w14:paraId="423FBA44">
            <w:pPr>
              <w:pStyle w:val="38"/>
              <w:widowControl w:val="0"/>
              <w:autoSpaceDE w:val="0"/>
              <w:autoSpaceDN w:val="0"/>
              <w:spacing w:before="232" w:line="190" w:lineRule="auto"/>
              <w:ind w:left="554"/>
            </w:pPr>
            <w:r>
              <w:rPr>
                <w:spacing w:val="1"/>
              </w:rPr>
              <w:t>5144</w:t>
            </w:r>
          </w:p>
        </w:tc>
        <w:tc>
          <w:tcPr>
            <w:tcW w:w="1116" w:type="dxa"/>
            <w:noWrap w:val="0"/>
            <w:vAlign w:val="top"/>
          </w:tcPr>
          <w:p w14:paraId="47D59F42">
            <w:pPr>
              <w:pStyle w:val="38"/>
              <w:widowControl w:val="0"/>
              <w:autoSpaceDE w:val="0"/>
              <w:autoSpaceDN w:val="0"/>
              <w:spacing w:before="206" w:line="232" w:lineRule="auto"/>
              <w:ind w:left="497"/>
            </w:pPr>
            <w:r>
              <w:rPr>
                <w:spacing w:val="3"/>
              </w:rPr>
              <w:t>S326西</w:t>
            </w:r>
          </w:p>
        </w:tc>
      </w:tr>
      <w:tr w14:paraId="0E902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2D3571CE">
            <w:pPr>
              <w:pStyle w:val="38"/>
              <w:widowControl w:val="0"/>
              <w:autoSpaceDE w:val="0"/>
              <w:autoSpaceDN w:val="0"/>
              <w:spacing w:before="233" w:line="189" w:lineRule="auto"/>
              <w:ind w:left="354"/>
            </w:pPr>
            <w:r>
              <w:t>8</w:t>
            </w:r>
          </w:p>
        </w:tc>
        <w:tc>
          <w:tcPr>
            <w:tcW w:w="3420" w:type="dxa"/>
            <w:noWrap w:val="0"/>
            <w:vAlign w:val="top"/>
          </w:tcPr>
          <w:p w14:paraId="4E2CB97B">
            <w:pPr>
              <w:pStyle w:val="38"/>
              <w:widowControl w:val="0"/>
              <w:autoSpaceDE w:val="0"/>
              <w:autoSpaceDN w:val="0"/>
              <w:spacing w:before="104" w:line="233" w:lineRule="auto"/>
              <w:ind w:left="906" w:right="181" w:hanging="715"/>
            </w:pPr>
            <w:r>
              <w:rPr>
                <w:spacing w:val="7"/>
              </w:rPr>
              <w:t>黄河路（锦绣路-港电西</w:t>
            </w:r>
            <w:r>
              <w:t xml:space="preserve"> 路）</w:t>
            </w:r>
          </w:p>
        </w:tc>
        <w:tc>
          <w:tcPr>
            <w:tcW w:w="1350" w:type="dxa"/>
            <w:noWrap w:val="0"/>
            <w:vAlign w:val="top"/>
          </w:tcPr>
          <w:p w14:paraId="63C06BCB">
            <w:pPr>
              <w:pStyle w:val="38"/>
              <w:widowControl w:val="0"/>
              <w:autoSpaceDE w:val="0"/>
              <w:autoSpaceDN w:val="0"/>
              <w:spacing w:before="232" w:line="190" w:lineRule="auto"/>
              <w:ind w:left="411"/>
            </w:pPr>
            <w:r>
              <w:t>17900</w:t>
            </w:r>
          </w:p>
        </w:tc>
        <w:tc>
          <w:tcPr>
            <w:tcW w:w="1783" w:type="dxa"/>
            <w:noWrap w:val="0"/>
            <w:vAlign w:val="top"/>
          </w:tcPr>
          <w:p w14:paraId="55A36537">
            <w:pPr>
              <w:widowControl w:val="0"/>
              <w:autoSpaceDE w:val="0"/>
              <w:autoSpaceDN w:val="0"/>
              <w:rPr>
                <w:rFonts w:ascii="Arial"/>
                <w:sz w:val="21"/>
              </w:rPr>
            </w:pPr>
          </w:p>
        </w:tc>
        <w:tc>
          <w:tcPr>
            <w:tcW w:w="1417" w:type="dxa"/>
            <w:noWrap w:val="0"/>
            <w:vAlign w:val="top"/>
          </w:tcPr>
          <w:p w14:paraId="35047473">
            <w:pPr>
              <w:pStyle w:val="38"/>
              <w:widowControl w:val="0"/>
              <w:autoSpaceDE w:val="0"/>
              <w:autoSpaceDN w:val="0"/>
              <w:spacing w:before="232" w:line="190" w:lineRule="auto"/>
              <w:ind w:left="520"/>
            </w:pPr>
            <w:r>
              <w:t>17900</w:t>
            </w:r>
          </w:p>
        </w:tc>
        <w:tc>
          <w:tcPr>
            <w:tcW w:w="1116" w:type="dxa"/>
            <w:noWrap w:val="0"/>
            <w:vAlign w:val="top"/>
          </w:tcPr>
          <w:p w14:paraId="6315E162">
            <w:pPr>
              <w:pStyle w:val="38"/>
              <w:widowControl w:val="0"/>
              <w:autoSpaceDE w:val="0"/>
              <w:autoSpaceDN w:val="0"/>
              <w:spacing w:before="206" w:line="232" w:lineRule="auto"/>
              <w:ind w:left="497"/>
            </w:pPr>
            <w:r>
              <w:rPr>
                <w:spacing w:val="3"/>
              </w:rPr>
              <w:t>S326西</w:t>
            </w:r>
          </w:p>
        </w:tc>
      </w:tr>
      <w:tr w14:paraId="31432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120BBED7">
            <w:pPr>
              <w:pStyle w:val="38"/>
              <w:widowControl w:val="0"/>
              <w:autoSpaceDE w:val="0"/>
              <w:autoSpaceDN w:val="0"/>
              <w:spacing w:before="234" w:line="189" w:lineRule="auto"/>
              <w:ind w:left="354"/>
            </w:pPr>
            <w:r>
              <w:t>9</w:t>
            </w:r>
          </w:p>
        </w:tc>
        <w:tc>
          <w:tcPr>
            <w:tcW w:w="3420" w:type="dxa"/>
            <w:noWrap w:val="0"/>
            <w:vAlign w:val="top"/>
          </w:tcPr>
          <w:p w14:paraId="0D45EC5C">
            <w:pPr>
              <w:pStyle w:val="38"/>
              <w:widowControl w:val="0"/>
              <w:autoSpaceDE w:val="0"/>
              <w:autoSpaceDN w:val="0"/>
              <w:spacing w:before="106" w:line="232" w:lineRule="auto"/>
              <w:ind w:left="906" w:right="97" w:hanging="799"/>
            </w:pPr>
            <w:r>
              <w:rPr>
                <w:spacing w:val="7"/>
              </w:rPr>
              <w:t>黄河路（港电西路-创业西</w:t>
            </w:r>
            <w:r>
              <w:rPr>
                <w:spacing w:val="1"/>
              </w:rPr>
              <w:t xml:space="preserve"> </w:t>
            </w:r>
            <w:r>
              <w:t>路）</w:t>
            </w:r>
          </w:p>
        </w:tc>
        <w:tc>
          <w:tcPr>
            <w:tcW w:w="1350" w:type="dxa"/>
            <w:noWrap w:val="0"/>
            <w:vAlign w:val="top"/>
          </w:tcPr>
          <w:p w14:paraId="2AC9D2E3">
            <w:pPr>
              <w:pStyle w:val="38"/>
              <w:widowControl w:val="0"/>
              <w:autoSpaceDE w:val="0"/>
              <w:autoSpaceDN w:val="0"/>
              <w:spacing w:before="234" w:line="189" w:lineRule="auto"/>
              <w:ind w:left="401"/>
            </w:pPr>
            <w:r>
              <w:rPr>
                <w:spacing w:val="2"/>
              </w:rPr>
              <w:t>26992</w:t>
            </w:r>
          </w:p>
        </w:tc>
        <w:tc>
          <w:tcPr>
            <w:tcW w:w="1783" w:type="dxa"/>
            <w:noWrap w:val="0"/>
            <w:vAlign w:val="top"/>
          </w:tcPr>
          <w:p w14:paraId="4499D7A4">
            <w:pPr>
              <w:widowControl w:val="0"/>
              <w:autoSpaceDE w:val="0"/>
              <w:autoSpaceDN w:val="0"/>
              <w:rPr>
                <w:rFonts w:ascii="Arial"/>
                <w:sz w:val="21"/>
              </w:rPr>
            </w:pPr>
          </w:p>
        </w:tc>
        <w:tc>
          <w:tcPr>
            <w:tcW w:w="1417" w:type="dxa"/>
            <w:noWrap w:val="0"/>
            <w:vAlign w:val="top"/>
          </w:tcPr>
          <w:p w14:paraId="57FD01D9">
            <w:pPr>
              <w:pStyle w:val="38"/>
              <w:widowControl w:val="0"/>
              <w:autoSpaceDE w:val="0"/>
              <w:autoSpaceDN w:val="0"/>
              <w:spacing w:before="234" w:line="189" w:lineRule="auto"/>
              <w:ind w:left="510"/>
            </w:pPr>
            <w:r>
              <w:rPr>
                <w:spacing w:val="2"/>
              </w:rPr>
              <w:t>26992</w:t>
            </w:r>
          </w:p>
        </w:tc>
        <w:tc>
          <w:tcPr>
            <w:tcW w:w="1116" w:type="dxa"/>
            <w:noWrap w:val="0"/>
            <w:vAlign w:val="top"/>
          </w:tcPr>
          <w:p w14:paraId="23A8F075">
            <w:pPr>
              <w:pStyle w:val="38"/>
              <w:widowControl w:val="0"/>
              <w:autoSpaceDE w:val="0"/>
              <w:autoSpaceDN w:val="0"/>
              <w:spacing w:before="207" w:line="232" w:lineRule="auto"/>
              <w:ind w:left="497"/>
            </w:pPr>
            <w:r>
              <w:rPr>
                <w:spacing w:val="3"/>
              </w:rPr>
              <w:t>S326西</w:t>
            </w:r>
          </w:p>
        </w:tc>
      </w:tr>
      <w:tr w14:paraId="714B4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009EDFA8">
            <w:pPr>
              <w:pStyle w:val="38"/>
              <w:widowControl w:val="0"/>
              <w:autoSpaceDE w:val="0"/>
              <w:autoSpaceDN w:val="0"/>
              <w:spacing w:before="233" w:line="190" w:lineRule="auto"/>
              <w:ind w:left="325"/>
            </w:pPr>
            <w:r>
              <w:rPr>
                <w:spacing w:val="-6"/>
              </w:rPr>
              <w:t>10</w:t>
            </w:r>
          </w:p>
        </w:tc>
        <w:tc>
          <w:tcPr>
            <w:tcW w:w="3420" w:type="dxa"/>
            <w:noWrap w:val="0"/>
            <w:vAlign w:val="top"/>
          </w:tcPr>
          <w:p w14:paraId="38A6A514">
            <w:pPr>
              <w:pStyle w:val="38"/>
              <w:widowControl w:val="0"/>
              <w:autoSpaceDE w:val="0"/>
              <w:autoSpaceDN w:val="0"/>
              <w:spacing w:before="104" w:line="233" w:lineRule="auto"/>
              <w:ind w:left="820" w:right="97" w:hanging="713"/>
            </w:pPr>
            <w:r>
              <w:rPr>
                <w:spacing w:val="7"/>
              </w:rPr>
              <w:t>黄河路北延（创业西路-海</w:t>
            </w:r>
            <w:r>
              <w:rPr>
                <w:spacing w:val="1"/>
              </w:rPr>
              <w:t xml:space="preserve"> </w:t>
            </w:r>
            <w:r>
              <w:rPr>
                <w:spacing w:val="3"/>
              </w:rPr>
              <w:t>堤路）</w:t>
            </w:r>
          </w:p>
        </w:tc>
        <w:tc>
          <w:tcPr>
            <w:tcW w:w="1350" w:type="dxa"/>
            <w:noWrap w:val="0"/>
            <w:vAlign w:val="top"/>
          </w:tcPr>
          <w:p w14:paraId="6E7C5606">
            <w:pPr>
              <w:pStyle w:val="38"/>
              <w:widowControl w:val="0"/>
              <w:autoSpaceDE w:val="0"/>
              <w:autoSpaceDN w:val="0"/>
              <w:spacing w:before="233" w:line="190" w:lineRule="auto"/>
              <w:ind w:left="411"/>
            </w:pPr>
            <w:r>
              <w:t>19000</w:t>
            </w:r>
          </w:p>
        </w:tc>
        <w:tc>
          <w:tcPr>
            <w:tcW w:w="1783" w:type="dxa"/>
            <w:noWrap w:val="0"/>
            <w:vAlign w:val="top"/>
          </w:tcPr>
          <w:p w14:paraId="30C7A288">
            <w:pPr>
              <w:widowControl w:val="0"/>
              <w:autoSpaceDE w:val="0"/>
              <w:autoSpaceDN w:val="0"/>
              <w:rPr>
                <w:rFonts w:ascii="Arial"/>
                <w:sz w:val="21"/>
              </w:rPr>
            </w:pPr>
          </w:p>
        </w:tc>
        <w:tc>
          <w:tcPr>
            <w:tcW w:w="1417" w:type="dxa"/>
            <w:noWrap w:val="0"/>
            <w:vAlign w:val="top"/>
          </w:tcPr>
          <w:p w14:paraId="5104E769">
            <w:pPr>
              <w:pStyle w:val="38"/>
              <w:widowControl w:val="0"/>
              <w:autoSpaceDE w:val="0"/>
              <w:autoSpaceDN w:val="0"/>
              <w:spacing w:before="233" w:line="190" w:lineRule="auto"/>
              <w:ind w:left="520"/>
            </w:pPr>
            <w:r>
              <w:t>19000</w:t>
            </w:r>
          </w:p>
        </w:tc>
        <w:tc>
          <w:tcPr>
            <w:tcW w:w="1116" w:type="dxa"/>
            <w:noWrap w:val="0"/>
            <w:vAlign w:val="top"/>
          </w:tcPr>
          <w:p w14:paraId="4D3B368A">
            <w:pPr>
              <w:pStyle w:val="38"/>
              <w:widowControl w:val="0"/>
              <w:autoSpaceDE w:val="0"/>
              <w:autoSpaceDN w:val="0"/>
              <w:spacing w:before="207" w:line="232" w:lineRule="auto"/>
              <w:ind w:left="497"/>
            </w:pPr>
            <w:r>
              <w:rPr>
                <w:spacing w:val="3"/>
              </w:rPr>
              <w:t>S326西</w:t>
            </w:r>
          </w:p>
        </w:tc>
      </w:tr>
      <w:tr w14:paraId="6954F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6C724C3C">
            <w:pPr>
              <w:pStyle w:val="38"/>
              <w:widowControl w:val="0"/>
              <w:autoSpaceDE w:val="0"/>
              <w:autoSpaceDN w:val="0"/>
              <w:spacing w:before="233" w:line="190" w:lineRule="auto"/>
              <w:ind w:left="325"/>
            </w:pPr>
            <w:r>
              <w:rPr>
                <w:spacing w:val="-6"/>
              </w:rPr>
              <w:t>11</w:t>
            </w:r>
          </w:p>
        </w:tc>
        <w:tc>
          <w:tcPr>
            <w:tcW w:w="3420" w:type="dxa"/>
            <w:noWrap w:val="0"/>
            <w:vAlign w:val="top"/>
          </w:tcPr>
          <w:p w14:paraId="24BB11C5">
            <w:pPr>
              <w:pStyle w:val="38"/>
              <w:widowControl w:val="0"/>
              <w:autoSpaceDE w:val="0"/>
              <w:autoSpaceDN w:val="0"/>
              <w:spacing w:before="207" w:line="229" w:lineRule="auto"/>
              <w:ind w:left="488"/>
            </w:pPr>
            <w:r>
              <w:rPr>
                <w:spacing w:val="6"/>
              </w:rPr>
              <w:t>不锈钢小镇公园</w:t>
            </w:r>
          </w:p>
        </w:tc>
        <w:tc>
          <w:tcPr>
            <w:tcW w:w="1350" w:type="dxa"/>
            <w:noWrap w:val="0"/>
            <w:vAlign w:val="top"/>
          </w:tcPr>
          <w:p w14:paraId="70ED0B88">
            <w:pPr>
              <w:pStyle w:val="38"/>
              <w:widowControl w:val="0"/>
              <w:autoSpaceDE w:val="0"/>
              <w:autoSpaceDN w:val="0"/>
              <w:spacing w:before="233" w:line="190" w:lineRule="auto"/>
              <w:ind w:left="403"/>
            </w:pPr>
            <w:r>
              <w:rPr>
                <w:spacing w:val="1"/>
              </w:rPr>
              <w:t>71455</w:t>
            </w:r>
          </w:p>
        </w:tc>
        <w:tc>
          <w:tcPr>
            <w:tcW w:w="1783" w:type="dxa"/>
            <w:noWrap w:val="0"/>
            <w:vAlign w:val="top"/>
          </w:tcPr>
          <w:p w14:paraId="1EF8D422">
            <w:pPr>
              <w:widowControl w:val="0"/>
              <w:autoSpaceDE w:val="0"/>
              <w:autoSpaceDN w:val="0"/>
              <w:rPr>
                <w:rFonts w:ascii="Arial"/>
                <w:sz w:val="21"/>
              </w:rPr>
            </w:pPr>
          </w:p>
        </w:tc>
        <w:tc>
          <w:tcPr>
            <w:tcW w:w="1417" w:type="dxa"/>
            <w:noWrap w:val="0"/>
            <w:vAlign w:val="top"/>
          </w:tcPr>
          <w:p w14:paraId="5E7BC575">
            <w:pPr>
              <w:pStyle w:val="38"/>
              <w:widowControl w:val="0"/>
              <w:autoSpaceDE w:val="0"/>
              <w:autoSpaceDN w:val="0"/>
              <w:spacing w:before="233" w:line="190" w:lineRule="auto"/>
              <w:ind w:left="512"/>
            </w:pPr>
            <w:r>
              <w:rPr>
                <w:spacing w:val="1"/>
              </w:rPr>
              <w:t>71455</w:t>
            </w:r>
          </w:p>
        </w:tc>
        <w:tc>
          <w:tcPr>
            <w:tcW w:w="1116" w:type="dxa"/>
            <w:noWrap w:val="0"/>
            <w:vAlign w:val="top"/>
          </w:tcPr>
          <w:p w14:paraId="7670D609">
            <w:pPr>
              <w:pStyle w:val="38"/>
              <w:widowControl w:val="0"/>
              <w:autoSpaceDE w:val="0"/>
              <w:autoSpaceDN w:val="0"/>
              <w:spacing w:before="208" w:line="232" w:lineRule="auto"/>
              <w:ind w:left="497"/>
            </w:pPr>
            <w:r>
              <w:rPr>
                <w:spacing w:val="3"/>
              </w:rPr>
              <w:t>S326西</w:t>
            </w:r>
          </w:p>
        </w:tc>
      </w:tr>
      <w:tr w14:paraId="0496B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2D9749DF">
            <w:pPr>
              <w:pStyle w:val="38"/>
              <w:widowControl w:val="0"/>
              <w:autoSpaceDE w:val="0"/>
              <w:autoSpaceDN w:val="0"/>
              <w:spacing w:before="234" w:line="190" w:lineRule="auto"/>
              <w:ind w:left="325"/>
            </w:pPr>
            <w:r>
              <w:rPr>
                <w:spacing w:val="-6"/>
              </w:rPr>
              <w:t>12</w:t>
            </w:r>
          </w:p>
        </w:tc>
        <w:tc>
          <w:tcPr>
            <w:tcW w:w="3420" w:type="dxa"/>
            <w:noWrap w:val="0"/>
            <w:vAlign w:val="top"/>
          </w:tcPr>
          <w:p w14:paraId="1F9763E9">
            <w:pPr>
              <w:pStyle w:val="38"/>
              <w:widowControl w:val="0"/>
              <w:autoSpaceDE w:val="0"/>
              <w:autoSpaceDN w:val="0"/>
              <w:spacing w:before="208" w:line="229" w:lineRule="auto"/>
              <w:ind w:left="837"/>
            </w:pPr>
            <w:r>
              <w:t>中心路</w:t>
            </w:r>
          </w:p>
        </w:tc>
        <w:tc>
          <w:tcPr>
            <w:tcW w:w="1350" w:type="dxa"/>
            <w:noWrap w:val="0"/>
            <w:vAlign w:val="top"/>
          </w:tcPr>
          <w:p w14:paraId="09BCB635">
            <w:pPr>
              <w:pStyle w:val="38"/>
              <w:widowControl w:val="0"/>
              <w:autoSpaceDE w:val="0"/>
              <w:autoSpaceDN w:val="0"/>
              <w:spacing w:before="235" w:line="189" w:lineRule="auto"/>
              <w:ind w:left="440"/>
            </w:pPr>
            <w:r>
              <w:rPr>
                <w:spacing w:val="2"/>
              </w:rPr>
              <w:t>9900</w:t>
            </w:r>
          </w:p>
        </w:tc>
        <w:tc>
          <w:tcPr>
            <w:tcW w:w="1783" w:type="dxa"/>
            <w:noWrap w:val="0"/>
            <w:vAlign w:val="top"/>
          </w:tcPr>
          <w:p w14:paraId="446EF4A4">
            <w:pPr>
              <w:widowControl w:val="0"/>
              <w:autoSpaceDE w:val="0"/>
              <w:autoSpaceDN w:val="0"/>
              <w:rPr>
                <w:rFonts w:ascii="Arial"/>
                <w:sz w:val="21"/>
              </w:rPr>
            </w:pPr>
          </w:p>
        </w:tc>
        <w:tc>
          <w:tcPr>
            <w:tcW w:w="1417" w:type="dxa"/>
            <w:noWrap w:val="0"/>
            <w:vAlign w:val="top"/>
          </w:tcPr>
          <w:p w14:paraId="550863A5">
            <w:pPr>
              <w:pStyle w:val="38"/>
              <w:widowControl w:val="0"/>
              <w:autoSpaceDE w:val="0"/>
              <w:autoSpaceDN w:val="0"/>
              <w:spacing w:before="235" w:line="189" w:lineRule="auto"/>
              <w:ind w:left="551"/>
            </w:pPr>
            <w:r>
              <w:rPr>
                <w:spacing w:val="2"/>
              </w:rPr>
              <w:t>9900</w:t>
            </w:r>
          </w:p>
        </w:tc>
        <w:tc>
          <w:tcPr>
            <w:tcW w:w="1116" w:type="dxa"/>
            <w:noWrap w:val="0"/>
            <w:vAlign w:val="top"/>
          </w:tcPr>
          <w:p w14:paraId="4B9F1D5E">
            <w:pPr>
              <w:pStyle w:val="38"/>
              <w:widowControl w:val="0"/>
              <w:autoSpaceDE w:val="0"/>
              <w:autoSpaceDN w:val="0"/>
              <w:spacing w:before="209" w:line="232" w:lineRule="auto"/>
              <w:ind w:left="497"/>
            </w:pPr>
            <w:r>
              <w:rPr>
                <w:spacing w:val="3"/>
              </w:rPr>
              <w:t>S326西</w:t>
            </w:r>
          </w:p>
        </w:tc>
      </w:tr>
      <w:tr w14:paraId="279D3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56EC5F30">
            <w:pPr>
              <w:pStyle w:val="38"/>
              <w:widowControl w:val="0"/>
              <w:autoSpaceDE w:val="0"/>
              <w:autoSpaceDN w:val="0"/>
              <w:spacing w:before="235" w:line="190" w:lineRule="auto"/>
              <w:ind w:left="325"/>
            </w:pPr>
            <w:r>
              <w:rPr>
                <w:spacing w:val="-6"/>
              </w:rPr>
              <w:t>13</w:t>
            </w:r>
          </w:p>
        </w:tc>
        <w:tc>
          <w:tcPr>
            <w:tcW w:w="3420" w:type="dxa"/>
            <w:noWrap w:val="0"/>
            <w:vAlign w:val="top"/>
          </w:tcPr>
          <w:p w14:paraId="3E80C6B3">
            <w:pPr>
              <w:pStyle w:val="38"/>
              <w:widowControl w:val="0"/>
              <w:autoSpaceDE w:val="0"/>
              <w:autoSpaceDN w:val="0"/>
              <w:spacing w:before="209" w:line="229" w:lineRule="auto"/>
              <w:ind w:left="737"/>
            </w:pPr>
            <w:r>
              <w:rPr>
                <w:spacing w:val="6"/>
              </w:rPr>
              <w:t>邻里中心</w:t>
            </w:r>
          </w:p>
        </w:tc>
        <w:tc>
          <w:tcPr>
            <w:tcW w:w="1350" w:type="dxa"/>
            <w:noWrap w:val="0"/>
            <w:vAlign w:val="top"/>
          </w:tcPr>
          <w:p w14:paraId="490389CB">
            <w:pPr>
              <w:pStyle w:val="38"/>
              <w:widowControl w:val="0"/>
              <w:autoSpaceDE w:val="0"/>
              <w:autoSpaceDN w:val="0"/>
              <w:spacing w:before="236" w:line="189" w:lineRule="auto"/>
              <w:ind w:left="398"/>
            </w:pPr>
            <w:r>
              <w:rPr>
                <w:spacing w:val="2"/>
              </w:rPr>
              <w:t>46822</w:t>
            </w:r>
          </w:p>
        </w:tc>
        <w:tc>
          <w:tcPr>
            <w:tcW w:w="1783" w:type="dxa"/>
            <w:noWrap w:val="0"/>
            <w:vAlign w:val="top"/>
          </w:tcPr>
          <w:p w14:paraId="6CBCF078">
            <w:pPr>
              <w:pStyle w:val="38"/>
              <w:widowControl w:val="0"/>
              <w:autoSpaceDE w:val="0"/>
              <w:autoSpaceDN w:val="0"/>
              <w:spacing w:before="107" w:line="233" w:lineRule="auto"/>
              <w:ind w:left="492" w:right="93" w:hanging="376"/>
              <w:rPr>
                <w:rFonts w:hint="eastAsia"/>
                <w:spacing w:val="5"/>
                <w:lang w:eastAsia="zh-CN"/>
              </w:rPr>
            </w:pPr>
            <w:r>
              <w:rPr>
                <w:spacing w:val="5"/>
              </w:rPr>
              <w:t>高端智能宿舍楼5</w:t>
            </w:r>
            <w:r>
              <w:rPr>
                <w:rFonts w:hint="eastAsia"/>
                <w:spacing w:val="5"/>
                <w:lang w:eastAsia="zh-CN"/>
              </w:rPr>
              <w:t>、</w:t>
            </w:r>
          </w:p>
          <w:p w14:paraId="494E884A">
            <w:pPr>
              <w:pStyle w:val="38"/>
              <w:widowControl w:val="0"/>
              <w:autoSpaceDE w:val="0"/>
              <w:autoSpaceDN w:val="0"/>
              <w:spacing w:before="107" w:line="233" w:lineRule="auto"/>
              <w:ind w:left="492" w:right="93" w:hanging="376"/>
            </w:pPr>
            <w:r>
              <w:rPr>
                <w:spacing w:val="5"/>
              </w:rPr>
              <w:t>6</w:t>
            </w:r>
            <w:r>
              <w:rPr>
                <w:rFonts w:hint="eastAsia"/>
                <w:spacing w:val="5"/>
                <w:lang w:eastAsia="zh-CN"/>
              </w:rPr>
              <w:t>、</w:t>
            </w:r>
            <w:r>
              <w:rPr>
                <w:spacing w:val="5"/>
              </w:rPr>
              <w:t>7</w:t>
            </w:r>
            <w:r>
              <w:rPr>
                <w:rFonts w:hint="eastAsia"/>
                <w:spacing w:val="5"/>
                <w:lang w:eastAsia="zh-CN"/>
              </w:rPr>
              <w:t>、</w:t>
            </w:r>
            <w:r>
              <w:rPr>
                <w:spacing w:val="5"/>
              </w:rPr>
              <w:t>8</w:t>
            </w:r>
            <w:r>
              <w:rPr>
                <w:spacing w:val="4"/>
              </w:rPr>
              <w:t xml:space="preserve"> </w:t>
            </w:r>
            <w:r>
              <w:rPr>
                <w:spacing w:val="3"/>
              </w:rPr>
              <w:t>号楼13100</w:t>
            </w:r>
          </w:p>
        </w:tc>
        <w:tc>
          <w:tcPr>
            <w:tcW w:w="1417" w:type="dxa"/>
            <w:noWrap w:val="0"/>
            <w:vAlign w:val="top"/>
          </w:tcPr>
          <w:p w14:paraId="6171064D">
            <w:pPr>
              <w:pStyle w:val="38"/>
              <w:widowControl w:val="0"/>
              <w:autoSpaceDE w:val="0"/>
              <w:autoSpaceDN w:val="0"/>
              <w:spacing w:before="236" w:line="189" w:lineRule="auto"/>
              <w:ind w:left="511"/>
            </w:pPr>
            <w:r>
              <w:rPr>
                <w:spacing w:val="2"/>
              </w:rPr>
              <w:t>59922</w:t>
            </w:r>
          </w:p>
        </w:tc>
        <w:tc>
          <w:tcPr>
            <w:tcW w:w="1116" w:type="dxa"/>
            <w:noWrap w:val="0"/>
            <w:vAlign w:val="top"/>
          </w:tcPr>
          <w:p w14:paraId="274FFD3F">
            <w:pPr>
              <w:pStyle w:val="38"/>
              <w:widowControl w:val="0"/>
              <w:autoSpaceDE w:val="0"/>
              <w:autoSpaceDN w:val="0"/>
              <w:spacing w:before="209" w:line="232" w:lineRule="auto"/>
              <w:ind w:left="497"/>
            </w:pPr>
            <w:r>
              <w:rPr>
                <w:spacing w:val="3"/>
              </w:rPr>
              <w:t>S326西</w:t>
            </w:r>
          </w:p>
        </w:tc>
      </w:tr>
      <w:tr w14:paraId="1BCF6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83" w:type="dxa"/>
            <w:noWrap w:val="0"/>
            <w:vAlign w:val="top"/>
          </w:tcPr>
          <w:p w14:paraId="60B34FDB">
            <w:pPr>
              <w:pStyle w:val="38"/>
              <w:widowControl w:val="0"/>
              <w:autoSpaceDE w:val="0"/>
              <w:autoSpaceDN w:val="0"/>
              <w:spacing w:before="236" w:line="190" w:lineRule="auto"/>
              <w:ind w:left="325"/>
            </w:pPr>
            <w:r>
              <w:rPr>
                <w:spacing w:val="-6"/>
              </w:rPr>
              <w:t>14</w:t>
            </w:r>
          </w:p>
        </w:tc>
        <w:tc>
          <w:tcPr>
            <w:tcW w:w="3420" w:type="dxa"/>
            <w:noWrap w:val="0"/>
            <w:vAlign w:val="top"/>
          </w:tcPr>
          <w:p w14:paraId="1FC65070">
            <w:pPr>
              <w:pStyle w:val="38"/>
              <w:widowControl w:val="0"/>
              <w:autoSpaceDE w:val="0"/>
              <w:autoSpaceDN w:val="0"/>
              <w:spacing w:before="210" w:line="230" w:lineRule="auto"/>
              <w:ind w:left="655"/>
            </w:pPr>
            <w:r>
              <w:rPr>
                <w:spacing w:val="6"/>
              </w:rPr>
              <w:t>纸文化公园</w:t>
            </w:r>
          </w:p>
        </w:tc>
        <w:tc>
          <w:tcPr>
            <w:tcW w:w="1350" w:type="dxa"/>
            <w:noWrap w:val="0"/>
            <w:vAlign w:val="top"/>
          </w:tcPr>
          <w:p w14:paraId="0DEF5505">
            <w:pPr>
              <w:pStyle w:val="38"/>
              <w:widowControl w:val="0"/>
              <w:autoSpaceDE w:val="0"/>
              <w:autoSpaceDN w:val="0"/>
              <w:spacing w:before="236" w:line="190" w:lineRule="auto"/>
              <w:ind w:left="399"/>
            </w:pPr>
            <w:r>
              <w:rPr>
                <w:spacing w:val="2"/>
              </w:rPr>
              <w:t>88711</w:t>
            </w:r>
          </w:p>
        </w:tc>
        <w:tc>
          <w:tcPr>
            <w:tcW w:w="1783" w:type="dxa"/>
            <w:noWrap w:val="0"/>
            <w:vAlign w:val="top"/>
          </w:tcPr>
          <w:p w14:paraId="15698E56">
            <w:pPr>
              <w:pStyle w:val="38"/>
              <w:widowControl w:val="0"/>
              <w:autoSpaceDE w:val="0"/>
              <w:autoSpaceDN w:val="0"/>
              <w:spacing w:before="209" w:line="229" w:lineRule="auto"/>
              <w:ind w:left="490"/>
            </w:pPr>
            <w:r>
              <w:rPr>
                <w:spacing w:val="4"/>
              </w:rPr>
              <w:t>草坪10250</w:t>
            </w:r>
          </w:p>
        </w:tc>
        <w:tc>
          <w:tcPr>
            <w:tcW w:w="1417" w:type="dxa"/>
            <w:noWrap w:val="0"/>
            <w:vAlign w:val="top"/>
          </w:tcPr>
          <w:p w14:paraId="07ACE01A">
            <w:pPr>
              <w:pStyle w:val="38"/>
              <w:widowControl w:val="0"/>
              <w:autoSpaceDE w:val="0"/>
              <w:autoSpaceDN w:val="0"/>
              <w:spacing w:before="236" w:line="190" w:lineRule="auto"/>
              <w:ind w:left="508"/>
            </w:pPr>
            <w:r>
              <w:rPr>
                <w:spacing w:val="2"/>
              </w:rPr>
              <w:t>98961</w:t>
            </w:r>
          </w:p>
        </w:tc>
        <w:tc>
          <w:tcPr>
            <w:tcW w:w="1116" w:type="dxa"/>
            <w:noWrap w:val="0"/>
            <w:vAlign w:val="top"/>
          </w:tcPr>
          <w:p w14:paraId="04B3131B">
            <w:pPr>
              <w:pStyle w:val="38"/>
              <w:widowControl w:val="0"/>
              <w:autoSpaceDE w:val="0"/>
              <w:autoSpaceDN w:val="0"/>
              <w:spacing w:before="210" w:line="232" w:lineRule="auto"/>
              <w:ind w:left="497"/>
            </w:pPr>
            <w:r>
              <w:rPr>
                <w:spacing w:val="3"/>
              </w:rPr>
              <w:t>S326西</w:t>
            </w:r>
          </w:p>
        </w:tc>
      </w:tr>
      <w:tr w14:paraId="3238C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32DD1505">
            <w:pPr>
              <w:pStyle w:val="38"/>
              <w:widowControl w:val="0"/>
              <w:autoSpaceDE w:val="0"/>
              <w:autoSpaceDN w:val="0"/>
              <w:spacing w:before="235" w:line="190" w:lineRule="auto"/>
              <w:ind w:left="325"/>
            </w:pPr>
            <w:r>
              <w:rPr>
                <w:spacing w:val="-6"/>
              </w:rPr>
              <w:t>15</w:t>
            </w:r>
          </w:p>
        </w:tc>
        <w:tc>
          <w:tcPr>
            <w:tcW w:w="3420" w:type="dxa"/>
            <w:noWrap w:val="0"/>
            <w:vAlign w:val="top"/>
          </w:tcPr>
          <w:p w14:paraId="51D94828">
            <w:pPr>
              <w:pStyle w:val="38"/>
              <w:widowControl w:val="0"/>
              <w:autoSpaceDE w:val="0"/>
              <w:autoSpaceDN w:val="0"/>
              <w:spacing w:before="209" w:line="229" w:lineRule="auto"/>
              <w:ind w:left="65"/>
            </w:pPr>
            <w:r>
              <w:rPr>
                <w:spacing w:val="5"/>
              </w:rPr>
              <w:t>港电西路（326-灌江大道）</w:t>
            </w:r>
          </w:p>
        </w:tc>
        <w:tc>
          <w:tcPr>
            <w:tcW w:w="1350" w:type="dxa"/>
            <w:noWrap w:val="0"/>
            <w:vAlign w:val="top"/>
          </w:tcPr>
          <w:p w14:paraId="69EDF680">
            <w:pPr>
              <w:pStyle w:val="38"/>
              <w:widowControl w:val="0"/>
              <w:autoSpaceDE w:val="0"/>
              <w:autoSpaceDN w:val="0"/>
              <w:spacing w:before="235" w:line="190" w:lineRule="auto"/>
              <w:ind w:left="401"/>
            </w:pPr>
            <w:r>
              <w:rPr>
                <w:spacing w:val="2"/>
              </w:rPr>
              <w:t>21740</w:t>
            </w:r>
          </w:p>
        </w:tc>
        <w:tc>
          <w:tcPr>
            <w:tcW w:w="1783" w:type="dxa"/>
            <w:noWrap w:val="0"/>
            <w:vAlign w:val="top"/>
          </w:tcPr>
          <w:p w14:paraId="68D1BA77">
            <w:pPr>
              <w:widowControl w:val="0"/>
              <w:autoSpaceDE w:val="0"/>
              <w:autoSpaceDN w:val="0"/>
              <w:rPr>
                <w:rFonts w:ascii="Arial"/>
                <w:sz w:val="21"/>
              </w:rPr>
            </w:pPr>
          </w:p>
        </w:tc>
        <w:tc>
          <w:tcPr>
            <w:tcW w:w="1417" w:type="dxa"/>
            <w:noWrap w:val="0"/>
            <w:vAlign w:val="top"/>
          </w:tcPr>
          <w:p w14:paraId="58FF6A29">
            <w:pPr>
              <w:pStyle w:val="38"/>
              <w:widowControl w:val="0"/>
              <w:autoSpaceDE w:val="0"/>
              <w:autoSpaceDN w:val="0"/>
              <w:spacing w:before="235" w:line="190" w:lineRule="auto"/>
              <w:ind w:left="510"/>
            </w:pPr>
            <w:r>
              <w:rPr>
                <w:spacing w:val="2"/>
              </w:rPr>
              <w:t>21740</w:t>
            </w:r>
          </w:p>
        </w:tc>
        <w:tc>
          <w:tcPr>
            <w:tcW w:w="1116" w:type="dxa"/>
            <w:noWrap w:val="0"/>
            <w:vAlign w:val="top"/>
          </w:tcPr>
          <w:p w14:paraId="1DA16A3B">
            <w:pPr>
              <w:pStyle w:val="38"/>
              <w:widowControl w:val="0"/>
              <w:autoSpaceDE w:val="0"/>
              <w:autoSpaceDN w:val="0"/>
              <w:spacing w:before="209" w:line="232" w:lineRule="auto"/>
              <w:ind w:left="497"/>
            </w:pPr>
            <w:r>
              <w:rPr>
                <w:spacing w:val="3"/>
              </w:rPr>
              <w:t>S326西</w:t>
            </w:r>
          </w:p>
        </w:tc>
      </w:tr>
      <w:tr w14:paraId="5963C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7A11E998">
            <w:pPr>
              <w:pStyle w:val="38"/>
              <w:widowControl w:val="0"/>
              <w:autoSpaceDE w:val="0"/>
              <w:autoSpaceDN w:val="0"/>
              <w:spacing w:before="236" w:line="190" w:lineRule="auto"/>
              <w:ind w:left="325"/>
            </w:pPr>
            <w:r>
              <w:rPr>
                <w:spacing w:val="-6"/>
              </w:rPr>
              <w:t>16</w:t>
            </w:r>
          </w:p>
        </w:tc>
        <w:tc>
          <w:tcPr>
            <w:tcW w:w="3420" w:type="dxa"/>
            <w:noWrap w:val="0"/>
            <w:vAlign w:val="top"/>
          </w:tcPr>
          <w:p w14:paraId="7E6FBA9B">
            <w:pPr>
              <w:pStyle w:val="38"/>
              <w:widowControl w:val="0"/>
              <w:autoSpaceDE w:val="0"/>
              <w:autoSpaceDN w:val="0"/>
              <w:spacing w:before="210" w:line="229" w:lineRule="auto"/>
              <w:ind w:left="65"/>
            </w:pPr>
            <w:r>
              <w:rPr>
                <w:spacing w:val="5"/>
              </w:rPr>
              <w:t>通港大道（326-灌江大道）</w:t>
            </w:r>
          </w:p>
        </w:tc>
        <w:tc>
          <w:tcPr>
            <w:tcW w:w="1350" w:type="dxa"/>
            <w:noWrap w:val="0"/>
            <w:vAlign w:val="top"/>
          </w:tcPr>
          <w:p w14:paraId="3A7CEBDA">
            <w:pPr>
              <w:widowControl w:val="0"/>
              <w:autoSpaceDE w:val="0"/>
              <w:autoSpaceDN w:val="0"/>
              <w:rPr>
                <w:rFonts w:ascii="Arial"/>
                <w:sz w:val="21"/>
              </w:rPr>
            </w:pPr>
          </w:p>
        </w:tc>
        <w:tc>
          <w:tcPr>
            <w:tcW w:w="1783" w:type="dxa"/>
            <w:noWrap w:val="0"/>
            <w:vAlign w:val="top"/>
          </w:tcPr>
          <w:p w14:paraId="39FAC777">
            <w:pPr>
              <w:pStyle w:val="38"/>
              <w:widowControl w:val="0"/>
              <w:autoSpaceDE w:val="0"/>
              <w:autoSpaceDN w:val="0"/>
              <w:spacing w:before="210" w:line="229" w:lineRule="auto"/>
              <w:ind w:left="325"/>
            </w:pPr>
            <w:r>
              <w:rPr>
                <w:spacing w:val="4"/>
              </w:rPr>
              <w:t>市政绿化31514</w:t>
            </w:r>
          </w:p>
        </w:tc>
        <w:tc>
          <w:tcPr>
            <w:tcW w:w="1417" w:type="dxa"/>
            <w:noWrap w:val="0"/>
            <w:vAlign w:val="top"/>
          </w:tcPr>
          <w:p w14:paraId="4A8B20F8">
            <w:pPr>
              <w:pStyle w:val="38"/>
              <w:widowControl w:val="0"/>
              <w:autoSpaceDE w:val="0"/>
              <w:autoSpaceDN w:val="0"/>
              <w:spacing w:before="236" w:line="190" w:lineRule="auto"/>
              <w:ind w:left="511"/>
            </w:pPr>
            <w:r>
              <w:rPr>
                <w:spacing w:val="2"/>
              </w:rPr>
              <w:t>31514</w:t>
            </w:r>
          </w:p>
        </w:tc>
        <w:tc>
          <w:tcPr>
            <w:tcW w:w="1116" w:type="dxa"/>
            <w:noWrap w:val="0"/>
            <w:vAlign w:val="top"/>
          </w:tcPr>
          <w:p w14:paraId="0CA41D8E">
            <w:pPr>
              <w:pStyle w:val="38"/>
              <w:widowControl w:val="0"/>
              <w:autoSpaceDE w:val="0"/>
              <w:autoSpaceDN w:val="0"/>
              <w:spacing w:before="210" w:line="232" w:lineRule="auto"/>
              <w:ind w:left="497"/>
            </w:pPr>
            <w:r>
              <w:rPr>
                <w:spacing w:val="3"/>
              </w:rPr>
              <w:t>S326西</w:t>
            </w:r>
          </w:p>
        </w:tc>
      </w:tr>
      <w:tr w14:paraId="3CC7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83" w:type="dxa"/>
            <w:noWrap w:val="0"/>
            <w:vAlign w:val="top"/>
          </w:tcPr>
          <w:p w14:paraId="01AB50B6">
            <w:pPr>
              <w:pStyle w:val="38"/>
              <w:widowControl w:val="0"/>
              <w:autoSpaceDE w:val="0"/>
              <w:autoSpaceDN w:val="0"/>
              <w:spacing w:before="236" w:line="190" w:lineRule="auto"/>
              <w:ind w:left="325"/>
            </w:pPr>
            <w:r>
              <w:rPr>
                <w:spacing w:val="-6"/>
              </w:rPr>
              <w:t>17</w:t>
            </w:r>
          </w:p>
        </w:tc>
        <w:tc>
          <w:tcPr>
            <w:tcW w:w="3420" w:type="dxa"/>
            <w:noWrap w:val="0"/>
            <w:vAlign w:val="top"/>
          </w:tcPr>
          <w:p w14:paraId="72FCF1B0">
            <w:pPr>
              <w:pStyle w:val="38"/>
              <w:widowControl w:val="0"/>
              <w:autoSpaceDE w:val="0"/>
              <w:autoSpaceDN w:val="0"/>
              <w:spacing w:before="210" w:line="229" w:lineRule="auto"/>
              <w:ind w:left="65"/>
            </w:pPr>
            <w:r>
              <w:rPr>
                <w:spacing w:val="5"/>
              </w:rPr>
              <w:t>通港大道（326-灌江大道）</w:t>
            </w:r>
          </w:p>
        </w:tc>
        <w:tc>
          <w:tcPr>
            <w:tcW w:w="1350" w:type="dxa"/>
            <w:noWrap w:val="0"/>
            <w:vAlign w:val="top"/>
          </w:tcPr>
          <w:p w14:paraId="7170D9E4">
            <w:pPr>
              <w:widowControl w:val="0"/>
              <w:autoSpaceDE w:val="0"/>
              <w:autoSpaceDN w:val="0"/>
              <w:rPr>
                <w:rFonts w:ascii="Arial"/>
                <w:sz w:val="21"/>
              </w:rPr>
            </w:pPr>
          </w:p>
        </w:tc>
        <w:tc>
          <w:tcPr>
            <w:tcW w:w="1783" w:type="dxa"/>
            <w:noWrap w:val="0"/>
            <w:vAlign w:val="top"/>
          </w:tcPr>
          <w:p w14:paraId="1607CD16">
            <w:pPr>
              <w:pStyle w:val="38"/>
              <w:widowControl w:val="0"/>
              <w:autoSpaceDE w:val="0"/>
              <w:autoSpaceDN w:val="0"/>
              <w:spacing w:before="210" w:line="229" w:lineRule="auto"/>
              <w:ind w:left="283"/>
            </w:pPr>
            <w:r>
              <w:rPr>
                <w:spacing w:val="4"/>
              </w:rPr>
              <w:t>景观绿化162991</w:t>
            </w:r>
          </w:p>
        </w:tc>
        <w:tc>
          <w:tcPr>
            <w:tcW w:w="1417" w:type="dxa"/>
            <w:noWrap w:val="0"/>
            <w:vAlign w:val="top"/>
          </w:tcPr>
          <w:p w14:paraId="7C179C60">
            <w:pPr>
              <w:pStyle w:val="38"/>
              <w:widowControl w:val="0"/>
              <w:autoSpaceDE w:val="0"/>
              <w:autoSpaceDN w:val="0"/>
              <w:spacing w:before="236" w:line="190" w:lineRule="auto"/>
              <w:ind w:left="479"/>
            </w:pPr>
            <w:r>
              <w:t>162991</w:t>
            </w:r>
          </w:p>
        </w:tc>
        <w:tc>
          <w:tcPr>
            <w:tcW w:w="1116" w:type="dxa"/>
            <w:noWrap w:val="0"/>
            <w:vAlign w:val="top"/>
          </w:tcPr>
          <w:p w14:paraId="26E7FEB8">
            <w:pPr>
              <w:pStyle w:val="38"/>
              <w:widowControl w:val="0"/>
              <w:autoSpaceDE w:val="0"/>
              <w:autoSpaceDN w:val="0"/>
              <w:spacing w:before="210" w:line="232" w:lineRule="auto"/>
              <w:ind w:left="497"/>
            </w:pPr>
            <w:r>
              <w:rPr>
                <w:spacing w:val="3"/>
              </w:rPr>
              <w:t>S326西</w:t>
            </w:r>
          </w:p>
        </w:tc>
      </w:tr>
      <w:tr w14:paraId="0A0D5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3D417974">
            <w:pPr>
              <w:pStyle w:val="38"/>
              <w:widowControl w:val="0"/>
              <w:autoSpaceDE w:val="0"/>
              <w:autoSpaceDN w:val="0"/>
              <w:spacing w:before="236" w:line="190" w:lineRule="auto"/>
              <w:ind w:left="325"/>
            </w:pPr>
            <w:r>
              <w:rPr>
                <w:spacing w:val="-6"/>
              </w:rPr>
              <w:t>18</w:t>
            </w:r>
          </w:p>
        </w:tc>
        <w:tc>
          <w:tcPr>
            <w:tcW w:w="3420" w:type="dxa"/>
            <w:noWrap w:val="0"/>
            <w:vAlign w:val="top"/>
          </w:tcPr>
          <w:p w14:paraId="3874B63E">
            <w:pPr>
              <w:pStyle w:val="38"/>
              <w:widowControl w:val="0"/>
              <w:autoSpaceDE w:val="0"/>
              <w:autoSpaceDN w:val="0"/>
              <w:spacing w:before="107" w:line="235" w:lineRule="auto"/>
              <w:ind w:left="904" w:right="97" w:hanging="795"/>
            </w:pPr>
            <w:r>
              <w:rPr>
                <w:spacing w:val="7"/>
              </w:rPr>
              <w:t>金汇路（港电西路-新港大</w:t>
            </w:r>
            <w:r>
              <w:t xml:space="preserve"> </w:t>
            </w:r>
            <w:r>
              <w:rPr>
                <w:spacing w:val="1"/>
              </w:rPr>
              <w:t>道）</w:t>
            </w:r>
          </w:p>
        </w:tc>
        <w:tc>
          <w:tcPr>
            <w:tcW w:w="1350" w:type="dxa"/>
            <w:noWrap w:val="0"/>
            <w:vAlign w:val="top"/>
          </w:tcPr>
          <w:p w14:paraId="42F96F6F">
            <w:pPr>
              <w:pStyle w:val="38"/>
              <w:widowControl w:val="0"/>
              <w:autoSpaceDE w:val="0"/>
              <w:autoSpaceDN w:val="0"/>
              <w:spacing w:before="236" w:line="190" w:lineRule="auto"/>
              <w:ind w:left="440"/>
            </w:pPr>
            <w:r>
              <w:rPr>
                <w:spacing w:val="2"/>
              </w:rPr>
              <w:t>9815</w:t>
            </w:r>
          </w:p>
        </w:tc>
        <w:tc>
          <w:tcPr>
            <w:tcW w:w="1783" w:type="dxa"/>
            <w:noWrap w:val="0"/>
            <w:vAlign w:val="top"/>
          </w:tcPr>
          <w:p w14:paraId="2CBD610A">
            <w:pPr>
              <w:widowControl w:val="0"/>
              <w:autoSpaceDE w:val="0"/>
              <w:autoSpaceDN w:val="0"/>
              <w:rPr>
                <w:rFonts w:ascii="Arial"/>
                <w:sz w:val="21"/>
              </w:rPr>
            </w:pPr>
          </w:p>
        </w:tc>
        <w:tc>
          <w:tcPr>
            <w:tcW w:w="1417" w:type="dxa"/>
            <w:noWrap w:val="0"/>
            <w:vAlign w:val="top"/>
          </w:tcPr>
          <w:p w14:paraId="149B2EC7">
            <w:pPr>
              <w:pStyle w:val="38"/>
              <w:widowControl w:val="0"/>
              <w:autoSpaceDE w:val="0"/>
              <w:autoSpaceDN w:val="0"/>
              <w:spacing w:before="236" w:line="190" w:lineRule="auto"/>
              <w:ind w:left="551"/>
            </w:pPr>
            <w:r>
              <w:rPr>
                <w:spacing w:val="2"/>
              </w:rPr>
              <w:t>9815</w:t>
            </w:r>
          </w:p>
        </w:tc>
        <w:tc>
          <w:tcPr>
            <w:tcW w:w="1116" w:type="dxa"/>
            <w:noWrap w:val="0"/>
            <w:vAlign w:val="top"/>
          </w:tcPr>
          <w:p w14:paraId="52AEF5FD">
            <w:pPr>
              <w:pStyle w:val="38"/>
              <w:widowControl w:val="0"/>
              <w:autoSpaceDE w:val="0"/>
              <w:autoSpaceDN w:val="0"/>
              <w:spacing w:before="210" w:line="232" w:lineRule="auto"/>
              <w:ind w:left="497"/>
            </w:pPr>
            <w:r>
              <w:rPr>
                <w:spacing w:val="3"/>
              </w:rPr>
              <w:t>S326西</w:t>
            </w:r>
          </w:p>
        </w:tc>
      </w:tr>
      <w:tr w14:paraId="07DF7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48655690">
            <w:pPr>
              <w:pStyle w:val="38"/>
              <w:widowControl w:val="0"/>
              <w:autoSpaceDE w:val="0"/>
              <w:autoSpaceDN w:val="0"/>
              <w:spacing w:before="237" w:line="190" w:lineRule="auto"/>
              <w:ind w:left="325"/>
            </w:pPr>
            <w:r>
              <w:rPr>
                <w:spacing w:val="-6"/>
              </w:rPr>
              <w:t>19</w:t>
            </w:r>
          </w:p>
        </w:tc>
        <w:tc>
          <w:tcPr>
            <w:tcW w:w="3420" w:type="dxa"/>
            <w:noWrap w:val="0"/>
            <w:vAlign w:val="top"/>
          </w:tcPr>
          <w:p w14:paraId="7E4C7B6E">
            <w:pPr>
              <w:pStyle w:val="38"/>
              <w:widowControl w:val="0"/>
              <w:autoSpaceDE w:val="0"/>
              <w:autoSpaceDN w:val="0"/>
              <w:spacing w:before="210" w:line="228" w:lineRule="auto"/>
              <w:ind w:left="662"/>
            </w:pPr>
            <w:r>
              <w:rPr>
                <w:spacing w:val="4"/>
              </w:rPr>
              <w:t>陈北污水厂</w:t>
            </w:r>
          </w:p>
        </w:tc>
        <w:tc>
          <w:tcPr>
            <w:tcW w:w="1350" w:type="dxa"/>
            <w:noWrap w:val="0"/>
            <w:vAlign w:val="top"/>
          </w:tcPr>
          <w:p w14:paraId="1C209FDC">
            <w:pPr>
              <w:pStyle w:val="38"/>
              <w:widowControl w:val="0"/>
              <w:autoSpaceDE w:val="0"/>
              <w:autoSpaceDN w:val="0"/>
              <w:spacing w:before="238" w:line="189" w:lineRule="auto"/>
              <w:ind w:left="443"/>
            </w:pPr>
            <w:r>
              <w:rPr>
                <w:spacing w:val="1"/>
              </w:rPr>
              <w:t>7740</w:t>
            </w:r>
          </w:p>
        </w:tc>
        <w:tc>
          <w:tcPr>
            <w:tcW w:w="1783" w:type="dxa"/>
            <w:noWrap w:val="0"/>
            <w:vAlign w:val="top"/>
          </w:tcPr>
          <w:p w14:paraId="68F6815E">
            <w:pPr>
              <w:widowControl w:val="0"/>
              <w:autoSpaceDE w:val="0"/>
              <w:autoSpaceDN w:val="0"/>
              <w:rPr>
                <w:rFonts w:ascii="Arial"/>
                <w:sz w:val="21"/>
              </w:rPr>
            </w:pPr>
          </w:p>
        </w:tc>
        <w:tc>
          <w:tcPr>
            <w:tcW w:w="1417" w:type="dxa"/>
            <w:noWrap w:val="0"/>
            <w:vAlign w:val="top"/>
          </w:tcPr>
          <w:p w14:paraId="24BAB221">
            <w:pPr>
              <w:pStyle w:val="38"/>
              <w:widowControl w:val="0"/>
              <w:autoSpaceDE w:val="0"/>
              <w:autoSpaceDN w:val="0"/>
              <w:spacing w:before="238" w:line="189" w:lineRule="auto"/>
              <w:ind w:left="554"/>
            </w:pPr>
            <w:r>
              <w:rPr>
                <w:spacing w:val="1"/>
              </w:rPr>
              <w:t>7740</w:t>
            </w:r>
          </w:p>
        </w:tc>
        <w:tc>
          <w:tcPr>
            <w:tcW w:w="1116" w:type="dxa"/>
            <w:noWrap w:val="0"/>
            <w:vAlign w:val="top"/>
          </w:tcPr>
          <w:p w14:paraId="29BBF2A4">
            <w:pPr>
              <w:pStyle w:val="38"/>
              <w:widowControl w:val="0"/>
              <w:autoSpaceDE w:val="0"/>
              <w:autoSpaceDN w:val="0"/>
              <w:spacing w:before="211" w:line="232" w:lineRule="auto"/>
              <w:ind w:left="497"/>
            </w:pPr>
            <w:r>
              <w:rPr>
                <w:spacing w:val="3"/>
              </w:rPr>
              <w:t>S326西</w:t>
            </w:r>
          </w:p>
        </w:tc>
      </w:tr>
      <w:tr w14:paraId="1A5DC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27CF9C33">
            <w:pPr>
              <w:pStyle w:val="38"/>
              <w:widowControl w:val="0"/>
              <w:autoSpaceDE w:val="0"/>
              <w:autoSpaceDN w:val="0"/>
              <w:spacing w:before="238" w:line="189" w:lineRule="auto"/>
              <w:ind w:left="315"/>
            </w:pPr>
            <w:r>
              <w:rPr>
                <w:spacing w:val="-1"/>
              </w:rPr>
              <w:t>20</w:t>
            </w:r>
          </w:p>
        </w:tc>
        <w:tc>
          <w:tcPr>
            <w:tcW w:w="3420" w:type="dxa"/>
            <w:noWrap w:val="0"/>
            <w:vAlign w:val="top"/>
          </w:tcPr>
          <w:p w14:paraId="40AA5C45">
            <w:pPr>
              <w:pStyle w:val="38"/>
              <w:widowControl w:val="0"/>
              <w:autoSpaceDE w:val="0"/>
              <w:autoSpaceDN w:val="0"/>
              <w:spacing w:before="109" w:line="233" w:lineRule="auto"/>
              <w:ind w:left="824" w:right="97" w:hanging="715"/>
            </w:pPr>
            <w:r>
              <w:rPr>
                <w:spacing w:val="6"/>
              </w:rPr>
              <w:t>新港大道（灌江大道-S326</w:t>
            </w:r>
            <w:r>
              <w:t xml:space="preserve"> </w:t>
            </w:r>
            <w:r>
              <w:rPr>
                <w:spacing w:val="2"/>
              </w:rPr>
              <w:t>省道）</w:t>
            </w:r>
          </w:p>
        </w:tc>
        <w:tc>
          <w:tcPr>
            <w:tcW w:w="1350" w:type="dxa"/>
            <w:noWrap w:val="0"/>
            <w:vAlign w:val="top"/>
          </w:tcPr>
          <w:p w14:paraId="577054C8">
            <w:pPr>
              <w:pStyle w:val="38"/>
              <w:widowControl w:val="0"/>
              <w:autoSpaceDE w:val="0"/>
              <w:autoSpaceDN w:val="0"/>
              <w:spacing w:before="237" w:line="190" w:lineRule="auto"/>
              <w:ind w:left="398"/>
            </w:pPr>
            <w:r>
              <w:rPr>
                <w:spacing w:val="2"/>
              </w:rPr>
              <w:t>48100</w:t>
            </w:r>
          </w:p>
        </w:tc>
        <w:tc>
          <w:tcPr>
            <w:tcW w:w="1783" w:type="dxa"/>
            <w:noWrap w:val="0"/>
            <w:vAlign w:val="top"/>
          </w:tcPr>
          <w:p w14:paraId="191B6F7E">
            <w:pPr>
              <w:widowControl w:val="0"/>
              <w:autoSpaceDE w:val="0"/>
              <w:autoSpaceDN w:val="0"/>
              <w:rPr>
                <w:rFonts w:ascii="Arial"/>
                <w:sz w:val="21"/>
              </w:rPr>
            </w:pPr>
          </w:p>
        </w:tc>
        <w:tc>
          <w:tcPr>
            <w:tcW w:w="1417" w:type="dxa"/>
            <w:noWrap w:val="0"/>
            <w:vAlign w:val="top"/>
          </w:tcPr>
          <w:p w14:paraId="12DF11DE">
            <w:pPr>
              <w:pStyle w:val="38"/>
              <w:widowControl w:val="0"/>
              <w:autoSpaceDE w:val="0"/>
              <w:autoSpaceDN w:val="0"/>
              <w:spacing w:before="237" w:line="190" w:lineRule="auto"/>
              <w:ind w:left="507"/>
            </w:pPr>
            <w:r>
              <w:rPr>
                <w:spacing w:val="2"/>
              </w:rPr>
              <w:t>48100</w:t>
            </w:r>
          </w:p>
        </w:tc>
        <w:tc>
          <w:tcPr>
            <w:tcW w:w="1116" w:type="dxa"/>
            <w:noWrap w:val="0"/>
            <w:vAlign w:val="top"/>
          </w:tcPr>
          <w:p w14:paraId="7FA43C14">
            <w:pPr>
              <w:pStyle w:val="38"/>
              <w:widowControl w:val="0"/>
              <w:autoSpaceDE w:val="0"/>
              <w:autoSpaceDN w:val="0"/>
              <w:spacing w:before="211" w:line="232" w:lineRule="auto"/>
              <w:ind w:left="497"/>
            </w:pPr>
            <w:r>
              <w:rPr>
                <w:spacing w:val="3"/>
              </w:rPr>
              <w:t>S326西</w:t>
            </w:r>
          </w:p>
        </w:tc>
      </w:tr>
      <w:tr w14:paraId="366F0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83" w:type="dxa"/>
            <w:noWrap w:val="0"/>
            <w:vAlign w:val="top"/>
          </w:tcPr>
          <w:p w14:paraId="0043F401">
            <w:pPr>
              <w:pStyle w:val="38"/>
              <w:widowControl w:val="0"/>
              <w:autoSpaceDE w:val="0"/>
              <w:autoSpaceDN w:val="0"/>
              <w:spacing w:before="238" w:line="190" w:lineRule="auto"/>
              <w:ind w:left="315"/>
            </w:pPr>
            <w:r>
              <w:rPr>
                <w:spacing w:val="-1"/>
              </w:rPr>
              <w:t>21</w:t>
            </w:r>
          </w:p>
        </w:tc>
        <w:tc>
          <w:tcPr>
            <w:tcW w:w="3420" w:type="dxa"/>
            <w:noWrap w:val="0"/>
            <w:vAlign w:val="top"/>
          </w:tcPr>
          <w:p w14:paraId="219EBA78">
            <w:pPr>
              <w:pStyle w:val="38"/>
              <w:widowControl w:val="0"/>
              <w:autoSpaceDE w:val="0"/>
              <w:autoSpaceDN w:val="0"/>
              <w:spacing w:before="212" w:line="229" w:lineRule="auto"/>
              <w:ind w:left="65"/>
            </w:pPr>
            <w:r>
              <w:rPr>
                <w:spacing w:val="5"/>
              </w:rPr>
              <w:t>创业西路（326-灌江大道）</w:t>
            </w:r>
          </w:p>
        </w:tc>
        <w:tc>
          <w:tcPr>
            <w:tcW w:w="1350" w:type="dxa"/>
            <w:noWrap w:val="0"/>
            <w:vAlign w:val="top"/>
          </w:tcPr>
          <w:p w14:paraId="335EA1C1">
            <w:pPr>
              <w:pStyle w:val="38"/>
              <w:widowControl w:val="0"/>
              <w:autoSpaceDE w:val="0"/>
              <w:autoSpaceDN w:val="0"/>
              <w:spacing w:before="239" w:line="189" w:lineRule="auto"/>
              <w:ind w:left="399"/>
            </w:pPr>
            <w:r>
              <w:rPr>
                <w:spacing w:val="2"/>
              </w:rPr>
              <w:t>96000</w:t>
            </w:r>
          </w:p>
        </w:tc>
        <w:tc>
          <w:tcPr>
            <w:tcW w:w="1783" w:type="dxa"/>
            <w:noWrap w:val="0"/>
            <w:vAlign w:val="top"/>
          </w:tcPr>
          <w:p w14:paraId="13AC9717">
            <w:pPr>
              <w:widowControl w:val="0"/>
              <w:autoSpaceDE w:val="0"/>
              <w:autoSpaceDN w:val="0"/>
              <w:rPr>
                <w:rFonts w:ascii="Arial"/>
                <w:sz w:val="21"/>
              </w:rPr>
            </w:pPr>
          </w:p>
        </w:tc>
        <w:tc>
          <w:tcPr>
            <w:tcW w:w="1417" w:type="dxa"/>
            <w:noWrap w:val="0"/>
            <w:vAlign w:val="top"/>
          </w:tcPr>
          <w:p w14:paraId="71AC3EE6">
            <w:pPr>
              <w:pStyle w:val="38"/>
              <w:widowControl w:val="0"/>
              <w:autoSpaceDE w:val="0"/>
              <w:autoSpaceDN w:val="0"/>
              <w:spacing w:before="239" w:line="189" w:lineRule="auto"/>
              <w:ind w:left="508"/>
            </w:pPr>
            <w:r>
              <w:rPr>
                <w:spacing w:val="2"/>
              </w:rPr>
              <w:t>96000</w:t>
            </w:r>
          </w:p>
        </w:tc>
        <w:tc>
          <w:tcPr>
            <w:tcW w:w="1116" w:type="dxa"/>
            <w:noWrap w:val="0"/>
            <w:vAlign w:val="top"/>
          </w:tcPr>
          <w:p w14:paraId="084A4994">
            <w:pPr>
              <w:pStyle w:val="38"/>
              <w:widowControl w:val="0"/>
              <w:autoSpaceDE w:val="0"/>
              <w:autoSpaceDN w:val="0"/>
              <w:spacing w:before="212" w:line="232" w:lineRule="auto"/>
              <w:ind w:left="497"/>
            </w:pPr>
            <w:r>
              <w:rPr>
                <w:spacing w:val="3"/>
              </w:rPr>
              <w:t>S326西</w:t>
            </w:r>
          </w:p>
        </w:tc>
      </w:tr>
      <w:tr w14:paraId="20177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83" w:type="dxa"/>
            <w:noWrap w:val="0"/>
            <w:vAlign w:val="top"/>
          </w:tcPr>
          <w:p w14:paraId="5AAFA37C">
            <w:pPr>
              <w:widowControl w:val="0"/>
              <w:autoSpaceDE w:val="0"/>
              <w:autoSpaceDN w:val="0"/>
              <w:rPr>
                <w:rFonts w:ascii="Arial"/>
                <w:sz w:val="21"/>
              </w:rPr>
            </w:pPr>
          </w:p>
        </w:tc>
        <w:tc>
          <w:tcPr>
            <w:tcW w:w="3420" w:type="dxa"/>
            <w:noWrap w:val="0"/>
            <w:vAlign w:val="top"/>
          </w:tcPr>
          <w:p w14:paraId="20451ADE">
            <w:pPr>
              <w:pStyle w:val="38"/>
              <w:widowControl w:val="0"/>
              <w:autoSpaceDE w:val="0"/>
              <w:autoSpaceDN w:val="0"/>
              <w:spacing w:before="212" w:line="230" w:lineRule="auto"/>
              <w:ind w:left="906"/>
            </w:pPr>
            <w:r>
              <w:rPr>
                <w:b/>
                <w:bCs/>
                <w:spacing w:val="3"/>
              </w:rPr>
              <w:t>合计</w:t>
            </w:r>
          </w:p>
        </w:tc>
        <w:tc>
          <w:tcPr>
            <w:tcW w:w="1350" w:type="dxa"/>
            <w:noWrap w:val="0"/>
            <w:vAlign w:val="top"/>
          </w:tcPr>
          <w:p w14:paraId="741D5546">
            <w:pPr>
              <w:pStyle w:val="38"/>
              <w:widowControl w:val="0"/>
              <w:autoSpaceDE w:val="0"/>
              <w:autoSpaceDN w:val="0"/>
              <w:spacing w:before="239" w:line="189" w:lineRule="auto"/>
              <w:ind w:left="357"/>
            </w:pPr>
            <w:r>
              <w:rPr>
                <w:b/>
                <w:bCs/>
                <w:spacing w:val="1"/>
              </w:rPr>
              <w:t>747272</w:t>
            </w:r>
          </w:p>
        </w:tc>
        <w:tc>
          <w:tcPr>
            <w:tcW w:w="1783" w:type="dxa"/>
            <w:noWrap w:val="0"/>
            <w:vAlign w:val="top"/>
          </w:tcPr>
          <w:p w14:paraId="3D8511A3">
            <w:pPr>
              <w:widowControl w:val="0"/>
              <w:autoSpaceDE w:val="0"/>
              <w:autoSpaceDN w:val="0"/>
              <w:rPr>
                <w:rFonts w:ascii="Arial"/>
                <w:sz w:val="21"/>
              </w:rPr>
            </w:pPr>
          </w:p>
        </w:tc>
        <w:tc>
          <w:tcPr>
            <w:tcW w:w="1417" w:type="dxa"/>
            <w:noWrap w:val="0"/>
            <w:vAlign w:val="top"/>
          </w:tcPr>
          <w:p w14:paraId="26B6E91E">
            <w:pPr>
              <w:pStyle w:val="38"/>
              <w:widowControl w:val="0"/>
              <w:autoSpaceDE w:val="0"/>
              <w:autoSpaceDN w:val="0"/>
              <w:spacing w:before="238" w:line="190" w:lineRule="auto"/>
              <w:ind w:left="431"/>
            </w:pPr>
            <w:r>
              <w:rPr>
                <w:b/>
                <w:bCs/>
              </w:rPr>
              <w:t>1002540</w:t>
            </w:r>
          </w:p>
        </w:tc>
        <w:tc>
          <w:tcPr>
            <w:tcW w:w="1116" w:type="dxa"/>
            <w:noWrap w:val="0"/>
            <w:vAlign w:val="top"/>
          </w:tcPr>
          <w:p w14:paraId="310C1E6A">
            <w:pPr>
              <w:widowControl w:val="0"/>
              <w:autoSpaceDE w:val="0"/>
              <w:autoSpaceDN w:val="0"/>
              <w:rPr>
                <w:rFonts w:ascii="Arial"/>
                <w:sz w:val="21"/>
              </w:rPr>
            </w:pPr>
          </w:p>
        </w:tc>
      </w:tr>
    </w:tbl>
    <w:p w14:paraId="314B7270">
      <w:pPr>
        <w:spacing w:before="173" w:line="229" w:lineRule="auto"/>
        <w:ind w:left="40"/>
        <w:rPr>
          <w:rFonts w:ascii="宋体" w:hAnsi="宋体" w:eastAsia="宋体" w:cs="宋体"/>
          <w:sz w:val="16"/>
          <w:szCs w:val="16"/>
        </w:rPr>
      </w:pPr>
      <w:r>
        <w:rPr>
          <w:rFonts w:ascii="宋体" w:hAnsi="宋体" w:eastAsia="宋体" w:cs="宋体"/>
          <w:spacing w:val="7"/>
          <w:sz w:val="16"/>
          <w:szCs w:val="16"/>
        </w:rPr>
        <w:t>注：1、数据来源响水工业经济区规划局。 2、326省道（运盐河-海堤路中</w:t>
      </w:r>
      <w:r>
        <w:rPr>
          <w:rFonts w:ascii="宋体" w:hAnsi="宋体" w:eastAsia="宋体" w:cs="宋体"/>
          <w:spacing w:val="6"/>
          <w:sz w:val="16"/>
          <w:szCs w:val="16"/>
        </w:rPr>
        <w:t>分带）原面积合计13780平方，326东与326西平分6890平方。</w:t>
      </w:r>
    </w:p>
    <w:p w14:paraId="78D3A47D">
      <w:pPr>
        <w:jc w:val="both"/>
        <w:rPr>
          <w:rStyle w:val="21"/>
          <w:rFonts w:hint="eastAsia" w:ascii="宋体" w:hAnsi="宋体" w:cs="宋体" w:eastAsiaTheme="minorEastAsia"/>
          <w:b/>
          <w:color w:val="000000" w:themeColor="text1"/>
          <w:sz w:val="44"/>
          <w:szCs w:val="44"/>
          <w14:textFill>
            <w14:solidFill>
              <w14:schemeClr w14:val="tx1"/>
            </w14:solidFill>
          </w14:textFill>
        </w:rPr>
        <w:sectPr>
          <w:footerReference r:id="rId6" w:type="first"/>
          <w:footerReference r:id="rId5" w:type="default"/>
          <w:pgSz w:w="11905" w:h="16838"/>
          <w:pgMar w:top="896" w:right="1009" w:bottom="828" w:left="1009" w:header="0" w:footer="0" w:gutter="0"/>
          <w:pgBorders>
            <w:top w:val="none" w:sz="0" w:space="0"/>
            <w:left w:val="none" w:sz="0" w:space="0"/>
            <w:bottom w:val="none" w:sz="0" w:space="0"/>
            <w:right w:val="none" w:sz="0" w:space="0"/>
          </w:pgBorders>
          <w:pgNumType w:fmt="numberInDash" w:start="1"/>
          <w:cols w:space="0" w:num="1"/>
          <w:rtlGutter w:val="0"/>
          <w:docGrid w:linePitch="312" w:charSpace="0"/>
        </w:sectPr>
      </w:pPr>
    </w:p>
    <w:p w14:paraId="1E2411FB">
      <w:pPr>
        <w:ind w:firstLine="2650" w:firstLineChars="600"/>
        <w:jc w:val="both"/>
        <w:rPr>
          <w:rStyle w:val="21"/>
          <w:rFonts w:ascii="宋体" w:hAnsi="宋体" w:cs="宋体" w:eastAsiaTheme="minorEastAsia"/>
          <w:b/>
          <w:color w:val="000000" w:themeColor="text1"/>
          <w:sz w:val="44"/>
          <w:szCs w:val="44"/>
          <w14:textFill>
            <w14:solidFill>
              <w14:schemeClr w14:val="tx1"/>
            </w14:solidFill>
          </w14:textFill>
        </w:rPr>
      </w:pPr>
      <w:r>
        <w:rPr>
          <w:rStyle w:val="21"/>
          <w:rFonts w:hint="eastAsia" w:ascii="宋体" w:hAnsi="宋体" w:cs="宋体" w:eastAsiaTheme="minorEastAsia"/>
          <w:b/>
          <w:color w:val="000000" w:themeColor="text1"/>
          <w:sz w:val="44"/>
          <w:szCs w:val="44"/>
          <w14:textFill>
            <w14:solidFill>
              <w14:schemeClr w14:val="tx1"/>
            </w14:solidFill>
          </w14:textFill>
        </w:rPr>
        <w:t>第四</w:t>
      </w:r>
      <w:r>
        <w:rPr>
          <w:rStyle w:val="21"/>
          <w:rFonts w:hint="eastAsia" w:ascii="宋体" w:hAnsi="宋体" w:cs="宋体" w:eastAsiaTheme="minorEastAsia"/>
          <w:b/>
          <w:color w:val="000000" w:themeColor="text1"/>
          <w:sz w:val="44"/>
          <w:szCs w:val="44"/>
          <w:lang w:val="en-US" w:eastAsia="zh-CN"/>
          <w14:textFill>
            <w14:solidFill>
              <w14:schemeClr w14:val="tx1"/>
            </w14:solidFill>
          </w14:textFill>
        </w:rPr>
        <w:t>部分</w:t>
      </w:r>
      <w:r>
        <w:rPr>
          <w:rStyle w:val="21"/>
          <w:rFonts w:hint="eastAsia" w:ascii="宋体" w:hAnsi="宋体" w:cs="宋体" w:eastAsiaTheme="minorEastAsia"/>
          <w:b/>
          <w:color w:val="000000" w:themeColor="text1"/>
          <w:sz w:val="44"/>
          <w:szCs w:val="44"/>
          <w14:textFill>
            <w14:solidFill>
              <w14:schemeClr w14:val="tx1"/>
            </w14:solidFill>
          </w14:textFill>
        </w:rPr>
        <w:t xml:space="preserve">  合同条款及格式</w:t>
      </w:r>
    </w:p>
    <w:p w14:paraId="52C3FFAC">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82" w:firstLineChars="200"/>
        <w:textAlignment w:val="auto"/>
        <w:rPr>
          <w:rFonts w:hint="eastAsia" w:ascii="宋体" w:hAnsi="宋体" w:eastAsia="宋体" w:cs="宋体"/>
          <w:b/>
          <w:color w:val="auto"/>
          <w:sz w:val="24"/>
          <w:szCs w:val="24"/>
          <w:highlight w:val="none"/>
        </w:rPr>
      </w:pPr>
      <w:bookmarkStart w:id="15" w:name="_Toc42355127"/>
      <w:bookmarkStart w:id="16" w:name="_Toc41973779"/>
      <w:r>
        <w:rPr>
          <w:rFonts w:hint="eastAsia" w:ascii="宋体" w:hAnsi="宋体" w:eastAsia="宋体" w:cs="宋体"/>
          <w:b/>
          <w:color w:val="auto"/>
          <w:sz w:val="24"/>
          <w:szCs w:val="24"/>
          <w:highlight w:val="none"/>
        </w:rPr>
        <w:t>注：如甲、乙双方同意，合同格式也可以按照其他形式, 具体条款以甲方为主协商确定。但合同条款的基本内容应与以下要求的内容相一致。</w:t>
      </w:r>
    </w:p>
    <w:p w14:paraId="100F59AA">
      <w:pPr>
        <w:pStyle w:val="13"/>
        <w:spacing w:beforeAutospacing="0" w:afterAutospacing="0" w:line="360" w:lineRule="auto"/>
        <w:ind w:firstLine="480"/>
        <w:jc w:val="both"/>
        <w:rPr>
          <w:rFonts w:hint="eastAsia" w:ascii="宋体" w:hAnsi="宋体" w:eastAsia="宋体" w:cs="宋体"/>
        </w:rPr>
      </w:pPr>
      <w:bookmarkStart w:id="17" w:name="_Toc20823315"/>
      <w:bookmarkStart w:id="18" w:name="_Toc16938559"/>
      <w:bookmarkStart w:id="19" w:name="_Toc513029243"/>
      <w:r>
        <w:rPr>
          <w:rFonts w:hint="eastAsia" w:ascii="宋体" w:hAnsi="宋体" w:eastAsia="宋体" w:cs="宋体"/>
          <w:color w:val="000000"/>
        </w:rPr>
        <w:t>以下为中标后签定本项目合同的通用条款，中标人不得提出实质性的修改。</w:t>
      </w:r>
      <w:bookmarkEnd w:id="17"/>
      <w:bookmarkEnd w:id="18"/>
      <w:bookmarkEnd w:id="19"/>
      <w:r>
        <w:rPr>
          <w:rFonts w:hint="eastAsia" w:ascii="宋体" w:hAnsi="宋体" w:eastAsia="宋体" w:cs="宋体"/>
        </w:rPr>
        <w:t> </w:t>
      </w:r>
    </w:p>
    <w:p w14:paraId="15E44DCD">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项目名称：                    </w:t>
      </w:r>
    </w:p>
    <w:p w14:paraId="036BA49C">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项目编号：</w:t>
      </w:r>
    </w:p>
    <w:p w14:paraId="2905ABCB">
      <w:pPr>
        <w:pStyle w:val="13"/>
        <w:spacing w:before="120" w:beforeAutospacing="0" w:after="120" w:afterAutospacing="0" w:line="360" w:lineRule="auto"/>
        <w:ind w:firstLine="480" w:firstLineChars="200"/>
        <w:jc w:val="both"/>
        <w:rPr>
          <w:rFonts w:hint="eastAsia" w:ascii="宋体" w:hAnsi="宋体" w:eastAsia="宋体" w:cs="宋体"/>
          <w:u w:val="single"/>
          <w:lang w:val="en-US" w:eastAsia="zh-CN"/>
        </w:rPr>
      </w:pPr>
      <w:r>
        <w:rPr>
          <w:rFonts w:hint="eastAsia" w:ascii="宋体" w:hAnsi="宋体" w:eastAsia="宋体" w:cs="宋体"/>
          <w:color w:val="000000"/>
        </w:rPr>
        <w:t>甲方：（委托方</w:t>
      </w:r>
      <w:r>
        <w:rPr>
          <w:rFonts w:hint="eastAsia" w:ascii="宋体" w:hAnsi="宋体" w:eastAsia="宋体" w:cs="宋体"/>
          <w:color w:val="000000"/>
          <w:lang w:eastAsia="zh-CN"/>
        </w:rPr>
        <w:t>）</w:t>
      </w:r>
      <w:r>
        <w:rPr>
          <w:rFonts w:hint="eastAsia" w:ascii="宋体" w:hAnsi="宋体" w:eastAsia="宋体" w:cs="宋体"/>
          <w:color w:val="000000"/>
          <w:u w:val="single"/>
          <w:lang w:val="en-US" w:eastAsia="zh-CN"/>
        </w:rPr>
        <w:t xml:space="preserve">             </w:t>
      </w:r>
    </w:p>
    <w:p w14:paraId="4475CA63">
      <w:pPr>
        <w:pStyle w:val="13"/>
        <w:spacing w:before="120" w:beforeAutospacing="0" w:after="12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乙方：（成交供应商）_________</w:t>
      </w:r>
    </w:p>
    <w:p w14:paraId="25811075">
      <w:pPr>
        <w:pStyle w:val="13"/>
        <w:spacing w:before="120" w:beforeAutospacing="0" w:after="120" w:afterAutospacing="0" w:line="360" w:lineRule="auto"/>
        <w:jc w:val="both"/>
        <w:rPr>
          <w:rFonts w:hint="eastAsia" w:ascii="宋体" w:hAnsi="宋体" w:eastAsia="宋体" w:cs="宋体"/>
        </w:rPr>
      </w:pPr>
      <w:r>
        <w:rPr>
          <w:rFonts w:hint="eastAsia" w:ascii="宋体" w:hAnsi="宋体" w:eastAsia="宋体" w:cs="宋体"/>
          <w:b/>
          <w:color w:val="000000"/>
        </w:rPr>
        <w:t xml:space="preserve">   </w:t>
      </w:r>
      <w:r>
        <w:rPr>
          <w:rFonts w:hint="eastAsia" w:ascii="宋体" w:hAnsi="宋体" w:eastAsia="宋体" w:cs="宋体"/>
          <w:color w:val="000000"/>
        </w:rPr>
        <w:t>甲、乙双方根据</w:t>
      </w:r>
      <w:r>
        <w:rPr>
          <w:rFonts w:hint="eastAsia" w:ascii="宋体" w:hAnsi="宋体" w:eastAsia="宋体" w:cs="宋体"/>
          <w:color w:val="000000"/>
          <w:u w:val="single"/>
        </w:rPr>
        <w:t>      </w:t>
      </w:r>
      <w:r>
        <w:rPr>
          <w:rFonts w:hint="eastAsia"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项目公开招标的结果，签署本合同。</w:t>
      </w:r>
    </w:p>
    <w:p w14:paraId="12E231FF">
      <w:pPr>
        <w:pStyle w:val="13"/>
        <w:spacing w:before="120" w:beforeAutospacing="0" w:after="120" w:afterAutospacing="0" w:line="360" w:lineRule="auto"/>
        <w:ind w:left="412" w:hanging="412"/>
        <w:jc w:val="both"/>
        <w:rPr>
          <w:rFonts w:hint="eastAsia" w:ascii="宋体" w:hAnsi="宋体" w:eastAsia="宋体" w:cs="宋体"/>
          <w:b/>
          <w:color w:val="000000"/>
          <w:highlight w:val="none"/>
        </w:rPr>
      </w:pPr>
      <w:r>
        <w:rPr>
          <w:rFonts w:hint="eastAsia" w:ascii="宋体" w:hAnsi="宋体" w:eastAsia="宋体" w:cs="宋体"/>
          <w:b/>
          <w:color w:val="000000"/>
          <w:highlight w:val="none"/>
        </w:rPr>
        <w:t>一、乙方服务内容</w:t>
      </w:r>
    </w:p>
    <w:p w14:paraId="36DA001E">
      <w:pPr>
        <w:pStyle w:val="13"/>
        <w:spacing w:before="120" w:beforeAutospacing="0" w:after="120" w:afterAutospacing="0" w:line="360" w:lineRule="auto"/>
        <w:ind w:left="412" w:hanging="412"/>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按照甲方制定的月度绿化养护计划实施作业。一年内工作频次要求：草坪修剪6次；色块灌木修剪6次；人工除草6次；打药4次；树木刷白1次；草花种植4次；抗旱灌水1次。具体工作内容以甲方安排为准。服从甲方要求。</w:t>
      </w:r>
    </w:p>
    <w:p w14:paraId="3C9E41CF">
      <w:pPr>
        <w:pStyle w:val="13"/>
        <w:spacing w:before="120" w:beforeAutospacing="0" w:after="120" w:afterAutospacing="0" w:line="360" w:lineRule="auto"/>
        <w:ind w:left="412" w:hanging="412"/>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2、响水工业经济区范围内各种乔木、灌木、绿篱、草坪养护，有土丘、低洼、坑洞时，尽量拉平、垫土保证草坪的平整度。</w:t>
      </w:r>
    </w:p>
    <w:p w14:paraId="6345E261">
      <w:pPr>
        <w:pStyle w:val="13"/>
        <w:spacing w:before="120" w:beforeAutospacing="0" w:after="120" w:afterAutospacing="0" w:line="360" w:lineRule="auto"/>
        <w:ind w:left="412" w:hanging="412"/>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3、响水工业经济区范围内所有草坪尽可能人工拔除杂草，草坪退化的地块，合理洒入草籽，逐步恢复草坪的原貌和完整性。</w:t>
      </w:r>
    </w:p>
    <w:p w14:paraId="66019C7C">
      <w:pPr>
        <w:pStyle w:val="13"/>
        <w:spacing w:before="120" w:beforeAutospacing="0" w:after="120" w:afterAutospacing="0" w:line="360" w:lineRule="auto"/>
        <w:ind w:left="412" w:hanging="412"/>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4、响水工业经济区范围内各观赏植物按生长情况修剪整齐，绿篱要保持上平下齐状，球型灌木要保持圆形状。各植物、草坪、树木提前估好病虫害防治措施，保持无病虫害状态。</w:t>
      </w:r>
    </w:p>
    <w:p w14:paraId="493464A6">
      <w:pPr>
        <w:pStyle w:val="13"/>
        <w:spacing w:before="120" w:beforeAutospacing="0" w:after="120" w:afterAutospacing="0" w:line="360" w:lineRule="auto"/>
        <w:ind w:left="412" w:hanging="412"/>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5、响水工业经济区范围内各类杂树须及时清理，配合甲方做好局部绿化和时令草花的补植工作，冬季做好树木的刷白、树池开挖和防冻措施。</w:t>
      </w:r>
    </w:p>
    <w:p w14:paraId="3F3A72A1">
      <w:pPr>
        <w:pStyle w:val="13"/>
        <w:spacing w:before="120" w:beforeAutospacing="0" w:after="120" w:afterAutospacing="0" w:line="360" w:lineRule="auto"/>
        <w:ind w:left="412" w:hanging="412"/>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响水工业经济区范围内重点绿化区域内的草坪，须重点养护，保证草坪的清洁度、草坪的高度标准控制在6cm之间。重点区域为：邻里中心、小镇公园及周边、纸文化公园、振兴路、开创路、326省道两侧，黄海路、通港大道、厚德路等。重点区域草坪内目视无明显杂草、砖块杂木、树枝枯叶；非重点区域草坪的清洁度、草坪的高度不超过10cm之间，各类杂草高度原则上不得超过15cm，草坪修剪后，第一时间清扫路面（原则上随剪随扫），草坪上的残草清理（原则上在6小时内完成），严禁在响水工业经济区范围内乱放乱倒或填埋，乙方自行解决残草处置地点，但需合规合理处置，不得违反响水工业经济区的环保要求和规定。</w:t>
      </w:r>
    </w:p>
    <w:p w14:paraId="2A2E9D14">
      <w:pPr>
        <w:pStyle w:val="13"/>
        <w:spacing w:before="120" w:beforeAutospacing="0" w:after="120" w:afterAutospacing="0" w:line="360" w:lineRule="auto"/>
        <w:ind w:left="412" w:hanging="412"/>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响水工业经济区范围内重点绿化区域内乔木，须重点养护，合理进行疏枝修剪，定高定型。对范围内的乔灌木出现枯死的或枯枝要及时清理，对范围内出现倾斜歪倒的乔灌木应及时组织人员进行加固扶正处理，保持重点区域内目视各类乔灌木无明显枯枝或倾斜歪倒现象。</w:t>
      </w:r>
    </w:p>
    <w:p w14:paraId="76154C49">
      <w:pPr>
        <w:pStyle w:val="13"/>
        <w:spacing w:before="120" w:beforeAutospacing="0" w:after="120" w:afterAutospacing="0" w:line="360" w:lineRule="auto"/>
        <w:ind w:left="412" w:hanging="412"/>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8、遇响水工业经济区重要活动，急需紧急突击时，乙方须集中力量无条件配合，随时应对，第一时间组织人员并在规定时间内完成任务。</w:t>
      </w:r>
    </w:p>
    <w:p w14:paraId="33D3712E">
      <w:pPr>
        <w:pStyle w:val="13"/>
        <w:spacing w:before="120" w:beforeAutospacing="0" w:after="120" w:afterAutospacing="0" w:line="360" w:lineRule="auto"/>
        <w:ind w:left="412" w:hanging="412"/>
        <w:jc w:val="both"/>
        <w:rPr>
          <w:rFonts w:hint="eastAsia" w:ascii="宋体" w:hAnsi="宋体" w:eastAsia="宋体" w:cs="宋体"/>
          <w:b/>
          <w:color w:val="000000"/>
          <w:highlight w:val="none"/>
        </w:rPr>
      </w:pPr>
      <w:r>
        <w:rPr>
          <w:rFonts w:hint="eastAsia" w:ascii="宋体" w:hAnsi="宋体" w:eastAsia="宋体" w:cs="宋体"/>
          <w:b/>
          <w:color w:val="000000"/>
          <w:highlight w:val="none"/>
        </w:rPr>
        <w:t>二、合同履行期限、地点</w:t>
      </w:r>
    </w:p>
    <w:p w14:paraId="638B18DB">
      <w:pPr>
        <w:pStyle w:val="13"/>
        <w:spacing w:before="120" w:beforeAutospacing="0" w:after="120" w:afterAutospacing="0" w:line="360" w:lineRule="auto"/>
        <w:jc w:val="both"/>
        <w:rPr>
          <w:rFonts w:hint="eastAsia" w:cs="宋体"/>
          <w:color w:val="000000"/>
          <w:highlight w:val="none"/>
          <w:lang w:eastAsia="zh-CN"/>
        </w:rPr>
      </w:pPr>
      <w:r>
        <w:rPr>
          <w:rFonts w:hint="eastAsia" w:ascii="宋体" w:hAnsi="宋体" w:eastAsia="宋体" w:cs="宋体"/>
          <w:color w:val="000000"/>
          <w:highlight w:val="none"/>
        </w:rPr>
        <w:t>1、服务期限</w:t>
      </w:r>
      <w:r>
        <w:rPr>
          <w:rFonts w:hint="eastAsia" w:cs="宋体"/>
          <w:color w:val="000000"/>
          <w:highlight w:val="none"/>
          <w:lang w:eastAsia="zh-CN"/>
        </w:rPr>
        <w:t>：</w:t>
      </w:r>
      <w:r>
        <w:rPr>
          <w:rFonts w:hint="eastAsia" w:cs="宋体"/>
          <w:color w:val="000000"/>
          <w:highlight w:val="none"/>
          <w:lang w:val="en-US" w:eastAsia="zh-CN"/>
        </w:rPr>
        <w:t>一</w:t>
      </w:r>
      <w:r>
        <w:rPr>
          <w:rFonts w:hint="eastAsia" w:ascii="宋体" w:hAnsi="宋体" w:eastAsia="宋体" w:cs="宋体"/>
          <w:color w:val="000000"/>
          <w:highlight w:val="none"/>
        </w:rPr>
        <w:t>年</w:t>
      </w:r>
      <w:r>
        <w:rPr>
          <w:rFonts w:hint="eastAsia" w:cs="宋体"/>
          <w:color w:val="000000"/>
          <w:highlight w:val="none"/>
          <w:lang w:eastAsia="zh-CN"/>
        </w:rPr>
        <w:t>（</w:t>
      </w:r>
      <w:r>
        <w:rPr>
          <w:rFonts w:hint="eastAsia" w:cs="宋体"/>
          <w:color w:val="000000"/>
          <w:highlight w:val="none"/>
          <w:lang w:val="en-US" w:eastAsia="zh-CN"/>
        </w:rPr>
        <w:t>自合同签订之日起算</w:t>
      </w:r>
      <w:r>
        <w:rPr>
          <w:rFonts w:hint="eastAsia" w:cs="宋体"/>
          <w:color w:val="000000"/>
          <w:highlight w:val="none"/>
          <w:lang w:eastAsia="zh-CN"/>
        </w:rPr>
        <w:t>）</w:t>
      </w:r>
    </w:p>
    <w:p w14:paraId="2D3C8263">
      <w:pPr>
        <w:pStyle w:val="13"/>
        <w:spacing w:before="120" w:beforeAutospacing="0" w:after="120" w:afterAutospacing="0" w:line="360" w:lineRule="auto"/>
        <w:ind w:firstLine="240"/>
        <w:jc w:val="both"/>
        <w:rPr>
          <w:rFonts w:hint="eastAsia" w:cs="宋体"/>
          <w:color w:val="000000"/>
          <w:highlight w:val="none"/>
          <w:lang w:val="en-US" w:eastAsia="zh-CN"/>
        </w:rPr>
      </w:pPr>
      <w:r>
        <w:rPr>
          <w:rFonts w:hint="eastAsia" w:ascii="宋体" w:hAnsi="宋体" w:eastAsia="宋体" w:cs="宋体"/>
          <w:color w:val="000000"/>
          <w:highlight w:val="none"/>
        </w:rPr>
        <w:t>2、合同履行地点：</w:t>
      </w:r>
      <w:r>
        <w:rPr>
          <w:rFonts w:hint="eastAsia" w:cs="宋体"/>
          <w:color w:val="000000"/>
          <w:highlight w:val="none"/>
          <w:lang w:val="en-US" w:eastAsia="zh-CN"/>
        </w:rPr>
        <w:t>响水县工业经济区境内</w:t>
      </w:r>
    </w:p>
    <w:p w14:paraId="6FAADE00">
      <w:pPr>
        <w:pStyle w:val="13"/>
        <w:spacing w:before="120" w:beforeAutospacing="0" w:after="120" w:afterAutospacing="0" w:line="360" w:lineRule="auto"/>
        <w:ind w:left="412" w:hanging="412"/>
        <w:jc w:val="both"/>
        <w:rPr>
          <w:rFonts w:hint="eastAsia" w:ascii="宋体" w:hAnsi="宋体" w:eastAsia="宋体" w:cs="宋体"/>
          <w:b/>
          <w:color w:val="000000"/>
        </w:rPr>
      </w:pPr>
      <w:r>
        <w:rPr>
          <w:rFonts w:hint="eastAsia" w:ascii="宋体" w:hAnsi="宋体" w:eastAsia="宋体" w:cs="宋体"/>
          <w:b/>
          <w:color w:val="000000"/>
        </w:rPr>
        <w:t>三、合同金额</w:t>
      </w:r>
    </w:p>
    <w:p w14:paraId="7EE86C7C">
      <w:pPr>
        <w:pStyle w:val="13"/>
        <w:spacing w:before="120" w:beforeAutospacing="0" w:after="120" w:afterAutospacing="0" w:line="360" w:lineRule="auto"/>
        <w:ind w:left="410" w:hanging="410"/>
        <w:jc w:val="both"/>
        <w:rPr>
          <w:rFonts w:hint="eastAsia" w:cs="宋体"/>
          <w:color w:val="000000"/>
          <w:lang w:eastAsia="zh-CN"/>
        </w:rPr>
      </w:pPr>
      <w:r>
        <w:rPr>
          <w:rFonts w:hint="eastAsia" w:ascii="宋体" w:hAnsi="宋体" w:eastAsia="宋体" w:cs="宋体"/>
          <w:color w:val="000000"/>
        </w:rPr>
        <w:t>本合同金额为人民币（大写）：___________________</w:t>
      </w:r>
      <w:r>
        <w:rPr>
          <w:rFonts w:hint="eastAsia" w:cs="宋体"/>
          <w:color w:val="000000"/>
          <w:lang w:val="en-US" w:eastAsia="zh-CN"/>
        </w:rPr>
        <w:t xml:space="preserve"> </w:t>
      </w:r>
      <w:r>
        <w:rPr>
          <w:rFonts w:hint="eastAsia" w:ascii="宋体" w:hAnsi="宋体" w:eastAsia="宋体" w:cs="宋体"/>
          <w:color w:val="000000"/>
        </w:rPr>
        <w:t>（_____________元）</w:t>
      </w:r>
      <w:r>
        <w:rPr>
          <w:rFonts w:hint="eastAsia" w:cs="宋体"/>
          <w:color w:val="000000"/>
          <w:lang w:eastAsia="zh-CN"/>
        </w:rPr>
        <w:t>。</w:t>
      </w:r>
    </w:p>
    <w:p w14:paraId="0C19CECC">
      <w:pPr>
        <w:pStyle w:val="13"/>
        <w:spacing w:before="120" w:beforeAutospacing="0" w:after="120" w:afterAutospacing="0" w:line="360" w:lineRule="auto"/>
        <w:ind w:left="410" w:hanging="410"/>
        <w:jc w:val="both"/>
        <w:rPr>
          <w:rFonts w:hint="eastAsia" w:cs="宋体"/>
          <w:color w:val="000000"/>
          <w:lang w:eastAsia="zh-CN"/>
        </w:rPr>
      </w:pPr>
      <w:r>
        <w:rPr>
          <w:rFonts w:hint="eastAsia" w:cs="宋体"/>
          <w:color w:val="000000"/>
          <w:lang w:eastAsia="zh-CN"/>
        </w:rPr>
        <w:t>以上费用包含：人员工资、福利、社保、意外险费用；绿化机械、车辆、工具及燃油费、利润、税金等一切费用。</w:t>
      </w:r>
    </w:p>
    <w:p w14:paraId="3EC328AA">
      <w:pPr>
        <w:pStyle w:val="13"/>
        <w:spacing w:before="120" w:beforeAutospacing="0" w:after="120" w:afterAutospacing="0" w:line="360" w:lineRule="auto"/>
        <w:ind w:left="412" w:hanging="412"/>
        <w:jc w:val="both"/>
        <w:rPr>
          <w:rFonts w:hint="eastAsia" w:ascii="宋体" w:hAnsi="宋体" w:eastAsia="宋体" w:cs="宋体"/>
        </w:rPr>
      </w:pPr>
      <w:r>
        <w:rPr>
          <w:rFonts w:hint="eastAsia" w:ascii="宋体" w:hAnsi="宋体" w:eastAsia="宋体" w:cs="宋体"/>
          <w:b/>
          <w:color w:val="000000"/>
        </w:rPr>
        <w:t>四、知识产权</w:t>
      </w:r>
    </w:p>
    <w:p w14:paraId="5237F077">
      <w:pPr>
        <w:pStyle w:val="13"/>
        <w:spacing w:before="120" w:beforeAutospacing="0" w:after="120" w:afterAutospacing="0" w:line="360" w:lineRule="auto"/>
        <w:ind w:left="408" w:hanging="408"/>
        <w:jc w:val="both"/>
        <w:rPr>
          <w:rFonts w:hint="eastAsia" w:ascii="宋体" w:hAnsi="宋体" w:eastAsia="宋体" w:cs="宋体"/>
        </w:rPr>
      </w:pPr>
      <w:r>
        <w:rPr>
          <w:rFonts w:hint="eastAsia" w:ascii="宋体" w:hAnsi="宋体" w:eastAsia="宋体" w:cs="宋体"/>
          <w:color w:val="000000"/>
        </w:rPr>
        <w:t>4.1乙方应保证甲方在使用、接受本合同服务（包含与服务相关的货物）或其任何一部分时不受第三方提出侵犯其专利权、版权、商标权和工业设计权等知识产权的起诉。一旦出现侵权，由乙方负全部责任。</w:t>
      </w:r>
    </w:p>
    <w:p w14:paraId="7937827C">
      <w:pPr>
        <w:pStyle w:val="13"/>
        <w:spacing w:before="120" w:beforeAutospacing="0" w:after="120" w:afterAutospacing="0" w:line="360" w:lineRule="auto"/>
        <w:jc w:val="both"/>
        <w:rPr>
          <w:rFonts w:hint="eastAsia" w:ascii="宋体" w:hAnsi="宋体" w:eastAsia="宋体" w:cs="宋体"/>
        </w:rPr>
      </w:pPr>
      <w:r>
        <w:rPr>
          <w:rFonts w:hint="eastAsia" w:ascii="宋体" w:hAnsi="宋体" w:eastAsia="宋体" w:cs="宋体"/>
          <w:b/>
          <w:color w:val="000000"/>
        </w:rPr>
        <w:t>五、产权担保</w:t>
      </w:r>
    </w:p>
    <w:p w14:paraId="67F81AB7">
      <w:pPr>
        <w:pStyle w:val="13"/>
        <w:spacing w:before="120" w:beforeAutospacing="0" w:after="120" w:afterAutospacing="0" w:line="360" w:lineRule="auto"/>
        <w:ind w:left="408" w:hanging="408"/>
        <w:jc w:val="both"/>
        <w:rPr>
          <w:rFonts w:hint="eastAsia" w:ascii="宋体" w:hAnsi="宋体" w:eastAsia="宋体" w:cs="宋体"/>
        </w:rPr>
      </w:pPr>
      <w:r>
        <w:rPr>
          <w:rFonts w:hint="eastAsia" w:ascii="宋体" w:hAnsi="宋体" w:eastAsia="宋体" w:cs="宋体"/>
          <w:color w:val="000000"/>
        </w:rPr>
        <w:t>5.1乙方保证所交付的服务（包含与服务相关的货物）的所有权完全属于乙方且无任何抵押、查封等产权瑕疵。</w:t>
      </w:r>
    </w:p>
    <w:p w14:paraId="031DC9D2">
      <w:pPr>
        <w:pStyle w:val="13"/>
        <w:spacing w:before="120" w:beforeAutospacing="0" w:after="120" w:afterAutospacing="0" w:line="360" w:lineRule="auto"/>
        <w:ind w:left="410" w:hanging="410"/>
        <w:jc w:val="both"/>
        <w:rPr>
          <w:rFonts w:hint="eastAsia" w:ascii="宋体" w:hAnsi="宋体" w:eastAsia="宋体" w:cs="宋体"/>
        </w:rPr>
      </w:pPr>
      <w:r>
        <w:rPr>
          <w:rFonts w:hint="eastAsia" w:ascii="宋体" w:hAnsi="宋体" w:eastAsia="宋体" w:cs="宋体"/>
          <w:b/>
          <w:color w:val="000000"/>
        </w:rPr>
        <w:t>六、履约保证金</w:t>
      </w:r>
    </w:p>
    <w:p w14:paraId="736E4EB7">
      <w:pPr>
        <w:spacing w:before="79" w:beforeLines="25" w:after="79" w:afterLines="25" w:line="420" w:lineRule="exact"/>
        <w:ind w:firstLine="480" w:firstLineChars="200"/>
        <w:rPr>
          <w:rFonts w:hint="eastAsia" w:ascii="宋体" w:hAnsi="宋体" w:cs="宋体"/>
          <w:b w:val="0"/>
          <w:bCs w:val="0"/>
          <w:color w:val="000000"/>
          <w:sz w:val="24"/>
          <w:szCs w:val="24"/>
          <w:highlight w:val="yellow"/>
          <w:lang w:val="en-US" w:eastAsia="zh-CN"/>
        </w:rPr>
      </w:pPr>
      <w:r>
        <w:rPr>
          <w:rFonts w:hint="eastAsia" w:ascii="宋体" w:hAnsi="宋体" w:eastAsia="宋体" w:cs="宋体"/>
          <w:color w:val="auto"/>
          <w:sz w:val="24"/>
          <w:szCs w:val="24"/>
          <w:highlight w:val="none"/>
          <w:lang w:val="en-US" w:eastAsia="zh-CN"/>
        </w:rPr>
        <w:t>6.1、履约保证金为中标价的5%</w:t>
      </w:r>
      <w:r>
        <w:rPr>
          <w:rFonts w:hint="eastAsia" w:ascii="宋体" w:hAnsi="宋体" w:eastAsia="宋体" w:cs="宋体"/>
          <w:color w:val="auto"/>
          <w:sz w:val="24"/>
          <w:szCs w:val="24"/>
          <w:highlight w:val="none"/>
        </w:rPr>
        <w:t>。</w:t>
      </w:r>
    </w:p>
    <w:p w14:paraId="77EF3D92">
      <w:pPr>
        <w:spacing w:before="79" w:beforeLines="25" w:after="79" w:afterLines="25"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 履约保证金在合同履约完毕后一次性退还（无息）。如果未能按合同、招标投标文件履约的，中止合同，履约保证金不予退还。</w:t>
      </w:r>
    </w:p>
    <w:p w14:paraId="59A884F0">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6.</w:t>
      </w:r>
      <w:r>
        <w:rPr>
          <w:rFonts w:hint="eastAsia" w:ascii="宋体" w:hAnsi="宋体" w:eastAsia="宋体" w:cs="宋体"/>
          <w:b/>
          <w:bCs/>
          <w:sz w:val="24"/>
          <w:lang w:val="en-US" w:eastAsia="zh-CN"/>
        </w:rPr>
        <w:t>3</w:t>
      </w:r>
      <w:r>
        <w:rPr>
          <w:rFonts w:hint="eastAsia" w:ascii="宋体" w:hAnsi="宋体" w:eastAsia="宋体" w:cs="宋体"/>
          <w:b/>
          <w:bCs/>
          <w:sz w:val="24"/>
        </w:rPr>
        <w:t>不予退还情形：</w:t>
      </w:r>
    </w:p>
    <w:p w14:paraId="19DDAF31">
      <w:pPr>
        <w:spacing w:line="360" w:lineRule="auto"/>
        <w:ind w:firstLine="482"/>
        <w:rPr>
          <w:rFonts w:hint="eastAsia" w:ascii="宋体" w:hAnsi="宋体" w:eastAsia="宋体" w:cs="宋体"/>
          <w:b/>
          <w:bCs/>
          <w:sz w:val="24"/>
        </w:rPr>
      </w:pPr>
      <w:r>
        <w:rPr>
          <w:rFonts w:hint="eastAsia" w:ascii="宋体" w:hAnsi="宋体" w:eastAsia="宋体" w:cs="宋体"/>
          <w:b/>
          <w:bCs/>
          <w:sz w:val="24"/>
        </w:rPr>
        <w:t>除不可抗力情况外，投标人出现下列情形之一的，其履约保证金，</w:t>
      </w:r>
      <w:r>
        <w:rPr>
          <w:rFonts w:hint="eastAsia" w:ascii="宋体" w:hAnsi="宋体" w:eastAsia="宋体" w:cs="宋体"/>
          <w:b/>
          <w:bCs/>
          <w:sz w:val="24"/>
          <w:lang w:val="en-US" w:eastAsia="zh-CN"/>
        </w:rPr>
        <w:t>甲方</w:t>
      </w:r>
      <w:r>
        <w:rPr>
          <w:rFonts w:hint="eastAsia" w:ascii="宋体" w:hAnsi="宋体" w:eastAsia="宋体" w:cs="宋体"/>
          <w:b/>
          <w:bCs/>
          <w:sz w:val="24"/>
        </w:rPr>
        <w:t>将不予退还。</w:t>
      </w:r>
    </w:p>
    <w:p w14:paraId="22BCB25A">
      <w:pPr>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乙方</w:t>
      </w:r>
      <w:r>
        <w:rPr>
          <w:rFonts w:hint="eastAsia" w:ascii="宋体" w:hAnsi="宋体" w:eastAsia="宋体" w:cs="宋体"/>
          <w:b/>
          <w:bCs/>
          <w:sz w:val="24"/>
        </w:rPr>
        <w:t>无正当理由拒绝签订合同的，或者在签订合同时向</w:t>
      </w:r>
      <w:r>
        <w:rPr>
          <w:rFonts w:hint="eastAsia" w:ascii="宋体" w:hAnsi="宋体" w:eastAsia="宋体" w:cs="宋体"/>
          <w:b/>
          <w:bCs/>
          <w:sz w:val="24"/>
          <w:lang w:val="en-US" w:eastAsia="zh-CN"/>
        </w:rPr>
        <w:t>甲方</w:t>
      </w:r>
      <w:r>
        <w:rPr>
          <w:rFonts w:hint="eastAsia" w:ascii="宋体" w:hAnsi="宋体" w:eastAsia="宋体" w:cs="宋体"/>
          <w:b/>
          <w:bCs/>
          <w:sz w:val="24"/>
        </w:rPr>
        <w:t>提出附加条件或者更改合同实质性内容要求的；</w:t>
      </w:r>
    </w:p>
    <w:p w14:paraId="435BBF77">
      <w:pPr>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乙方</w:t>
      </w:r>
      <w:r>
        <w:rPr>
          <w:rFonts w:hint="eastAsia" w:ascii="宋体" w:hAnsi="宋体" w:eastAsia="宋体" w:cs="宋体"/>
          <w:b/>
          <w:bCs/>
          <w:sz w:val="24"/>
        </w:rPr>
        <w:t>不履行与</w:t>
      </w:r>
      <w:r>
        <w:rPr>
          <w:rFonts w:hint="eastAsia" w:ascii="宋体" w:hAnsi="宋体" w:eastAsia="宋体" w:cs="宋体"/>
          <w:b/>
          <w:bCs/>
          <w:sz w:val="24"/>
          <w:lang w:val="en-US" w:eastAsia="zh-CN"/>
        </w:rPr>
        <w:t>甲方</w:t>
      </w:r>
      <w:r>
        <w:rPr>
          <w:rFonts w:hint="eastAsia" w:ascii="宋体" w:hAnsi="宋体" w:eastAsia="宋体" w:cs="宋体"/>
          <w:b/>
          <w:bCs/>
          <w:sz w:val="24"/>
        </w:rPr>
        <w:t>订立的合同的；</w:t>
      </w:r>
    </w:p>
    <w:p w14:paraId="6CC25037">
      <w:pPr>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乙方</w:t>
      </w:r>
      <w:r>
        <w:rPr>
          <w:rFonts w:hint="eastAsia" w:ascii="宋体" w:hAnsi="宋体" w:eastAsia="宋体" w:cs="宋体"/>
          <w:b/>
          <w:bCs/>
          <w:sz w:val="24"/>
        </w:rPr>
        <w:t>所供货物或服务不符合招标文件规定要求的；</w:t>
      </w:r>
    </w:p>
    <w:p w14:paraId="757C7F34">
      <w:pPr>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rPr>
        <w:t>（4）</w:t>
      </w:r>
      <w:r>
        <w:rPr>
          <w:rFonts w:hint="eastAsia" w:ascii="宋体" w:hAnsi="宋体" w:eastAsia="宋体" w:cs="宋体"/>
          <w:b/>
          <w:bCs/>
          <w:sz w:val="24"/>
          <w:lang w:val="en-US" w:eastAsia="zh-CN"/>
        </w:rPr>
        <w:t>乙方</w:t>
      </w:r>
      <w:r>
        <w:rPr>
          <w:rFonts w:hint="eastAsia" w:ascii="宋体" w:hAnsi="宋体" w:eastAsia="宋体" w:cs="宋体"/>
          <w:b/>
          <w:bCs/>
          <w:sz w:val="24"/>
        </w:rPr>
        <w:t>采取欺骗、弄虚作假方式投标的或与其它投标人串通投标的；</w:t>
      </w:r>
    </w:p>
    <w:p w14:paraId="1AD7F3CC">
      <w:pPr>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rPr>
        <w:t>（5）</w:t>
      </w:r>
      <w:r>
        <w:rPr>
          <w:rFonts w:hint="eastAsia" w:ascii="宋体" w:hAnsi="宋体" w:eastAsia="宋体" w:cs="宋体"/>
          <w:b/>
          <w:bCs/>
          <w:sz w:val="24"/>
          <w:lang w:val="en-US" w:eastAsia="zh-CN"/>
        </w:rPr>
        <w:t>乙方</w:t>
      </w:r>
      <w:r>
        <w:rPr>
          <w:rFonts w:hint="eastAsia" w:ascii="宋体" w:hAnsi="宋体" w:eastAsia="宋体" w:cs="宋体"/>
          <w:b/>
          <w:bCs/>
          <w:sz w:val="24"/>
        </w:rPr>
        <w:t>将合同内容转包、违法分包的；</w:t>
      </w:r>
    </w:p>
    <w:p w14:paraId="24B6E9C2">
      <w:pPr>
        <w:spacing w:line="360" w:lineRule="auto"/>
        <w:ind w:firstLine="241" w:firstLineChars="100"/>
        <w:rPr>
          <w:rFonts w:hint="eastAsia" w:ascii="宋体" w:hAnsi="宋体" w:eastAsia="宋体" w:cs="宋体"/>
          <w:b/>
          <w:bCs/>
          <w:sz w:val="24"/>
        </w:rPr>
      </w:pPr>
      <w:r>
        <w:rPr>
          <w:rFonts w:hint="eastAsia" w:ascii="宋体" w:hAnsi="宋体" w:eastAsia="宋体" w:cs="宋体"/>
          <w:b/>
          <w:bCs/>
          <w:sz w:val="24"/>
        </w:rPr>
        <w:t>（6）</w:t>
      </w:r>
      <w:r>
        <w:rPr>
          <w:rFonts w:hint="eastAsia" w:ascii="宋体" w:hAnsi="宋体" w:eastAsia="宋体" w:cs="宋体"/>
          <w:b/>
          <w:bCs/>
          <w:sz w:val="24"/>
          <w:lang w:val="en-US" w:eastAsia="zh-CN"/>
        </w:rPr>
        <w:t>乙方</w:t>
      </w:r>
      <w:r>
        <w:rPr>
          <w:rFonts w:hint="eastAsia" w:ascii="宋体" w:hAnsi="宋体" w:eastAsia="宋体" w:cs="宋体"/>
          <w:b/>
          <w:bCs/>
          <w:sz w:val="24"/>
        </w:rPr>
        <w:t>故意捏造事实或伪造证明材料，进行虚假恶意投诉或反映的。</w:t>
      </w:r>
    </w:p>
    <w:p w14:paraId="38F7FE41">
      <w:pPr>
        <w:pStyle w:val="13"/>
        <w:spacing w:before="145" w:beforeAutospacing="0" w:after="145" w:afterAutospacing="0" w:line="360" w:lineRule="auto"/>
        <w:jc w:val="both"/>
        <w:rPr>
          <w:rFonts w:hint="eastAsia" w:ascii="宋体" w:hAnsi="宋体" w:eastAsia="宋体" w:cs="宋体"/>
        </w:rPr>
      </w:pPr>
      <w:r>
        <w:rPr>
          <w:rFonts w:hint="eastAsia" w:ascii="宋体" w:hAnsi="宋体" w:eastAsia="宋体" w:cs="宋体"/>
          <w:b/>
          <w:color w:val="000000"/>
        </w:rPr>
        <w:t>七、合同转包或分包</w:t>
      </w:r>
    </w:p>
    <w:p w14:paraId="3C2F923F">
      <w:pPr>
        <w:pStyle w:val="13"/>
        <w:spacing w:before="145" w:beforeAutospacing="0" w:after="145" w:afterAutospacing="0" w:line="360" w:lineRule="auto"/>
        <w:ind w:firstLine="240" w:firstLineChars="100"/>
        <w:jc w:val="both"/>
        <w:rPr>
          <w:rFonts w:hint="eastAsia" w:ascii="宋体" w:hAnsi="宋体" w:eastAsia="宋体" w:cs="宋体"/>
        </w:rPr>
      </w:pPr>
      <w:r>
        <w:rPr>
          <w:rFonts w:hint="eastAsia" w:ascii="宋体" w:hAnsi="宋体" w:eastAsia="宋体" w:cs="宋体"/>
          <w:color w:val="000000"/>
        </w:rPr>
        <w:t>7.1乙方不得将合同标的转包给他人履行。</w:t>
      </w:r>
    </w:p>
    <w:p w14:paraId="142C9510">
      <w:pPr>
        <w:pStyle w:val="13"/>
        <w:spacing w:before="145" w:beforeAutospacing="0" w:after="145" w:afterAutospacing="0" w:line="360" w:lineRule="auto"/>
        <w:ind w:firstLine="240" w:firstLineChars="100"/>
        <w:jc w:val="both"/>
        <w:rPr>
          <w:rFonts w:hint="eastAsia" w:ascii="宋体" w:hAnsi="宋体" w:eastAsia="宋体" w:cs="宋体"/>
        </w:rPr>
      </w:pPr>
      <w:r>
        <w:rPr>
          <w:rFonts w:hint="eastAsia" w:ascii="宋体" w:hAnsi="宋体" w:eastAsia="宋体" w:cs="宋体"/>
          <w:color w:val="000000"/>
        </w:rPr>
        <w:t>7.2乙方不得将合同标的分包给他人履行。</w:t>
      </w:r>
    </w:p>
    <w:p w14:paraId="18646E44">
      <w:pPr>
        <w:pStyle w:val="13"/>
        <w:spacing w:before="145" w:beforeAutospacing="0" w:after="145" w:afterAutospacing="0" w:line="360" w:lineRule="auto"/>
        <w:ind w:firstLine="240" w:firstLineChars="100"/>
        <w:jc w:val="both"/>
        <w:rPr>
          <w:rFonts w:hint="eastAsia" w:ascii="宋体" w:hAnsi="宋体" w:eastAsia="宋体" w:cs="宋体"/>
        </w:rPr>
      </w:pPr>
      <w:r>
        <w:rPr>
          <w:rFonts w:hint="eastAsia" w:ascii="宋体" w:hAnsi="宋体" w:eastAsia="宋体" w:cs="宋体"/>
          <w:color w:val="000000"/>
        </w:rPr>
        <w:t>7.3乙方如有转包或未经甲方同意的分包行为，甲方有权解除合同。</w:t>
      </w:r>
    </w:p>
    <w:p w14:paraId="08B14C4C">
      <w:pPr>
        <w:pStyle w:val="13"/>
        <w:spacing w:before="120" w:beforeAutospacing="0" w:after="120" w:afterAutospacing="0" w:line="360" w:lineRule="auto"/>
        <w:jc w:val="both"/>
        <w:rPr>
          <w:rFonts w:hint="eastAsia" w:ascii="宋体" w:hAnsi="宋体" w:eastAsia="宋体" w:cs="宋体"/>
        </w:rPr>
      </w:pPr>
      <w:r>
        <w:rPr>
          <w:rFonts w:hint="eastAsia" w:ascii="宋体" w:hAnsi="宋体" w:eastAsia="宋体" w:cs="宋体"/>
          <w:b/>
          <w:color w:val="000000"/>
        </w:rPr>
        <w:t>八、合同款项支付</w:t>
      </w:r>
    </w:p>
    <w:p w14:paraId="257CD829">
      <w:pPr>
        <w:pStyle w:val="13"/>
        <w:spacing w:before="120" w:beforeAutospacing="0" w:after="120" w:afterAutospacing="0" w:line="360" w:lineRule="auto"/>
        <w:ind w:firstLine="480" w:firstLineChars="200"/>
        <w:jc w:val="both"/>
        <w:rPr>
          <w:rFonts w:hint="eastAsia" w:ascii="宋体" w:hAnsi="宋体" w:eastAsia="宋体" w:cs="宋体"/>
          <w:color w:val="FF0000"/>
        </w:rPr>
      </w:pPr>
      <w:r>
        <w:rPr>
          <w:rFonts w:hint="eastAsia" w:ascii="宋体" w:hAnsi="宋体" w:eastAsia="宋体" w:cs="宋体"/>
          <w:color w:val="FF0000"/>
        </w:rPr>
        <w:t>8.1合同款项的支付方式及进度安排</w:t>
      </w:r>
    </w:p>
    <w:p w14:paraId="4D072B67">
      <w:pPr>
        <w:pStyle w:val="13"/>
        <w:spacing w:before="120" w:beforeAutospacing="0" w:after="120" w:afterAutospacing="0" w:line="360" w:lineRule="auto"/>
        <w:ind w:firstLine="480" w:firstLineChars="200"/>
        <w:jc w:val="both"/>
        <w:rPr>
          <w:rFonts w:hint="eastAsia" w:ascii="宋体" w:hAnsi="宋体" w:eastAsia="宋体" w:cs="宋体"/>
          <w:color w:val="FF0000"/>
        </w:rPr>
      </w:pPr>
      <w:r>
        <w:rPr>
          <w:rFonts w:hint="eastAsia" w:ascii="宋体" w:hAnsi="宋体" w:eastAsia="宋体" w:cs="宋体"/>
          <w:color w:val="FF0000"/>
        </w:rPr>
        <w:t>8.1.1 按季度结算:</w:t>
      </w:r>
      <w:r>
        <w:rPr>
          <w:rFonts w:hint="eastAsia" w:cs="宋体"/>
          <w:color w:val="FF0000"/>
          <w:lang w:val="en-US" w:eastAsia="zh-CN"/>
        </w:rPr>
        <w:t>根据季度实际出勤人数*投标人工单价计算季度结算价，其中结算</w:t>
      </w:r>
      <w:r>
        <w:rPr>
          <w:rFonts w:hint="eastAsia" w:ascii="宋体" w:hAnsi="宋体" w:eastAsia="宋体" w:cs="宋体"/>
          <w:color w:val="FF0000"/>
        </w:rPr>
        <w:t>价中70%作为基础费用，剩余30%作为绩效，季度</w:t>
      </w:r>
      <w:r>
        <w:rPr>
          <w:rFonts w:hint="eastAsia" w:cs="宋体"/>
          <w:color w:val="FF0000"/>
          <w:lang w:val="en-US" w:eastAsia="zh-CN"/>
        </w:rPr>
        <w:t>结算</w:t>
      </w:r>
      <w:r>
        <w:rPr>
          <w:rFonts w:hint="eastAsia" w:ascii="宋体" w:hAnsi="宋体" w:eastAsia="宋体" w:cs="宋体"/>
          <w:color w:val="FF0000"/>
        </w:rPr>
        <w:t>总价=</w:t>
      </w:r>
      <w:r>
        <w:rPr>
          <w:rFonts w:hint="eastAsia" w:cs="宋体"/>
          <w:color w:val="FF0000"/>
          <w:lang w:val="en-US" w:eastAsia="zh-CN"/>
        </w:rPr>
        <w:t>结算价*70%+结算价*30%</w:t>
      </w:r>
      <w:r>
        <w:rPr>
          <w:rFonts w:hint="eastAsia" w:ascii="宋体" w:hAnsi="宋体" w:eastAsia="宋体" w:cs="宋体"/>
          <w:color w:val="FF0000"/>
        </w:rPr>
        <w:t>*绩效考核比例。</w:t>
      </w:r>
    </w:p>
    <w:p w14:paraId="3F5513BA">
      <w:pPr>
        <w:pStyle w:val="13"/>
        <w:spacing w:before="120" w:beforeAutospacing="0" w:after="120" w:afterAutospacing="0" w:line="360" w:lineRule="auto"/>
        <w:ind w:firstLine="480" w:firstLineChars="200"/>
        <w:jc w:val="both"/>
        <w:rPr>
          <w:rFonts w:hint="eastAsia" w:ascii="宋体" w:hAnsi="宋体" w:eastAsia="宋体" w:cs="宋体"/>
          <w:color w:val="FF0000"/>
        </w:rPr>
      </w:pPr>
      <w:r>
        <w:rPr>
          <w:rFonts w:hint="eastAsia" w:ascii="宋体" w:hAnsi="宋体" w:eastAsia="宋体" w:cs="宋体"/>
          <w:color w:val="FF0000"/>
        </w:rPr>
        <w:t>注:绩效考核比例(每季度的考核得分平均分)/100*100%。每季度服务结束，凭甲方与乙方核对的金额7日内由乙方开具增值专用税票，甲方收到乙方开具的增值税专用税票后</w:t>
      </w:r>
      <w:r>
        <w:rPr>
          <w:rFonts w:hint="eastAsia" w:ascii="宋体" w:hAnsi="宋体" w:eastAsia="宋体" w:cs="宋体"/>
          <w:color w:val="FF0000"/>
          <w:highlight w:val="none"/>
        </w:rPr>
        <w:t>支付</w:t>
      </w:r>
      <w:r>
        <w:rPr>
          <w:rFonts w:hint="eastAsia" w:ascii="宋体" w:hAnsi="宋体" w:eastAsia="宋体" w:cs="宋体"/>
          <w:color w:val="FF0000"/>
        </w:rPr>
        <w:t>季度服务费。</w:t>
      </w:r>
    </w:p>
    <w:p w14:paraId="04AA755B">
      <w:pPr>
        <w:pStyle w:val="13"/>
        <w:spacing w:before="120" w:beforeAutospacing="0" w:after="120" w:afterAutospacing="0" w:line="360" w:lineRule="auto"/>
        <w:ind w:firstLine="240" w:firstLineChars="100"/>
        <w:jc w:val="both"/>
        <w:rPr>
          <w:rFonts w:hint="eastAsia" w:ascii="宋体" w:hAnsi="宋体" w:eastAsia="宋体" w:cs="宋体"/>
          <w:color w:val="FF0000"/>
        </w:rPr>
      </w:pPr>
      <w:r>
        <w:rPr>
          <w:rFonts w:hint="eastAsia" w:ascii="宋体" w:hAnsi="宋体" w:eastAsia="宋体" w:cs="宋体"/>
          <w:color w:val="FF0000"/>
        </w:rPr>
        <w:t>注:以上付款无任何利息补偿，一律开具增值专用税票，通过银行非现金结算(绩效考核要求和标准见附件</w:t>
      </w:r>
      <w:r>
        <w:rPr>
          <w:rFonts w:hint="eastAsia" w:cs="宋体"/>
          <w:color w:val="FF0000"/>
          <w:lang w:eastAsia="zh-CN"/>
        </w:rPr>
        <w:t>。</w:t>
      </w:r>
      <w:r>
        <w:rPr>
          <w:rFonts w:hint="eastAsia" w:ascii="宋体" w:hAnsi="宋体" w:eastAsia="宋体" w:cs="宋体"/>
          <w:color w:val="FF0000"/>
        </w:rPr>
        <w:t>如乙方未及时开票所导致付款延迟，责任由乙方自行承担。</w:t>
      </w:r>
    </w:p>
    <w:p w14:paraId="3AE73A09">
      <w:pPr>
        <w:pStyle w:val="13"/>
        <w:spacing w:before="145" w:beforeAutospacing="0" w:after="145" w:afterAutospacing="0" w:line="360" w:lineRule="auto"/>
        <w:jc w:val="both"/>
        <w:rPr>
          <w:rFonts w:hint="eastAsia" w:ascii="宋体" w:hAnsi="宋体" w:eastAsia="宋体" w:cs="宋体"/>
        </w:rPr>
      </w:pPr>
      <w:r>
        <w:rPr>
          <w:rFonts w:hint="eastAsia" w:ascii="宋体" w:hAnsi="宋体" w:eastAsia="宋体" w:cs="宋体"/>
          <w:b/>
          <w:color w:val="000000"/>
        </w:rPr>
        <w:t>九、税费</w:t>
      </w:r>
    </w:p>
    <w:p w14:paraId="3CB645C2">
      <w:pPr>
        <w:pStyle w:val="13"/>
        <w:spacing w:before="145" w:beforeAutospacing="0" w:after="145"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9.1本合同执行中相关的一切税费均由乙方负担。</w:t>
      </w:r>
    </w:p>
    <w:p w14:paraId="249014E2">
      <w:pPr>
        <w:pStyle w:val="13"/>
        <w:spacing w:before="120" w:beforeAutospacing="0" w:after="120" w:afterAutospacing="0" w:line="360" w:lineRule="auto"/>
        <w:jc w:val="both"/>
        <w:rPr>
          <w:rFonts w:hint="eastAsia" w:ascii="宋体" w:hAnsi="宋体" w:eastAsia="宋体" w:cs="宋体"/>
          <w:b/>
        </w:rPr>
      </w:pPr>
      <w:r>
        <w:rPr>
          <w:rFonts w:hint="eastAsia" w:ascii="宋体" w:hAnsi="宋体" w:eastAsia="宋体" w:cs="宋体"/>
          <w:b/>
          <w:color w:val="000000"/>
        </w:rPr>
        <w:t>十、</w:t>
      </w:r>
      <w:r>
        <w:rPr>
          <w:rFonts w:hint="eastAsia" w:ascii="宋体" w:hAnsi="宋体" w:eastAsia="宋体" w:cs="宋体"/>
          <w:b/>
        </w:rPr>
        <w:t>养护基本规范及要求</w:t>
      </w:r>
    </w:p>
    <w:p w14:paraId="4A404C6B">
      <w:pPr>
        <w:spacing w:line="360" w:lineRule="auto"/>
        <w:ind w:firstLine="480"/>
        <w:jc w:val="left"/>
        <w:rPr>
          <w:rFonts w:hint="eastAsia" w:ascii="宋体" w:hAnsi="宋体" w:eastAsia="宋体" w:cs="宋体"/>
          <w:sz w:val="24"/>
        </w:rPr>
      </w:pPr>
      <w:r>
        <w:rPr>
          <w:rFonts w:hint="eastAsia" w:ascii="宋体" w:hAnsi="宋体" w:eastAsia="宋体" w:cs="宋体"/>
          <w:sz w:val="24"/>
        </w:rPr>
        <w:t>1、草坪修剪全年</w:t>
      </w:r>
      <w:r>
        <w:rPr>
          <w:rFonts w:hint="eastAsia" w:ascii="宋体" w:hAnsi="宋体" w:eastAsia="宋体" w:cs="宋体"/>
          <w:sz w:val="24"/>
          <w:lang w:val="en-US" w:eastAsia="zh-CN"/>
        </w:rPr>
        <w:t>6</w:t>
      </w:r>
      <w:r>
        <w:rPr>
          <w:rFonts w:hint="eastAsia" w:ascii="宋体" w:hAnsi="宋体" w:eastAsia="宋体" w:cs="宋体"/>
          <w:sz w:val="24"/>
        </w:rPr>
        <w:t>次以上，如有大型活动则按照大型活动安排及时修剪，暖季型草坪，越冬前必须修剪一次，防止发生火灾。</w:t>
      </w:r>
    </w:p>
    <w:p w14:paraId="7E08A4D0">
      <w:pPr>
        <w:spacing w:line="360" w:lineRule="auto"/>
        <w:ind w:firstLine="480"/>
        <w:jc w:val="left"/>
        <w:rPr>
          <w:rFonts w:hint="eastAsia" w:ascii="宋体" w:hAnsi="宋体" w:eastAsia="宋体" w:cs="宋体"/>
          <w:sz w:val="24"/>
        </w:rPr>
      </w:pPr>
      <w:r>
        <w:rPr>
          <w:rFonts w:hint="eastAsia" w:ascii="宋体" w:hAnsi="宋体" w:eastAsia="宋体" w:cs="宋体"/>
          <w:sz w:val="24"/>
        </w:rPr>
        <w:t>2、草坪内杂草必须及时清除，保证绿地无杂草（夏天雨季杂草不得超过8cm）。</w:t>
      </w:r>
    </w:p>
    <w:p w14:paraId="337A402E">
      <w:pPr>
        <w:spacing w:line="360" w:lineRule="auto"/>
        <w:ind w:firstLine="480"/>
        <w:jc w:val="left"/>
        <w:rPr>
          <w:rFonts w:hint="eastAsia" w:ascii="宋体" w:hAnsi="宋体" w:eastAsia="宋体" w:cs="宋体"/>
          <w:sz w:val="24"/>
        </w:rPr>
      </w:pPr>
      <w:r>
        <w:rPr>
          <w:rFonts w:hint="eastAsia" w:ascii="宋体" w:hAnsi="宋体" w:eastAsia="宋体" w:cs="宋体"/>
          <w:sz w:val="24"/>
        </w:rPr>
        <w:t>3、草坪全年施肥，如部分裸露绿地及时籽播同种的草种，恢复草坪，长期无雨时及时抗旱。</w:t>
      </w:r>
    </w:p>
    <w:p w14:paraId="193CF1CF">
      <w:pPr>
        <w:spacing w:line="360" w:lineRule="auto"/>
        <w:ind w:firstLine="480"/>
        <w:jc w:val="left"/>
        <w:rPr>
          <w:rFonts w:hint="eastAsia" w:ascii="宋体" w:hAnsi="宋体" w:eastAsia="宋体" w:cs="宋体"/>
          <w:sz w:val="24"/>
        </w:rPr>
      </w:pPr>
      <w:r>
        <w:rPr>
          <w:rFonts w:hint="eastAsia" w:ascii="宋体" w:hAnsi="宋体" w:eastAsia="宋体" w:cs="宋体"/>
          <w:sz w:val="24"/>
        </w:rPr>
        <w:t>4、灌木修剪全年在</w:t>
      </w:r>
      <w:r>
        <w:rPr>
          <w:rFonts w:hint="eastAsia" w:ascii="宋体" w:hAnsi="宋体" w:eastAsia="宋体" w:cs="宋体"/>
          <w:sz w:val="24"/>
          <w:lang w:val="en-US" w:eastAsia="zh-CN"/>
        </w:rPr>
        <w:t>6</w:t>
      </w:r>
      <w:r>
        <w:rPr>
          <w:rFonts w:hint="eastAsia" w:ascii="宋体" w:hAnsi="宋体" w:eastAsia="宋体" w:cs="宋体"/>
          <w:sz w:val="24"/>
        </w:rPr>
        <w:t>次以上，并达到一定的平整度。</w:t>
      </w:r>
    </w:p>
    <w:p w14:paraId="44CCA38F">
      <w:pPr>
        <w:spacing w:line="360" w:lineRule="auto"/>
        <w:ind w:firstLine="480"/>
        <w:jc w:val="left"/>
        <w:rPr>
          <w:rFonts w:hint="eastAsia" w:ascii="宋体" w:hAnsi="宋体" w:eastAsia="宋体" w:cs="宋体"/>
          <w:sz w:val="24"/>
        </w:rPr>
      </w:pPr>
      <w:r>
        <w:rPr>
          <w:rFonts w:hint="eastAsia" w:ascii="宋体" w:hAnsi="宋体" w:eastAsia="宋体" w:cs="宋体"/>
          <w:sz w:val="24"/>
        </w:rPr>
        <w:t>5、病虫害必须及时防治。</w:t>
      </w:r>
    </w:p>
    <w:p w14:paraId="45C45E66">
      <w:pPr>
        <w:spacing w:line="360" w:lineRule="auto"/>
        <w:ind w:firstLine="480"/>
        <w:jc w:val="left"/>
        <w:rPr>
          <w:rFonts w:hint="eastAsia" w:ascii="宋体" w:hAnsi="宋体" w:eastAsia="宋体" w:cs="宋体"/>
          <w:sz w:val="24"/>
        </w:rPr>
      </w:pPr>
      <w:r>
        <w:rPr>
          <w:rFonts w:hint="eastAsia" w:ascii="宋体" w:hAnsi="宋体" w:eastAsia="宋体" w:cs="宋体"/>
          <w:sz w:val="24"/>
        </w:rPr>
        <w:t>6、暴风雨过后，及时上路巡查，如有倒伏，及时扶正加固等。</w:t>
      </w:r>
    </w:p>
    <w:p w14:paraId="663CC452">
      <w:pPr>
        <w:spacing w:line="360" w:lineRule="auto"/>
        <w:ind w:firstLine="480"/>
        <w:jc w:val="left"/>
        <w:rPr>
          <w:rFonts w:hint="eastAsia" w:ascii="宋体" w:hAnsi="宋体" w:eastAsia="宋体" w:cs="宋体"/>
          <w:sz w:val="24"/>
        </w:rPr>
      </w:pPr>
      <w:r>
        <w:rPr>
          <w:rFonts w:hint="eastAsia" w:ascii="宋体" w:hAnsi="宋体" w:eastAsia="宋体" w:cs="宋体"/>
          <w:sz w:val="24"/>
        </w:rPr>
        <w:t>7、行道树防寒、刷白、修剪，保证树型。</w:t>
      </w:r>
    </w:p>
    <w:p w14:paraId="744F7D6C">
      <w:pPr>
        <w:spacing w:line="360" w:lineRule="auto"/>
        <w:ind w:firstLine="480"/>
        <w:jc w:val="left"/>
        <w:rPr>
          <w:rFonts w:hint="eastAsia" w:ascii="宋体" w:hAnsi="宋体" w:eastAsia="宋体" w:cs="宋体"/>
          <w:sz w:val="24"/>
          <w:lang w:eastAsia="zh-CN"/>
        </w:rPr>
      </w:pPr>
      <w:r>
        <w:rPr>
          <w:rFonts w:hint="eastAsia" w:ascii="宋体" w:hAnsi="宋体" w:eastAsia="宋体" w:cs="宋体"/>
          <w:sz w:val="24"/>
        </w:rPr>
        <w:t>8、绿化地段每天正常巡查养护，一旦发生人为破坏、工程施工及时和</w:t>
      </w:r>
      <w:r>
        <w:rPr>
          <w:rFonts w:hint="eastAsia" w:ascii="宋体" w:hAnsi="宋体" w:eastAsia="宋体" w:cs="宋体"/>
          <w:sz w:val="24"/>
          <w:lang w:val="en-US" w:eastAsia="zh-CN"/>
        </w:rPr>
        <w:t>甲方</w:t>
      </w:r>
      <w:r>
        <w:rPr>
          <w:rFonts w:hint="eastAsia" w:ascii="宋体" w:hAnsi="宋体" w:eastAsia="宋体" w:cs="宋体"/>
          <w:sz w:val="24"/>
        </w:rPr>
        <w:t>联系</w:t>
      </w:r>
      <w:r>
        <w:rPr>
          <w:rFonts w:hint="eastAsia" w:ascii="宋体" w:hAnsi="宋体" w:eastAsia="宋体" w:cs="宋体"/>
          <w:sz w:val="24"/>
          <w:lang w:eastAsia="zh-CN"/>
        </w:rPr>
        <w:t>。</w:t>
      </w:r>
    </w:p>
    <w:p w14:paraId="65A36A9D">
      <w:pPr>
        <w:spacing w:line="360" w:lineRule="auto"/>
        <w:ind w:firstLine="480"/>
        <w:jc w:val="lef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甲方</w:t>
      </w:r>
      <w:r>
        <w:rPr>
          <w:rFonts w:hint="eastAsia" w:ascii="宋体" w:hAnsi="宋体" w:eastAsia="宋体" w:cs="宋体"/>
          <w:sz w:val="24"/>
        </w:rPr>
        <w:t>将安排现场管理人员负责每日督查养护情况。</w:t>
      </w:r>
    </w:p>
    <w:p w14:paraId="6966ADE5">
      <w:pPr>
        <w:spacing w:line="360" w:lineRule="auto"/>
        <w:ind w:firstLine="48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、绿化养护期间一切安全事故与</w:t>
      </w:r>
      <w:r>
        <w:rPr>
          <w:rFonts w:hint="eastAsia" w:ascii="宋体" w:hAnsi="宋体" w:eastAsia="宋体" w:cs="宋体"/>
          <w:sz w:val="24"/>
          <w:lang w:val="en-US" w:eastAsia="zh-CN"/>
        </w:rPr>
        <w:t>甲方</w:t>
      </w:r>
      <w:r>
        <w:rPr>
          <w:rFonts w:hint="eastAsia" w:ascii="宋体" w:hAnsi="宋体" w:eastAsia="宋体" w:cs="宋体"/>
          <w:sz w:val="24"/>
        </w:rPr>
        <w:t>无关。</w:t>
      </w:r>
    </w:p>
    <w:p w14:paraId="7325A0F5">
      <w:pPr>
        <w:spacing w:line="360" w:lineRule="auto"/>
        <w:ind w:firstLine="48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、遇到重大活动，</w:t>
      </w:r>
      <w:r>
        <w:rPr>
          <w:rFonts w:hint="eastAsia" w:ascii="宋体" w:hAnsi="宋体" w:eastAsia="宋体" w:cs="宋体"/>
          <w:sz w:val="24"/>
          <w:lang w:val="en-US" w:eastAsia="zh-CN"/>
        </w:rPr>
        <w:t>乙方</w:t>
      </w:r>
      <w:r>
        <w:rPr>
          <w:rFonts w:hint="eastAsia" w:ascii="宋体" w:hAnsi="宋体" w:eastAsia="宋体" w:cs="宋体"/>
          <w:sz w:val="24"/>
        </w:rPr>
        <w:t>必须无条件服从</w:t>
      </w:r>
      <w:r>
        <w:rPr>
          <w:rFonts w:hint="eastAsia" w:ascii="宋体" w:hAnsi="宋体" w:eastAsia="宋体" w:cs="宋体"/>
          <w:sz w:val="24"/>
          <w:lang w:val="en-US" w:eastAsia="zh-CN"/>
        </w:rPr>
        <w:t>甲方</w:t>
      </w:r>
      <w:r>
        <w:rPr>
          <w:rFonts w:hint="eastAsia" w:ascii="宋体" w:hAnsi="宋体" w:eastAsia="宋体" w:cs="宋体"/>
          <w:sz w:val="24"/>
        </w:rPr>
        <w:t>调配。</w:t>
      </w:r>
    </w:p>
    <w:p w14:paraId="03FB04F0">
      <w:pPr>
        <w:spacing w:line="360" w:lineRule="auto"/>
        <w:ind w:firstLine="48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、养护标准必须达到招标文件中考核标准以及国家、行业现行最新标准。</w:t>
      </w:r>
    </w:p>
    <w:p w14:paraId="2AA28384">
      <w:pPr>
        <w:spacing w:line="360" w:lineRule="auto"/>
        <w:ind w:firstLine="48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、无条件完成</w:t>
      </w:r>
      <w:r>
        <w:rPr>
          <w:rFonts w:hint="eastAsia" w:ascii="宋体" w:hAnsi="宋体" w:eastAsia="宋体" w:cs="宋体"/>
          <w:sz w:val="24"/>
          <w:lang w:val="en-US" w:eastAsia="zh-CN"/>
        </w:rPr>
        <w:t>甲方</w:t>
      </w:r>
      <w:r>
        <w:rPr>
          <w:rFonts w:hint="eastAsia" w:ascii="宋体" w:hAnsi="宋体" w:eastAsia="宋体" w:cs="宋体"/>
          <w:sz w:val="24"/>
        </w:rPr>
        <w:t>临时交付的各项工作。</w:t>
      </w:r>
    </w:p>
    <w:p w14:paraId="695A2ADD">
      <w:pPr>
        <w:spacing w:line="360" w:lineRule="auto"/>
        <w:ind w:firstLine="482"/>
        <w:jc w:val="left"/>
        <w:rPr>
          <w:rFonts w:hint="eastAsia" w:ascii="宋体" w:hAnsi="宋体" w:eastAsia="宋体" w:cs="宋体"/>
          <w:b/>
          <w:sz w:val="24"/>
        </w:rPr>
      </w:pPr>
      <w:r>
        <w:rPr>
          <w:rFonts w:hint="eastAsia" w:ascii="宋体" w:hAnsi="宋体" w:eastAsia="宋体" w:cs="宋体"/>
          <w:b/>
          <w:sz w:val="24"/>
        </w:rPr>
        <w:t xml:space="preserve"> 养护具体要求 </w:t>
      </w:r>
    </w:p>
    <w:p w14:paraId="49B41987">
      <w:pPr>
        <w:spacing w:line="360" w:lineRule="auto"/>
        <w:ind w:firstLine="638"/>
        <w:rPr>
          <w:rFonts w:hint="eastAsia" w:ascii="宋体" w:hAnsi="宋体" w:eastAsia="宋体" w:cs="宋体"/>
          <w:sz w:val="24"/>
        </w:rPr>
      </w:pPr>
      <w:r>
        <w:rPr>
          <w:rFonts w:hint="eastAsia" w:ascii="宋体" w:hAnsi="宋体" w:eastAsia="宋体" w:cs="宋体"/>
          <w:sz w:val="24"/>
        </w:rPr>
        <w:t>绿化养护，包括常规养护和单项养护。</w:t>
      </w:r>
    </w:p>
    <w:p w14:paraId="5E6AB65E">
      <w:pPr>
        <w:spacing w:line="360" w:lineRule="auto"/>
        <w:ind w:firstLine="641"/>
        <w:jc w:val="left"/>
        <w:rPr>
          <w:rFonts w:hint="eastAsia" w:ascii="宋体" w:hAnsi="宋体" w:eastAsia="宋体" w:cs="宋体"/>
          <w:b/>
          <w:sz w:val="24"/>
        </w:rPr>
      </w:pPr>
      <w:r>
        <w:rPr>
          <w:rFonts w:hint="eastAsia" w:ascii="宋体" w:hAnsi="宋体" w:eastAsia="宋体" w:cs="宋体"/>
          <w:b/>
          <w:sz w:val="24"/>
        </w:rPr>
        <w:t>1 、常规养护内容及标准</w:t>
      </w:r>
    </w:p>
    <w:p w14:paraId="01AF7EA5">
      <w:pPr>
        <w:spacing w:line="360" w:lineRule="auto"/>
        <w:ind w:firstLine="638"/>
        <w:jc w:val="left"/>
        <w:rPr>
          <w:rFonts w:hint="eastAsia" w:ascii="宋体" w:hAnsi="宋体" w:eastAsia="宋体" w:cs="宋体"/>
          <w:sz w:val="24"/>
        </w:rPr>
      </w:pPr>
      <w:r>
        <w:rPr>
          <w:rFonts w:hint="eastAsia" w:ascii="宋体" w:hAnsi="宋体" w:eastAsia="宋体" w:cs="宋体"/>
          <w:sz w:val="24"/>
        </w:rPr>
        <w:t xml:space="preserve">1.1 除杂草、绿地平整 </w:t>
      </w:r>
    </w:p>
    <w:p w14:paraId="0945CE0E">
      <w:pPr>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(1)要及时清除杂草，杂草做到日产日清 。 </w:t>
      </w:r>
    </w:p>
    <w:p w14:paraId="0561BCE0">
      <w:pPr>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(2)使用除草剂必须慎重，应先试验，再应用。 </w:t>
      </w:r>
    </w:p>
    <w:p w14:paraId="474815DD">
      <w:pPr>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(3)使草坪保持完整，无裸露地面。 </w:t>
      </w:r>
    </w:p>
    <w:p w14:paraId="4888B817">
      <w:pPr>
        <w:spacing w:line="360" w:lineRule="auto"/>
        <w:ind w:firstLine="480"/>
        <w:jc w:val="left"/>
        <w:rPr>
          <w:rFonts w:hint="eastAsia" w:ascii="宋体" w:hAnsi="宋体" w:eastAsia="宋体" w:cs="宋体"/>
          <w:sz w:val="24"/>
        </w:rPr>
      </w:pPr>
      <w:r>
        <w:rPr>
          <w:rFonts w:hint="eastAsia" w:ascii="宋体" w:hAnsi="宋体" w:eastAsia="宋体" w:cs="宋体"/>
          <w:sz w:val="24"/>
        </w:rPr>
        <w:t>1.2 做养护穴、养护沟</w:t>
      </w:r>
    </w:p>
    <w:p w14:paraId="296E0920">
      <w:pPr>
        <w:spacing w:line="360" w:lineRule="auto"/>
        <w:ind w:firstLine="480"/>
        <w:jc w:val="left"/>
        <w:rPr>
          <w:rFonts w:hint="eastAsia" w:ascii="宋体" w:hAnsi="宋体" w:eastAsia="宋体" w:cs="宋体"/>
          <w:sz w:val="24"/>
          <w:lang w:eastAsia="zh-CN"/>
        </w:rPr>
      </w:pPr>
      <w:r>
        <w:rPr>
          <w:rFonts w:hint="eastAsia" w:ascii="宋体" w:hAnsi="宋体" w:eastAsia="宋体" w:cs="宋体"/>
          <w:sz w:val="24"/>
        </w:rPr>
        <w:t>树木都要做养护穴、养护沟。行道树做与栽植穴一样大的养护穴，其他乔木做直径100cm以上的养护穴；花灌木和球类做直径100cm的养护穴；绿篱和花卉与草坪分界处做30cm宽的养护沟；养护穴、养护沟要经常松土平整，每月不少于2次。养护穴要做到穴圆、穴边深、轮廓清晰、穴内土碎无杂物；养护沟要做到沟宽、沟边深、轮廓流畅、沟内土碎无杂物</w:t>
      </w:r>
      <w:r>
        <w:rPr>
          <w:rFonts w:hint="eastAsia" w:ascii="宋体" w:hAnsi="宋体" w:eastAsia="宋体" w:cs="宋体"/>
          <w:sz w:val="24"/>
          <w:lang w:eastAsia="zh-CN"/>
        </w:rPr>
        <w:t>。</w:t>
      </w:r>
    </w:p>
    <w:p w14:paraId="3B136F02">
      <w:pPr>
        <w:tabs>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1.3树木扶正、萌蘖枝修剪</w:t>
      </w:r>
    </w:p>
    <w:p w14:paraId="4B46C83B">
      <w:pPr>
        <w:tabs>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及时做好树木扶正压实工作，保证树木生长整齐一致；在树木生长期要进行剥芽、去蘖、疏枝等工作。 </w:t>
      </w:r>
    </w:p>
    <w:p w14:paraId="5E68F2D2">
      <w:pPr>
        <w:spacing w:line="360" w:lineRule="auto"/>
        <w:ind w:firstLine="480"/>
        <w:jc w:val="left"/>
        <w:rPr>
          <w:rFonts w:hint="eastAsia" w:ascii="宋体" w:hAnsi="宋体" w:eastAsia="宋体" w:cs="宋体"/>
          <w:sz w:val="24"/>
        </w:rPr>
      </w:pPr>
      <w:r>
        <w:rPr>
          <w:rFonts w:hint="eastAsia" w:ascii="宋体" w:hAnsi="宋体" w:eastAsia="宋体" w:cs="宋体"/>
          <w:sz w:val="24"/>
        </w:rPr>
        <w:t>1.4死树杂树清理、垃圾清运</w:t>
      </w:r>
    </w:p>
    <w:p w14:paraId="07702867">
      <w:pPr>
        <w:spacing w:line="360" w:lineRule="auto"/>
        <w:ind w:firstLine="480"/>
        <w:jc w:val="left"/>
        <w:rPr>
          <w:rFonts w:hint="eastAsia" w:ascii="宋体" w:hAnsi="宋体" w:eastAsia="宋体" w:cs="宋体"/>
          <w:sz w:val="24"/>
        </w:rPr>
      </w:pPr>
      <w:r>
        <w:rPr>
          <w:rFonts w:hint="eastAsia" w:ascii="宋体" w:hAnsi="宋体" w:eastAsia="宋体" w:cs="宋体"/>
          <w:sz w:val="24"/>
        </w:rPr>
        <w:t>死树杂树每月清理两次，清理前必须办理树木清理审批手续。及时清除垃圾杂物，严禁焚烧垃圾和枯枝落叶。</w:t>
      </w:r>
    </w:p>
    <w:p w14:paraId="2EE77CA8">
      <w:pPr>
        <w:spacing w:line="360" w:lineRule="auto"/>
        <w:ind w:firstLine="480"/>
        <w:jc w:val="left"/>
        <w:rPr>
          <w:rFonts w:hint="eastAsia" w:ascii="宋体" w:hAnsi="宋体" w:eastAsia="宋体" w:cs="宋体"/>
          <w:sz w:val="24"/>
        </w:rPr>
      </w:pPr>
      <w:r>
        <w:rPr>
          <w:rFonts w:hint="eastAsia" w:ascii="宋体" w:hAnsi="宋体" w:eastAsia="宋体" w:cs="宋体"/>
          <w:sz w:val="24"/>
        </w:rPr>
        <w:t>1.5绿篱平台局部修剪</w:t>
      </w:r>
    </w:p>
    <w:p w14:paraId="2A60B427">
      <w:pPr>
        <w:spacing w:line="360" w:lineRule="auto"/>
        <w:ind w:firstLine="480"/>
        <w:jc w:val="left"/>
        <w:rPr>
          <w:rFonts w:hint="eastAsia" w:ascii="宋体" w:hAnsi="宋体" w:eastAsia="宋体" w:cs="宋体"/>
          <w:sz w:val="24"/>
        </w:rPr>
      </w:pPr>
      <w:r>
        <w:rPr>
          <w:rFonts w:hint="eastAsia" w:ascii="宋体" w:hAnsi="宋体" w:eastAsia="宋体" w:cs="宋体"/>
          <w:sz w:val="24"/>
        </w:rPr>
        <w:t>在二次绿篱平台全面修剪之空隙，剪去局部超出绿篱平台10cm以上的嫩枝，使绿篱平台的形状常年保持基本一致。</w:t>
      </w:r>
    </w:p>
    <w:p w14:paraId="6C181194">
      <w:pPr>
        <w:spacing w:line="360" w:lineRule="auto"/>
        <w:ind w:firstLine="480"/>
        <w:jc w:val="left"/>
        <w:rPr>
          <w:rFonts w:hint="eastAsia" w:ascii="宋体" w:hAnsi="宋体" w:eastAsia="宋体" w:cs="宋体"/>
          <w:sz w:val="24"/>
        </w:rPr>
      </w:pPr>
      <w:r>
        <w:rPr>
          <w:rFonts w:hint="eastAsia" w:ascii="宋体" w:hAnsi="宋体" w:eastAsia="宋体" w:cs="宋体"/>
          <w:sz w:val="24"/>
        </w:rPr>
        <w:t>1.6花灌木、绿篱平台局部治虫</w:t>
      </w:r>
    </w:p>
    <w:p w14:paraId="1FB6F37D">
      <w:pPr>
        <w:spacing w:line="360" w:lineRule="auto"/>
        <w:ind w:firstLine="480"/>
        <w:jc w:val="left"/>
        <w:rPr>
          <w:rFonts w:hint="eastAsia" w:ascii="宋体" w:hAnsi="宋体" w:eastAsia="宋体" w:cs="宋体"/>
          <w:sz w:val="24"/>
        </w:rPr>
      </w:pPr>
      <w:r>
        <w:rPr>
          <w:rFonts w:hint="eastAsia" w:ascii="宋体" w:hAnsi="宋体" w:eastAsia="宋体" w:cs="宋体"/>
          <w:sz w:val="24"/>
        </w:rPr>
        <w:t>10株以内花灌木、30米2以内的绿篱平台的病虫害，养护单位要立即落实人工摘除或喷药防治，把病虫害消灭在萌芽状态。</w:t>
      </w:r>
    </w:p>
    <w:p w14:paraId="53A019A5">
      <w:pPr>
        <w:spacing w:line="360" w:lineRule="auto"/>
        <w:ind w:firstLine="480"/>
        <w:jc w:val="left"/>
        <w:rPr>
          <w:rFonts w:hint="eastAsia" w:ascii="宋体" w:hAnsi="宋体" w:eastAsia="宋体" w:cs="宋体"/>
          <w:sz w:val="24"/>
        </w:rPr>
      </w:pPr>
      <w:r>
        <w:rPr>
          <w:rFonts w:hint="eastAsia" w:ascii="宋体" w:hAnsi="宋体" w:eastAsia="宋体" w:cs="宋体"/>
          <w:sz w:val="24"/>
        </w:rPr>
        <w:t>1.7抗台防汛</w:t>
      </w:r>
    </w:p>
    <w:p w14:paraId="796F7FE7">
      <w:pPr>
        <w:spacing w:line="360" w:lineRule="auto"/>
        <w:ind w:firstLine="480"/>
        <w:jc w:val="left"/>
        <w:rPr>
          <w:rFonts w:hint="eastAsia" w:ascii="宋体" w:hAnsi="宋体" w:eastAsia="宋体" w:cs="宋体"/>
          <w:sz w:val="24"/>
        </w:rPr>
      </w:pPr>
      <w:r>
        <w:rPr>
          <w:rFonts w:hint="eastAsia" w:ascii="宋体" w:hAnsi="宋体" w:eastAsia="宋体" w:cs="宋体"/>
          <w:sz w:val="24"/>
        </w:rPr>
        <w:t>要有详细的绿地防汛抗台预案，落实相应人员、机械，在雨季可采用开沟、打孔等排水措施及时对绿地和树池排涝，防止植物因涝至死。绿地和树穴内积水不得超过24小时；宿根花卉种植地积水不得超过12小时。在风雨后4小时内，倾斜、倒伏的树木要立即进行扶正、压实，做好支撑。</w:t>
      </w:r>
    </w:p>
    <w:p w14:paraId="5B04862A">
      <w:pPr>
        <w:spacing w:line="360" w:lineRule="auto"/>
        <w:ind w:firstLine="480"/>
        <w:jc w:val="left"/>
        <w:rPr>
          <w:rFonts w:hint="eastAsia" w:ascii="宋体" w:hAnsi="宋体" w:eastAsia="宋体" w:cs="宋体"/>
          <w:sz w:val="24"/>
        </w:rPr>
      </w:pPr>
      <w:r>
        <w:rPr>
          <w:rFonts w:hint="eastAsia" w:ascii="宋体" w:hAnsi="宋体" w:eastAsia="宋体" w:cs="宋体"/>
          <w:sz w:val="24"/>
        </w:rPr>
        <w:t>1.8行政审批项目看护和跟踪</w:t>
      </w:r>
    </w:p>
    <w:p w14:paraId="6D423F0A">
      <w:pPr>
        <w:spacing w:line="360" w:lineRule="auto"/>
        <w:ind w:firstLine="480"/>
        <w:jc w:val="left"/>
        <w:rPr>
          <w:rFonts w:hint="eastAsia" w:ascii="宋体" w:hAnsi="宋体" w:eastAsia="宋体" w:cs="宋体"/>
          <w:sz w:val="24"/>
        </w:rPr>
      </w:pPr>
      <w:r>
        <w:rPr>
          <w:rFonts w:hint="eastAsia" w:ascii="宋体" w:hAnsi="宋体" w:eastAsia="宋体" w:cs="宋体"/>
          <w:sz w:val="24"/>
        </w:rPr>
        <w:t>应保护好绿地内的花草树木，保持绿地的完整，无人为损坏，对违法行为要及时发现和制止。经行政审批临时占用的绿地，应进行跟踪管理，发现超期、超范围占用的情况，必须在第一时间电话报告给</w:t>
      </w:r>
      <w:r>
        <w:rPr>
          <w:rFonts w:hint="eastAsia" w:ascii="宋体" w:hAnsi="宋体" w:eastAsia="宋体" w:cs="宋体"/>
          <w:sz w:val="24"/>
          <w:lang w:val="en-US" w:eastAsia="zh-CN"/>
        </w:rPr>
        <w:t>甲方</w:t>
      </w:r>
      <w:r>
        <w:rPr>
          <w:rFonts w:hint="eastAsia" w:ascii="宋体" w:hAnsi="宋体" w:eastAsia="宋体" w:cs="宋体"/>
          <w:sz w:val="24"/>
        </w:rPr>
        <w:t>，在12小时内以书面形式报告给</w:t>
      </w:r>
      <w:r>
        <w:rPr>
          <w:rFonts w:hint="eastAsia" w:ascii="宋体" w:hAnsi="宋体" w:eastAsia="宋体" w:cs="宋体"/>
          <w:sz w:val="24"/>
          <w:lang w:val="en-US" w:eastAsia="zh-CN"/>
        </w:rPr>
        <w:t>甲方</w:t>
      </w:r>
      <w:r>
        <w:rPr>
          <w:rFonts w:hint="eastAsia" w:ascii="宋体" w:hAnsi="宋体" w:eastAsia="宋体" w:cs="宋体"/>
          <w:sz w:val="24"/>
        </w:rPr>
        <w:t>。</w:t>
      </w:r>
    </w:p>
    <w:p w14:paraId="17524453">
      <w:pPr>
        <w:tabs>
          <w:tab w:val="left" w:pos="900"/>
        </w:tabs>
        <w:spacing w:line="360" w:lineRule="auto"/>
        <w:ind w:firstLine="638"/>
        <w:jc w:val="left"/>
        <w:rPr>
          <w:rFonts w:hint="eastAsia" w:ascii="宋体" w:hAnsi="宋体" w:eastAsia="宋体" w:cs="宋体"/>
          <w:sz w:val="24"/>
        </w:rPr>
      </w:pPr>
      <w:r>
        <w:rPr>
          <w:rFonts w:hint="eastAsia" w:ascii="宋体" w:hAnsi="宋体" w:eastAsia="宋体" w:cs="宋体"/>
          <w:sz w:val="24"/>
        </w:rPr>
        <w:t>1.9情况回报制度</w:t>
      </w:r>
    </w:p>
    <w:p w14:paraId="1A20D7E1">
      <w:pPr>
        <w:spacing w:line="360" w:lineRule="auto"/>
        <w:ind w:firstLine="480"/>
        <w:jc w:val="left"/>
        <w:rPr>
          <w:rFonts w:hint="eastAsia" w:ascii="宋体" w:hAnsi="宋体" w:eastAsia="宋体" w:cs="宋体"/>
          <w:sz w:val="24"/>
        </w:rPr>
      </w:pPr>
      <w:r>
        <w:rPr>
          <w:rFonts w:hint="eastAsia" w:ascii="宋体" w:hAnsi="宋体" w:eastAsia="宋体" w:cs="宋体"/>
          <w:sz w:val="24"/>
        </w:rPr>
        <w:t>（1）养护地段发生病虫害情况，</w:t>
      </w:r>
      <w:r>
        <w:rPr>
          <w:rFonts w:hint="eastAsia" w:ascii="宋体" w:hAnsi="宋体" w:eastAsia="宋体" w:cs="宋体"/>
          <w:sz w:val="24"/>
          <w:lang w:val="en-US" w:eastAsia="zh-CN"/>
        </w:rPr>
        <w:t>乙方</w:t>
      </w:r>
      <w:r>
        <w:rPr>
          <w:rFonts w:hint="eastAsia" w:ascii="宋体" w:hAnsi="宋体" w:eastAsia="宋体" w:cs="宋体"/>
          <w:sz w:val="24"/>
        </w:rPr>
        <w:t>必须在第一时间发现并应在4小时内向</w:t>
      </w:r>
      <w:r>
        <w:rPr>
          <w:rFonts w:hint="eastAsia" w:ascii="宋体" w:hAnsi="宋体" w:eastAsia="宋体" w:cs="宋体"/>
          <w:sz w:val="24"/>
          <w:lang w:val="en-US" w:eastAsia="zh-CN"/>
        </w:rPr>
        <w:t>甲方</w:t>
      </w:r>
      <w:r>
        <w:rPr>
          <w:rFonts w:hint="eastAsia" w:ascii="宋体" w:hAnsi="宋体" w:eastAsia="宋体" w:cs="宋体"/>
          <w:sz w:val="24"/>
        </w:rPr>
        <w:t>作出书面汇报。</w:t>
      </w:r>
    </w:p>
    <w:p w14:paraId="635C5FE4">
      <w:pPr>
        <w:spacing w:line="360" w:lineRule="auto"/>
        <w:ind w:firstLine="480"/>
        <w:jc w:val="left"/>
        <w:rPr>
          <w:rFonts w:hint="eastAsia" w:ascii="宋体" w:hAnsi="宋体" w:eastAsia="宋体" w:cs="宋体"/>
          <w:sz w:val="24"/>
        </w:rPr>
      </w:pPr>
      <w:r>
        <w:rPr>
          <w:rFonts w:hint="eastAsia" w:ascii="宋体" w:hAnsi="宋体" w:eastAsia="宋体" w:cs="宋体"/>
          <w:sz w:val="24"/>
        </w:rPr>
        <w:t>（2）7级以上大风和暴雨过后，</w:t>
      </w:r>
      <w:r>
        <w:rPr>
          <w:rFonts w:hint="eastAsia" w:ascii="宋体" w:hAnsi="宋体" w:eastAsia="宋体" w:cs="宋体"/>
          <w:sz w:val="24"/>
          <w:lang w:val="en-US" w:eastAsia="zh-CN"/>
        </w:rPr>
        <w:t>乙方</w:t>
      </w:r>
      <w:r>
        <w:rPr>
          <w:rFonts w:hint="eastAsia" w:ascii="宋体" w:hAnsi="宋体" w:eastAsia="宋体" w:cs="宋体"/>
          <w:sz w:val="24"/>
        </w:rPr>
        <w:t>要立即以书面形式向</w:t>
      </w:r>
      <w:r>
        <w:rPr>
          <w:rFonts w:hint="eastAsia" w:ascii="宋体" w:hAnsi="宋体" w:eastAsia="宋体" w:cs="宋体"/>
          <w:sz w:val="24"/>
          <w:lang w:val="en-US" w:eastAsia="zh-CN"/>
        </w:rPr>
        <w:t>甲方</w:t>
      </w:r>
      <w:r>
        <w:rPr>
          <w:rFonts w:hint="eastAsia" w:ascii="宋体" w:hAnsi="宋体" w:eastAsia="宋体" w:cs="宋体"/>
          <w:sz w:val="24"/>
        </w:rPr>
        <w:t>汇报风倒和积水情况。</w:t>
      </w:r>
    </w:p>
    <w:p w14:paraId="7C0971D2">
      <w:pPr>
        <w:spacing w:line="360" w:lineRule="auto"/>
        <w:ind w:firstLine="480"/>
        <w:jc w:val="left"/>
        <w:rPr>
          <w:rFonts w:hint="eastAsia" w:ascii="宋体" w:hAnsi="宋体" w:eastAsia="宋体" w:cs="宋体"/>
          <w:sz w:val="24"/>
        </w:rPr>
      </w:pPr>
      <w:r>
        <w:rPr>
          <w:rFonts w:hint="eastAsia" w:ascii="宋体" w:hAnsi="宋体" w:eastAsia="宋体" w:cs="宋体"/>
          <w:sz w:val="24"/>
        </w:rPr>
        <w:t>（3）养护地段发生干旱缺水情况，</w:t>
      </w:r>
      <w:r>
        <w:rPr>
          <w:rFonts w:hint="eastAsia" w:ascii="宋体" w:hAnsi="宋体" w:eastAsia="宋体" w:cs="宋体"/>
          <w:sz w:val="24"/>
          <w:lang w:val="en-US" w:eastAsia="zh-CN"/>
        </w:rPr>
        <w:t>乙方</w:t>
      </w:r>
      <w:r>
        <w:rPr>
          <w:rFonts w:hint="eastAsia" w:ascii="宋体" w:hAnsi="宋体" w:eastAsia="宋体" w:cs="宋体"/>
          <w:sz w:val="24"/>
        </w:rPr>
        <w:t>必须在第一时间发现并应在4小时内向</w:t>
      </w:r>
      <w:r>
        <w:rPr>
          <w:rFonts w:hint="eastAsia" w:ascii="宋体" w:hAnsi="宋体" w:eastAsia="宋体" w:cs="宋体"/>
          <w:sz w:val="24"/>
          <w:lang w:val="en-US" w:eastAsia="zh-CN"/>
        </w:rPr>
        <w:t>甲方</w:t>
      </w:r>
      <w:r>
        <w:rPr>
          <w:rFonts w:hint="eastAsia" w:ascii="宋体" w:hAnsi="宋体" w:eastAsia="宋体" w:cs="宋体"/>
          <w:sz w:val="24"/>
        </w:rPr>
        <w:t>作出书面汇报。</w:t>
      </w:r>
    </w:p>
    <w:p w14:paraId="4EB30661">
      <w:pPr>
        <w:spacing w:line="360" w:lineRule="auto"/>
        <w:ind w:firstLine="480"/>
        <w:jc w:val="left"/>
        <w:rPr>
          <w:rFonts w:hint="eastAsia" w:ascii="宋体" w:hAnsi="宋体" w:eastAsia="宋体" w:cs="宋体"/>
          <w:sz w:val="24"/>
        </w:rPr>
      </w:pPr>
      <w:r>
        <w:rPr>
          <w:rFonts w:hint="eastAsia" w:ascii="宋体" w:hAnsi="宋体" w:eastAsia="宋体" w:cs="宋体"/>
          <w:sz w:val="24"/>
        </w:rPr>
        <w:t>（4）养护地段发生单位和个人擅自砍伐、移植、修剪城市树木或非法占用城市绿地的，</w:t>
      </w:r>
      <w:r>
        <w:rPr>
          <w:rFonts w:hint="eastAsia" w:ascii="宋体" w:hAnsi="宋体" w:eastAsia="宋体" w:cs="宋体"/>
          <w:sz w:val="24"/>
          <w:lang w:val="en-US" w:eastAsia="zh-CN"/>
        </w:rPr>
        <w:t>乙方</w:t>
      </w:r>
      <w:r>
        <w:rPr>
          <w:rFonts w:hint="eastAsia" w:ascii="宋体" w:hAnsi="宋体" w:eastAsia="宋体" w:cs="宋体"/>
          <w:sz w:val="24"/>
        </w:rPr>
        <w:t>必须及时发现、及时制止，并应在第一时间报告给</w:t>
      </w:r>
      <w:r>
        <w:rPr>
          <w:rFonts w:hint="eastAsia" w:ascii="宋体" w:hAnsi="宋体" w:eastAsia="宋体" w:cs="宋体"/>
          <w:sz w:val="24"/>
          <w:lang w:val="en-US" w:eastAsia="zh-CN"/>
        </w:rPr>
        <w:t>甲方</w:t>
      </w:r>
      <w:r>
        <w:rPr>
          <w:rFonts w:hint="eastAsia" w:ascii="宋体" w:hAnsi="宋体" w:eastAsia="宋体" w:cs="宋体"/>
          <w:sz w:val="24"/>
        </w:rPr>
        <w:t>，24小时内以书面形式报告给</w:t>
      </w:r>
      <w:r>
        <w:rPr>
          <w:rFonts w:hint="eastAsia" w:ascii="宋体" w:hAnsi="宋体" w:eastAsia="宋体" w:cs="宋体"/>
          <w:sz w:val="24"/>
          <w:lang w:val="en-US" w:eastAsia="zh-CN"/>
        </w:rPr>
        <w:t>甲方</w:t>
      </w:r>
      <w:r>
        <w:rPr>
          <w:rFonts w:hint="eastAsia" w:ascii="宋体" w:hAnsi="宋体" w:eastAsia="宋体" w:cs="宋体"/>
          <w:sz w:val="24"/>
        </w:rPr>
        <w:t>。</w:t>
      </w:r>
    </w:p>
    <w:p w14:paraId="22B66A52">
      <w:pPr>
        <w:spacing w:line="360" w:lineRule="auto"/>
        <w:ind w:firstLine="641"/>
        <w:jc w:val="left"/>
        <w:rPr>
          <w:rFonts w:hint="eastAsia" w:ascii="宋体" w:hAnsi="宋体" w:eastAsia="宋体" w:cs="宋体"/>
          <w:b/>
          <w:sz w:val="24"/>
        </w:rPr>
      </w:pPr>
      <w:r>
        <w:rPr>
          <w:rFonts w:hint="eastAsia" w:ascii="宋体" w:hAnsi="宋体" w:eastAsia="宋体" w:cs="宋体"/>
          <w:b/>
          <w:sz w:val="24"/>
        </w:rPr>
        <w:t>2、单项绿化养护内容及标准</w:t>
      </w:r>
    </w:p>
    <w:p w14:paraId="57CB81F1">
      <w:pPr>
        <w:widowControl/>
        <w:tabs>
          <w:tab w:val="left" w:pos="360"/>
          <w:tab w:val="left" w:pos="540"/>
          <w:tab w:val="left" w:pos="720"/>
        </w:tabs>
        <w:spacing w:line="360" w:lineRule="auto"/>
        <w:ind w:firstLine="638"/>
        <w:jc w:val="left"/>
        <w:rPr>
          <w:rFonts w:hint="eastAsia" w:ascii="宋体" w:hAnsi="宋体" w:eastAsia="宋体" w:cs="宋体"/>
          <w:sz w:val="24"/>
        </w:rPr>
      </w:pPr>
      <w:r>
        <w:rPr>
          <w:rFonts w:hint="eastAsia" w:ascii="宋体" w:hAnsi="宋体" w:eastAsia="宋体" w:cs="宋体"/>
          <w:sz w:val="24"/>
        </w:rPr>
        <w:t>2.1 修剪</w:t>
      </w:r>
    </w:p>
    <w:p w14:paraId="6B141B1C">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(1)树木修剪应依据城市绿化功能的需要和设计的要求，在不违背树木的生长特性和自然分枝规律的前提下（特型树木除外），充分考虑树木与生长环境的关系，并根据树龄及生长势强弱进行修剪。 </w:t>
      </w:r>
    </w:p>
    <w:p w14:paraId="35B8FFBB">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(2)每年修剪树木前必须制定修剪技术方案，并对工人进行培训，认真贯彻后方可进行操作，做到因地制宜，因树修剪。 </w:t>
      </w:r>
    </w:p>
    <w:p w14:paraId="77DCFE0F">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(3)自然型树木的修剪应以树木自然分枝习性所形成的树冠形状为基础进行修剪。 </w:t>
      </w:r>
    </w:p>
    <w:p w14:paraId="3FB6CC39">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(4)造型树木的修剪应根据城市绿化对树木的特定要求，适当控制树木部分枝干，按照绿化美化要求把树木剪成各种理想形态。 </w:t>
      </w:r>
    </w:p>
    <w:p w14:paraId="6F9F0AE2">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(5)树木修剪的时期</w:t>
      </w:r>
    </w:p>
    <w:p w14:paraId="27A96304">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①树木可在休眠期和生长期进行修剪，但更新修剪必须在休眠期进行。 </w:t>
      </w:r>
    </w:p>
    <w:p w14:paraId="17742527">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②有严重伤流和易流胶的树种应避开生长季和落叶后伤流严重期。 </w:t>
      </w:r>
    </w:p>
    <w:p w14:paraId="62D251F5">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③抗寒性差的、易抽条的树种宜于早春进行。 </w:t>
      </w:r>
    </w:p>
    <w:p w14:paraId="345C3174">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④常绿树的修剪应避开生长旺盛期。 </w:t>
      </w:r>
    </w:p>
    <w:p w14:paraId="2FA2F7A7">
      <w:pPr>
        <w:widowControl/>
        <w:tabs>
          <w:tab w:val="left" w:pos="360"/>
          <w:tab w:val="left" w:pos="540"/>
          <w:tab w:val="left" w:pos="720"/>
        </w:tabs>
        <w:spacing w:line="360" w:lineRule="auto"/>
        <w:ind w:firstLine="240"/>
        <w:jc w:val="left"/>
        <w:rPr>
          <w:rFonts w:hint="eastAsia" w:ascii="宋体" w:hAnsi="宋体" w:eastAsia="宋体" w:cs="宋体"/>
          <w:sz w:val="24"/>
        </w:rPr>
      </w:pPr>
      <w:r>
        <w:rPr>
          <w:rFonts w:hint="eastAsia" w:ascii="宋体" w:hAnsi="宋体" w:eastAsia="宋体" w:cs="宋体"/>
          <w:sz w:val="24"/>
        </w:rPr>
        <w:t xml:space="preserve"> (6)乔木修剪 </w:t>
      </w:r>
    </w:p>
    <w:p w14:paraId="23621E07">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 ①凡主轴明显的树种，修剪时应注意保护中央领导枝，使其向上直立生长。原中央领导枝受损、折断，应利用顶端侧枝重新培养新的领导枝。 </w:t>
      </w:r>
    </w:p>
    <w:p w14:paraId="03D17652">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②应逐年调整树干与树冠的合理比例。同一树龄和品种的林地，分枝点高度应基本一致。位于林地边缘的树木分枝点可稍低于林内树木。 </w:t>
      </w:r>
    </w:p>
    <w:p w14:paraId="565D5EC7">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③针叶树应剪除基部垂地枝条，随树木生长可根据需要逐步提高分枝点，并保护主尖直立向上生长。 </w:t>
      </w:r>
    </w:p>
    <w:p w14:paraId="1ED20057">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④银杏修剪只能疏枝，不准短截。对轮生枝可分阶段疏除。</w:t>
      </w:r>
    </w:p>
    <w:p w14:paraId="67730C8D">
      <w:pPr>
        <w:widowControl/>
        <w:tabs>
          <w:tab w:val="left" w:pos="2880"/>
          <w:tab w:val="left" w:pos="3060"/>
        </w:tabs>
        <w:spacing w:line="360" w:lineRule="auto"/>
        <w:ind w:firstLine="480"/>
        <w:jc w:val="left"/>
        <w:rPr>
          <w:rFonts w:hint="eastAsia" w:ascii="宋体" w:hAnsi="宋体" w:eastAsia="宋体" w:cs="宋体"/>
          <w:sz w:val="24"/>
        </w:rPr>
      </w:pPr>
      <w:r>
        <w:rPr>
          <w:rFonts w:hint="eastAsia" w:ascii="宋体" w:hAnsi="宋体" w:eastAsia="宋体" w:cs="宋体"/>
          <w:sz w:val="24"/>
        </w:rPr>
        <w:t>⑤乔木的萌蘖芽和萌蘖枝要及时抹除，萌蘖芽、枝的长度不得超过20cm。</w:t>
      </w:r>
    </w:p>
    <w:p w14:paraId="36C7D75B">
      <w:pPr>
        <w:widowControl/>
        <w:tabs>
          <w:tab w:val="left" w:pos="720"/>
          <w:tab w:val="left" w:pos="2880"/>
          <w:tab w:val="left" w:pos="3060"/>
        </w:tabs>
        <w:spacing w:line="360" w:lineRule="auto"/>
        <w:ind w:firstLine="480"/>
        <w:jc w:val="left"/>
        <w:rPr>
          <w:rFonts w:hint="eastAsia" w:ascii="宋体" w:hAnsi="宋体" w:eastAsia="宋体" w:cs="宋体"/>
          <w:sz w:val="24"/>
        </w:rPr>
      </w:pPr>
      <w:r>
        <w:rPr>
          <w:rFonts w:hint="eastAsia" w:ascii="宋体" w:hAnsi="宋体" w:eastAsia="宋体" w:cs="宋体"/>
          <w:sz w:val="24"/>
        </w:rPr>
        <w:t>⑦乔木修剪的安全措施</w:t>
      </w:r>
    </w:p>
    <w:p w14:paraId="3F7C510D">
      <w:pPr>
        <w:widowControl/>
        <w:tabs>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·做好树木安全修剪前的安全教育和技术培训，使养护职工思想上重视安全，熟悉和掌握树木修剪的操作规程。</w:t>
      </w:r>
    </w:p>
    <w:p w14:paraId="579E6431">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·修剪时职工要集中思想，不得说笑打闹。</w:t>
      </w:r>
    </w:p>
    <w:p w14:paraId="35C772C1">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·选派有实践经验的职工当安全质量检查员，负责施工现场的安全检查、监督、技术指导和示范。</w:t>
      </w:r>
    </w:p>
    <w:p w14:paraId="4F34DD0D">
      <w:pPr>
        <w:widowControl/>
        <w:tabs>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·职工在修剪时，必须配带规定的劳保设施，戴安全帽，穿着醒目的工作服和棉胶鞋。</w:t>
      </w:r>
    </w:p>
    <w:p w14:paraId="5B0C1E24">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·修剪使用的梯子要牢固，立地要平稳，单面梯要与树身捆连，人字梯中腰要用绳子栓好，角度要立20度-40度之间。</w:t>
      </w:r>
    </w:p>
    <w:p w14:paraId="167EB21C">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树下指挥和维持秩序的人员也要配戴安全帽。修剪路树要设专人维持现场秩序，围护范围是树冠直径的双倍；树上树下人员应密切取得联系，避免砸伤行人。几个人同在一棵树操作时，应注意互相照应，避免误伤。</w:t>
      </w:r>
    </w:p>
    <w:p w14:paraId="53643DBE">
      <w:pPr>
        <w:widowControl/>
        <w:spacing w:line="360" w:lineRule="auto"/>
        <w:ind w:firstLine="480"/>
        <w:jc w:val="left"/>
        <w:rPr>
          <w:rFonts w:hint="eastAsia" w:ascii="宋体" w:hAnsi="宋体" w:eastAsia="宋体" w:cs="宋体"/>
          <w:sz w:val="24"/>
        </w:rPr>
      </w:pPr>
      <w:r>
        <w:rPr>
          <w:rFonts w:hint="eastAsia" w:ascii="宋体" w:hAnsi="宋体" w:eastAsia="宋体" w:cs="宋体"/>
          <w:sz w:val="24"/>
        </w:rPr>
        <w:t>·五级以上的大风天，不准上高树修剪。心脏病、高血压患者不准上树。情绪不好不准上树，饮酒不准上树。一棵修完后，不准跳到另一棵上，必须下树重上。</w:t>
      </w:r>
    </w:p>
    <w:p w14:paraId="6F3C0BF3">
      <w:pPr>
        <w:spacing w:line="360" w:lineRule="auto"/>
        <w:ind w:firstLine="638"/>
        <w:jc w:val="left"/>
        <w:rPr>
          <w:rFonts w:hint="eastAsia" w:ascii="宋体" w:hAnsi="宋体" w:eastAsia="宋体" w:cs="宋体"/>
          <w:sz w:val="24"/>
        </w:rPr>
      </w:pPr>
      <w:r>
        <w:rPr>
          <w:rFonts w:hint="eastAsia" w:ascii="宋体" w:hAnsi="宋体" w:eastAsia="宋体" w:cs="宋体"/>
          <w:sz w:val="24"/>
        </w:rPr>
        <w:t xml:space="preserve">(7)灌木修剪       </w:t>
      </w:r>
    </w:p>
    <w:p w14:paraId="5DAC21E4">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①灌木造型修剪应使树型内高外低，形成自然丰满的圆头形或半圆形树型。 </w:t>
      </w:r>
    </w:p>
    <w:p w14:paraId="1FF26EC8">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②灌木内膛小枝应适量疏剪，强壮枝应进行适当短截，下垂细弱枝及地表萌生的地蘖应彻底疏除。 </w:t>
      </w:r>
    </w:p>
    <w:p w14:paraId="173128E7">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③栽种多年的丛生灌木应逐年更新衰老枝，疏剪内膛密生枝，培育新枝。</w:t>
      </w:r>
    </w:p>
    <w:p w14:paraId="5C2FE20C">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④栽植多年的有主干的灌木，每年应采取交替回缩主枝控制树冠的剪法，防止树势上强下弱。 </w:t>
      </w:r>
    </w:p>
    <w:p w14:paraId="042E1C0F">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⑤生长于树冠外的徒长枝，应及时疏除或早短截，促生二次枝。 </w:t>
      </w:r>
    </w:p>
    <w:p w14:paraId="47EC210F">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⑥花落后形成的残花、残果，若无观赏价值或其他需要的宜尽早剪除。 </w:t>
      </w:r>
    </w:p>
    <w:p w14:paraId="3931EAA0">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⑦成片栽植的灌木丛，修剪时应形成中间高四周低或前面低后面高的丛形。 </w:t>
      </w:r>
    </w:p>
    <w:p w14:paraId="2FDFA1AE">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⑧多品种栽植的灌木丛，修剪时应突出主栽品种，并留出适当生长空间。 </w:t>
      </w:r>
    </w:p>
    <w:p w14:paraId="102E2D9A">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⑨造型的灌木修剪应保持外型轮廓清楚，外缘枝叶紧密。 </w:t>
      </w:r>
    </w:p>
    <w:p w14:paraId="2184BBB8">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⑩花灌木修剪应特别注意： </w:t>
      </w:r>
    </w:p>
    <w:p w14:paraId="17D8BD44">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当年生枝条开花灌木，如：紫薇、木槿、月季、珍珠梅等，休眠期修剪时，为控制树木高度，对于生长健壮枝条应在保留3--5个芽处短截，促发新枝。1年可数次开花灌木如月季、珍珠梅、紫薇等，花落后应及时剪去残花，促使再次开花。 </w:t>
      </w:r>
    </w:p>
    <w:p w14:paraId="2303EDC3">
      <w:pPr>
        <w:widowControl/>
        <w:tabs>
          <w:tab w:val="left" w:pos="360"/>
          <w:tab w:val="left" w:pos="540"/>
          <w:tab w:val="left" w:pos="720"/>
        </w:tabs>
        <w:spacing w:line="360" w:lineRule="auto"/>
        <w:ind w:firstLine="240"/>
        <w:jc w:val="left"/>
        <w:rPr>
          <w:rFonts w:hint="eastAsia" w:ascii="宋体" w:hAnsi="宋体" w:eastAsia="宋体" w:cs="宋体"/>
          <w:sz w:val="24"/>
        </w:rPr>
      </w:pPr>
      <w:r>
        <w:rPr>
          <w:rFonts w:hint="eastAsia" w:ascii="宋体" w:hAnsi="宋体" w:eastAsia="宋体" w:cs="宋体"/>
          <w:sz w:val="24"/>
        </w:rPr>
        <w:t xml:space="preserve">·隔年生枝条开花的灌木，如：碧桃、榆叶梅、连翘、梅花、丁香、迎春等，休眠期适当整形修剪，生长季花落后10天--15天将已开花枝条进行中或重短截，疏剪过密枝，以利来年促生健壮新枝。 </w:t>
      </w:r>
    </w:p>
    <w:p w14:paraId="20D54077">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·多年生枝条开花灌木，如：紫荆、贴梗海棠等，应注意培育和保护老枝，剪除干扰树型并影响通风透光的过密枝、弱枝、枯枝或病虫枝。 </w:t>
      </w:r>
    </w:p>
    <w:p w14:paraId="6BE2A9D7">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(8)绿篱及平台绿篱修剪</w:t>
      </w:r>
    </w:p>
    <w:p w14:paraId="40F328EA">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①修剪应使绿篱及平台绿篱轮廓清楚，线条整齐，顶面平整，高度一致，侧面上下垂直。每年整形修剪平均不少于6次(女贞绿篱修剪8次)。</w:t>
      </w:r>
    </w:p>
    <w:p w14:paraId="00E39989">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②修剪时，不同种类绿篱之间应剪留10-15cm的沟槽。 </w:t>
      </w:r>
    </w:p>
    <w:p w14:paraId="6308731B">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③绿篱及平台绿篱每次修剪高度较前一次修剪应提高1cm。 </w:t>
      </w:r>
    </w:p>
    <w:p w14:paraId="4F5BF67C">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④修剪后残留在绿篱表面的枝叶应及时清除干净。 </w:t>
      </w:r>
    </w:p>
    <w:p w14:paraId="28EE1620">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(9)藤木修剪  </w:t>
      </w:r>
    </w:p>
    <w:p w14:paraId="1914D055">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①吸附类藤木，应在生长季剪去未能吸附墙体而下垂的枝条，未完全覆盖的植物应短截空隙周围枝条，以便发生副梢，填补空缺。 </w:t>
      </w:r>
    </w:p>
    <w:p w14:paraId="2B8380A7">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②钩刺类藤木，可按灌木修剪方法疏枝；生长到一定程度，树势衰弱时，应进行回缩修剪，强壮树势。 </w:t>
      </w:r>
    </w:p>
    <w:p w14:paraId="42EAF745">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③生长于棚架的藤木，落叶后应疏剪过密枝条，清除枯死枝，使枝条均匀分布架面。 </w:t>
      </w:r>
    </w:p>
    <w:p w14:paraId="05E01249">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④成年和老年藤木应常疏枝，并适当进行回缩修剪。 </w:t>
      </w:r>
    </w:p>
    <w:p w14:paraId="26C7D790">
      <w:pPr>
        <w:widowControl/>
        <w:tabs>
          <w:tab w:val="left" w:pos="360"/>
          <w:tab w:val="left" w:pos="540"/>
          <w:tab w:val="left" w:pos="720"/>
        </w:tabs>
        <w:spacing w:line="360" w:lineRule="auto"/>
        <w:ind w:firstLine="480"/>
        <w:jc w:val="left"/>
        <w:rPr>
          <w:rFonts w:hint="eastAsia" w:ascii="宋体" w:hAnsi="宋体" w:eastAsia="宋体" w:cs="宋体"/>
          <w:sz w:val="24"/>
        </w:rPr>
      </w:pPr>
      <w:r>
        <w:rPr>
          <w:rFonts w:hint="eastAsia" w:ascii="宋体" w:hAnsi="宋体" w:eastAsia="宋体" w:cs="宋体"/>
          <w:sz w:val="24"/>
        </w:rPr>
        <w:t>(10)树木修剪时，一般不留枝桩，针叶树应留1cm--2cm长的枝桩。修剪的剪口必须平滑，不得劈裂，并注意留芽的方位。直径超过4cm以上的剪锯口，涂抹防腐剂促进伤口愈合。锯除大树杈时应注意保护皮脊。</w:t>
      </w:r>
    </w:p>
    <w:p w14:paraId="7E6B09D4">
      <w:pPr>
        <w:spacing w:line="360" w:lineRule="auto"/>
        <w:ind w:firstLine="480"/>
        <w:jc w:val="left"/>
        <w:rPr>
          <w:rFonts w:hint="eastAsia" w:ascii="宋体" w:hAnsi="宋体" w:eastAsia="宋体" w:cs="宋体"/>
          <w:sz w:val="24"/>
        </w:rPr>
      </w:pPr>
      <w:r>
        <w:rPr>
          <w:rFonts w:hint="eastAsia" w:ascii="宋体" w:hAnsi="宋体" w:eastAsia="宋体" w:cs="宋体"/>
          <w:sz w:val="24"/>
        </w:rPr>
        <w:t>2.2 割草</w:t>
      </w:r>
    </w:p>
    <w:p w14:paraId="0B698034">
      <w:pPr>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(1)草坪的修剪应根据不同草种的习性和观赏效果，进行定期修剪，使草的高度一致，边缘整齐。 </w:t>
      </w:r>
    </w:p>
    <w:p w14:paraId="0A6B29E0">
      <w:pPr>
        <w:spacing w:line="360" w:lineRule="auto"/>
        <w:ind w:firstLine="480"/>
        <w:jc w:val="left"/>
        <w:rPr>
          <w:rFonts w:hint="eastAsia" w:ascii="宋体" w:hAnsi="宋体" w:eastAsia="宋体" w:cs="宋体"/>
          <w:sz w:val="24"/>
        </w:rPr>
      </w:pPr>
      <w:r>
        <w:rPr>
          <w:rFonts w:hint="eastAsia" w:ascii="宋体" w:hAnsi="宋体" w:eastAsia="宋体" w:cs="宋体"/>
          <w:sz w:val="24"/>
        </w:rPr>
        <w:t>(2)剪草的高度以草种、季节、环境等因素而定。一次修剪高度原则上不大于草高的1/3。</w:t>
      </w:r>
    </w:p>
    <w:p w14:paraId="7EE91E1A">
      <w:pPr>
        <w:spacing w:line="360" w:lineRule="auto"/>
        <w:ind w:firstLine="480"/>
        <w:jc w:val="left"/>
        <w:rPr>
          <w:rFonts w:hint="eastAsia" w:ascii="宋体" w:hAnsi="宋体" w:eastAsia="宋体" w:cs="宋体"/>
          <w:sz w:val="24"/>
        </w:rPr>
      </w:pPr>
      <w:r>
        <w:rPr>
          <w:rFonts w:hint="eastAsia" w:ascii="宋体" w:hAnsi="宋体" w:eastAsia="宋体" w:cs="宋体"/>
          <w:sz w:val="24"/>
        </w:rPr>
        <w:t>(3)草坪植物的修剪次数依不同的草种、不同的管理水平和不同的环境条件来确定。修剪后的高度冷季型草坪宜为8-10cm,暖季型草坪宜为5-7cm。修剪要平整，边角无遗留，草屑应及时清运。暖季型草坪最后一次修剪需重修。年修剪次数按草坪生长情况而定，一般情况下，冷季型草坪修剪10次/年，暖季型草坪修剪4次/年。</w:t>
      </w:r>
    </w:p>
    <w:p w14:paraId="3BD5DF7F">
      <w:pPr>
        <w:spacing w:line="360" w:lineRule="auto"/>
        <w:ind w:firstLine="480"/>
        <w:jc w:val="left"/>
        <w:rPr>
          <w:rFonts w:hint="eastAsia" w:ascii="宋体" w:hAnsi="宋体" w:eastAsia="宋体" w:cs="宋体"/>
          <w:sz w:val="24"/>
        </w:rPr>
      </w:pPr>
      <w:r>
        <w:rPr>
          <w:rFonts w:hint="eastAsia" w:ascii="宋体" w:hAnsi="宋体" w:eastAsia="宋体" w:cs="宋体"/>
          <w:sz w:val="24"/>
        </w:rPr>
        <w:t>2.3 抗旱</w:t>
      </w:r>
    </w:p>
    <w:p w14:paraId="79099871">
      <w:pPr>
        <w:widowControl/>
        <w:tabs>
          <w:tab w:val="left" w:pos="360"/>
          <w:tab w:val="left" w:pos="540"/>
        </w:tabs>
        <w:spacing w:line="360" w:lineRule="auto"/>
        <w:ind w:firstLine="638"/>
        <w:jc w:val="left"/>
        <w:rPr>
          <w:rFonts w:hint="eastAsia" w:ascii="宋体" w:hAnsi="宋体" w:eastAsia="宋体" w:cs="宋体"/>
          <w:sz w:val="24"/>
        </w:rPr>
      </w:pPr>
      <w:r>
        <w:rPr>
          <w:rFonts w:hint="eastAsia" w:ascii="宋体" w:hAnsi="宋体" w:eastAsia="宋体" w:cs="宋体"/>
          <w:sz w:val="24"/>
        </w:rPr>
        <w:t xml:space="preserve">(1)应根据本县气候特点、土壤保水、植物需水、根系喜气等情况，适时适量进行浇水，促其正常生长。浇水前应先检查土壤含水量，一般取根系分布最多的土层中的土壤，用手攥可成团，但指缝中不出水，泥团落地能散碎，就可暂不浇水；杨柳树等较喜水的树木则土壤含水量可适当多一些。 </w:t>
      </w:r>
    </w:p>
    <w:p w14:paraId="1DBA5F8B">
      <w:pPr>
        <w:widowControl/>
        <w:tabs>
          <w:tab w:val="left" w:pos="360"/>
          <w:tab w:val="left" w:pos="540"/>
        </w:tabs>
        <w:spacing w:line="360" w:lineRule="auto"/>
        <w:ind w:firstLine="638"/>
        <w:jc w:val="left"/>
        <w:rPr>
          <w:rFonts w:hint="eastAsia" w:ascii="宋体" w:hAnsi="宋体" w:eastAsia="宋体" w:cs="宋体"/>
          <w:sz w:val="24"/>
        </w:rPr>
      </w:pPr>
      <w:r>
        <w:rPr>
          <w:rFonts w:hint="eastAsia" w:ascii="宋体" w:hAnsi="宋体" w:eastAsia="宋体" w:cs="宋体"/>
          <w:sz w:val="24"/>
        </w:rPr>
        <w:t xml:space="preserve"> (2)新植树木应在连续3年内充足灌溉，土质保水力差或根系生长缓慢树种，可适当延长灌水年限。</w:t>
      </w:r>
    </w:p>
    <w:p w14:paraId="401B9506">
      <w:pPr>
        <w:spacing w:line="360" w:lineRule="auto"/>
        <w:ind w:firstLine="638"/>
        <w:jc w:val="left"/>
        <w:rPr>
          <w:rFonts w:hint="eastAsia" w:ascii="宋体" w:hAnsi="宋体" w:eastAsia="宋体" w:cs="宋体"/>
          <w:sz w:val="24"/>
        </w:rPr>
      </w:pPr>
      <w:r>
        <w:rPr>
          <w:rFonts w:hint="eastAsia" w:ascii="宋体" w:hAnsi="宋体" w:eastAsia="宋体" w:cs="宋体"/>
          <w:sz w:val="24"/>
        </w:rPr>
        <w:t xml:space="preserve">(3)在树木生长期（4月-10月），如天旱下雨较少或不下雨，绿篱和灌木应15天浇透水一遍，乔木应20天浇透水一遍；在树木休眠期（11月-3月），如天旱下雨较少或不下雨，绿篱和灌木应20天浇透水一遍，乔木应30天浇透水一遍。 </w:t>
      </w:r>
    </w:p>
    <w:p w14:paraId="73CE213A">
      <w:pPr>
        <w:spacing w:line="360" w:lineRule="auto"/>
        <w:ind w:firstLine="638"/>
        <w:jc w:val="left"/>
        <w:rPr>
          <w:rFonts w:hint="eastAsia" w:ascii="宋体" w:hAnsi="宋体" w:eastAsia="宋体" w:cs="宋体"/>
          <w:sz w:val="24"/>
        </w:rPr>
      </w:pPr>
      <w:r>
        <w:rPr>
          <w:rFonts w:hint="eastAsia" w:ascii="宋体" w:hAnsi="宋体" w:eastAsia="宋体" w:cs="宋体"/>
          <w:sz w:val="24"/>
        </w:rPr>
        <w:t xml:space="preserve">(4)浇水树围高度不低于10cm，树围直径，有铺装地块的以预留树穴池为准，无铺装地块的，乔木应以树干胸径10倍左右为准，并保证不跑水、不漏水。 </w:t>
      </w:r>
    </w:p>
    <w:p w14:paraId="3F166D2C">
      <w:pPr>
        <w:spacing w:line="360" w:lineRule="auto"/>
        <w:ind w:firstLine="638"/>
        <w:jc w:val="left"/>
        <w:rPr>
          <w:rFonts w:hint="eastAsia" w:ascii="宋体" w:hAnsi="宋体" w:eastAsia="宋体" w:cs="宋体"/>
          <w:sz w:val="24"/>
        </w:rPr>
      </w:pPr>
      <w:r>
        <w:rPr>
          <w:rFonts w:hint="eastAsia" w:ascii="宋体" w:hAnsi="宋体" w:eastAsia="宋体" w:cs="宋体"/>
          <w:sz w:val="24"/>
        </w:rPr>
        <w:t xml:space="preserve">(5)用水车浇灌树木时，应接软管，进行缓流浇灌，保证一次浇足浇透，严禁用高压水流冲毁树围。 </w:t>
      </w:r>
    </w:p>
    <w:p w14:paraId="33708361">
      <w:pPr>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(6)喷灌时应开关定时，专人看管，以地面达到径流为准。 </w:t>
      </w:r>
    </w:p>
    <w:p w14:paraId="12C10C24">
      <w:pPr>
        <w:spacing w:line="360" w:lineRule="auto"/>
        <w:ind w:firstLine="480"/>
        <w:jc w:val="left"/>
        <w:rPr>
          <w:rFonts w:hint="eastAsia" w:ascii="宋体" w:hAnsi="宋体" w:eastAsia="宋体" w:cs="宋体"/>
          <w:sz w:val="24"/>
        </w:rPr>
      </w:pPr>
      <w:r>
        <w:rPr>
          <w:rFonts w:hint="eastAsia" w:ascii="宋体" w:hAnsi="宋体" w:eastAsia="宋体" w:cs="宋体"/>
          <w:sz w:val="24"/>
        </w:rPr>
        <w:t>(7)树木浇水，应先对树木根部松土，后浇足水。一般情况下，乔木应保证根部土层进水深度达50cm以上，灌木应保持根部土层进水深度达35cm以上，绿篱平台应保证根部土层进水深度达25cm以上，地被植物和草坪应保证根部土层进水深度达15cm以上。</w:t>
      </w:r>
    </w:p>
    <w:p w14:paraId="22AC3041">
      <w:pPr>
        <w:spacing w:line="360" w:lineRule="auto"/>
        <w:ind w:firstLine="480"/>
        <w:jc w:val="left"/>
        <w:rPr>
          <w:rFonts w:hint="eastAsia" w:ascii="宋体" w:hAnsi="宋体" w:eastAsia="宋体" w:cs="宋体"/>
          <w:sz w:val="24"/>
        </w:rPr>
      </w:pPr>
      <w:r>
        <w:rPr>
          <w:rFonts w:hint="eastAsia" w:ascii="宋体" w:hAnsi="宋体" w:eastAsia="宋体" w:cs="宋体"/>
          <w:sz w:val="24"/>
        </w:rPr>
        <w:t>(8)在雨季可采用开沟、打孔等排水措施及时对绿地和树池排涝，防止植物因涝至死。绿地和树穴内积水不得超过24小时；宿根花卉种植地积水不得超过12小时。</w:t>
      </w:r>
    </w:p>
    <w:p w14:paraId="48A8B088">
      <w:pPr>
        <w:spacing w:line="360" w:lineRule="auto"/>
        <w:ind w:firstLine="638"/>
        <w:jc w:val="left"/>
        <w:rPr>
          <w:rFonts w:hint="eastAsia" w:ascii="宋体" w:hAnsi="宋体" w:eastAsia="宋体" w:cs="宋体"/>
          <w:sz w:val="24"/>
        </w:rPr>
      </w:pPr>
      <w:r>
        <w:rPr>
          <w:rFonts w:hint="eastAsia" w:ascii="宋体" w:hAnsi="宋体" w:eastAsia="宋体" w:cs="宋体"/>
          <w:sz w:val="24"/>
        </w:rPr>
        <w:t>2.4 病虫害防治</w:t>
      </w:r>
    </w:p>
    <w:p w14:paraId="38AD31C3">
      <w:pPr>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 (1)树木病虫害防治</w:t>
      </w:r>
    </w:p>
    <w:p w14:paraId="22246B9E">
      <w:pPr>
        <w:widowControl/>
        <w:tabs>
          <w:tab w:val="left" w:pos="540"/>
        </w:tabs>
        <w:spacing w:line="360" w:lineRule="auto"/>
        <w:ind w:firstLine="240"/>
        <w:jc w:val="left"/>
        <w:rPr>
          <w:rFonts w:hint="eastAsia" w:ascii="宋体" w:hAnsi="宋体" w:eastAsia="宋体" w:cs="宋体"/>
          <w:sz w:val="24"/>
        </w:rPr>
      </w:pPr>
      <w:r>
        <w:rPr>
          <w:rFonts w:hint="eastAsia" w:ascii="宋体" w:hAnsi="宋体" w:eastAsia="宋体" w:cs="宋体"/>
          <w:sz w:val="24"/>
        </w:rPr>
        <w:t xml:space="preserve">①防治植物病虫害应贯彻“预防为主，综合防治”的方针。 </w:t>
      </w:r>
    </w:p>
    <w:p w14:paraId="3CE24CA7">
      <w:pPr>
        <w:widowControl/>
        <w:tabs>
          <w:tab w:val="left" w:pos="540"/>
        </w:tabs>
        <w:spacing w:line="360" w:lineRule="auto"/>
        <w:jc w:val="left"/>
        <w:rPr>
          <w:rFonts w:hint="eastAsia" w:ascii="宋体" w:hAnsi="宋体" w:eastAsia="宋体" w:cs="宋体"/>
          <w:sz w:val="24"/>
        </w:rPr>
      </w:pPr>
      <w:r>
        <w:rPr>
          <w:rFonts w:hint="eastAsia" w:ascii="宋体" w:hAnsi="宋体" w:eastAsia="宋体" w:cs="宋体"/>
          <w:sz w:val="24"/>
        </w:rPr>
        <w:t xml:space="preserve">  ②应科学、有针对性地进行养护管理，使植株生长健壮，以增强抗病虫害的能力。 </w:t>
      </w:r>
    </w:p>
    <w:p w14:paraId="58B7D135">
      <w:pPr>
        <w:widowControl/>
        <w:tabs>
          <w:tab w:val="left" w:pos="540"/>
        </w:tabs>
        <w:spacing w:line="360" w:lineRule="auto"/>
        <w:ind w:firstLine="240"/>
        <w:jc w:val="left"/>
        <w:rPr>
          <w:rFonts w:hint="eastAsia" w:ascii="宋体" w:hAnsi="宋体" w:eastAsia="宋体" w:cs="宋体"/>
          <w:sz w:val="24"/>
        </w:rPr>
      </w:pPr>
      <w:r>
        <w:rPr>
          <w:rFonts w:hint="eastAsia" w:ascii="宋体" w:hAnsi="宋体" w:eastAsia="宋体" w:cs="宋体"/>
          <w:sz w:val="24"/>
        </w:rPr>
        <w:t xml:space="preserve">③及时清理带病虫的落叶、杂草等，消灭病源、虫源，防止病虫扩散、蔓延。 </w:t>
      </w:r>
    </w:p>
    <w:p w14:paraId="0FD3014F">
      <w:pPr>
        <w:widowControl/>
        <w:tabs>
          <w:tab w:val="left" w:pos="540"/>
        </w:tabs>
        <w:spacing w:line="360" w:lineRule="auto"/>
        <w:ind w:firstLine="240"/>
        <w:jc w:val="left"/>
        <w:rPr>
          <w:rFonts w:hint="eastAsia" w:ascii="宋体" w:hAnsi="宋体" w:eastAsia="宋体" w:cs="宋体"/>
          <w:sz w:val="24"/>
        </w:rPr>
      </w:pPr>
      <w:r>
        <w:rPr>
          <w:rFonts w:hint="eastAsia" w:ascii="宋体" w:hAnsi="宋体" w:eastAsia="宋体" w:cs="宋体"/>
          <w:sz w:val="24"/>
        </w:rPr>
        <w:t>④应加强病虫检查，主要病虫害应根据虫情预报及时采取防治措施。对于危险性病虫害，一旦发现疫情应及时上报主管部门，并迅速采取扑灭措施。</w:t>
      </w:r>
    </w:p>
    <w:p w14:paraId="2F5F1E31">
      <w:pPr>
        <w:widowControl/>
        <w:tabs>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 (2)防治手段</w:t>
      </w:r>
    </w:p>
    <w:p w14:paraId="355B20DE">
      <w:pPr>
        <w:widowControl/>
        <w:tabs>
          <w:tab w:val="left" w:pos="540"/>
        </w:tabs>
        <w:spacing w:line="360" w:lineRule="auto"/>
        <w:ind w:firstLine="638"/>
        <w:jc w:val="left"/>
        <w:rPr>
          <w:rFonts w:hint="eastAsia" w:ascii="宋体" w:hAnsi="宋体" w:eastAsia="宋体" w:cs="宋体"/>
          <w:sz w:val="24"/>
        </w:rPr>
      </w:pPr>
      <w:r>
        <w:rPr>
          <w:rFonts w:hint="eastAsia" w:ascii="宋体" w:hAnsi="宋体" w:eastAsia="宋体" w:cs="宋体"/>
          <w:sz w:val="24"/>
        </w:rPr>
        <w:t xml:space="preserve">①生物防治 </w:t>
      </w:r>
    </w:p>
    <w:p w14:paraId="5C1CD132">
      <w:pPr>
        <w:widowControl/>
        <w:tabs>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应保护和利用天敌，创造有利于其生存发展的环境条件。具体方法主要包括以微生物治虫、以虫治虫、以鸟治虫、以螨治虫、以激素治虫，以菌治病虫等。 </w:t>
      </w:r>
    </w:p>
    <w:p w14:paraId="0B5FFA57">
      <w:pPr>
        <w:widowControl/>
        <w:tabs>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②物理防治 </w:t>
      </w:r>
    </w:p>
    <w:p w14:paraId="51BB3334">
      <w:pPr>
        <w:widowControl/>
        <w:tabs>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主要包括饵料诱杀、灯光诱杀、热处理、人工捕捉、挖蛹或虫、采摘卵块虫包、刮除虫或卵、刺杀蛀干害虫、摘除病叶病梢、刮除病斑、结合修剪剪除病虫枝等。 </w:t>
      </w:r>
    </w:p>
    <w:p w14:paraId="2A188F7D">
      <w:pPr>
        <w:widowControl/>
        <w:tabs>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 ③化学防治 </w:t>
      </w:r>
    </w:p>
    <w:p w14:paraId="24F5E397">
      <w:pPr>
        <w:widowControl/>
        <w:tabs>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·应选用高效、低毒、无污染、对天敌较安全的药剂。用药时，对不同的防治对象，应抓住防治适期，对症下药、安全用药，不得随意加大浓度。注意不同药剂的交替使用，同时，尽量采取兼治，减少喷药次数。 </w:t>
      </w:r>
    </w:p>
    <w:p w14:paraId="6AE73B6F">
      <w:pPr>
        <w:widowControl/>
        <w:tabs>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·选用新的药剂和方法时，应先经试验，证明有效和安全时，才能大面积推广。</w:t>
      </w:r>
    </w:p>
    <w:p w14:paraId="0510762F">
      <w:pPr>
        <w:widowControl/>
        <w:tabs>
          <w:tab w:val="left" w:pos="540"/>
        </w:tabs>
        <w:spacing w:line="360" w:lineRule="auto"/>
        <w:ind w:firstLine="638"/>
        <w:jc w:val="left"/>
        <w:rPr>
          <w:rFonts w:hint="eastAsia" w:ascii="宋体" w:hAnsi="宋体" w:eastAsia="宋体" w:cs="宋体"/>
          <w:sz w:val="24"/>
        </w:rPr>
      </w:pPr>
      <w:r>
        <w:rPr>
          <w:rFonts w:hint="eastAsia" w:ascii="宋体" w:hAnsi="宋体" w:eastAsia="宋体" w:cs="宋体"/>
          <w:sz w:val="24"/>
        </w:rPr>
        <w:t>④涂白防治</w:t>
      </w:r>
    </w:p>
    <w:p w14:paraId="587416AD">
      <w:pPr>
        <w:widowControl/>
        <w:tabs>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为防止树干和树穴内虫卵春季孵化后危害树木，乔木和有部分主干的灌木冬季要进行涂白。涂白要均匀，高度要一致，高度为100-120cm。涂白液配比为：石灰10份、硫磺1份、食盐0.2份、兽油0.2份、水40份。</w:t>
      </w:r>
    </w:p>
    <w:p w14:paraId="1C296938">
      <w:pPr>
        <w:widowControl/>
        <w:tabs>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⑤树木病虫害防治技术操作必须按照《农药操作规程》并参照《园林树木病虫害防治技术操作质量标准》进行作业。</w:t>
      </w:r>
    </w:p>
    <w:p w14:paraId="0A9F1656">
      <w:pPr>
        <w:spacing w:line="360" w:lineRule="auto"/>
        <w:ind w:firstLine="480"/>
        <w:jc w:val="left"/>
        <w:rPr>
          <w:rFonts w:hint="eastAsia" w:ascii="宋体" w:hAnsi="宋体" w:eastAsia="宋体" w:cs="宋体"/>
          <w:sz w:val="24"/>
        </w:rPr>
      </w:pPr>
      <w:r>
        <w:rPr>
          <w:rFonts w:hint="eastAsia" w:ascii="宋体" w:hAnsi="宋体" w:eastAsia="宋体" w:cs="宋体"/>
          <w:sz w:val="24"/>
        </w:rPr>
        <w:t>(3)草坪病虫害防治</w:t>
      </w:r>
    </w:p>
    <w:p w14:paraId="38A4D0D9">
      <w:pPr>
        <w:widowControl/>
        <w:tabs>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①草坪病害以冷季型草最为严重。化学防治应在5月初开始，此后根据病情适时喷药。  </w:t>
      </w:r>
    </w:p>
    <w:p w14:paraId="16FA8D5B">
      <w:pPr>
        <w:widowControl/>
        <w:tabs>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②草坪害虫主要有：蛴螬、蚜虫、螨类、黏虫、淡剑夜蛾、地老虎等，可用辛硫磷、敌百虫等农药防治。</w:t>
      </w:r>
    </w:p>
    <w:p w14:paraId="107ED265">
      <w:pPr>
        <w:spacing w:line="360" w:lineRule="auto"/>
        <w:ind w:firstLine="480"/>
        <w:jc w:val="left"/>
        <w:rPr>
          <w:rFonts w:hint="eastAsia" w:ascii="宋体" w:hAnsi="宋体" w:eastAsia="宋体" w:cs="宋体"/>
          <w:sz w:val="24"/>
        </w:rPr>
      </w:pPr>
      <w:r>
        <w:rPr>
          <w:rFonts w:hint="eastAsia" w:ascii="宋体" w:hAnsi="宋体" w:eastAsia="宋体" w:cs="宋体"/>
          <w:sz w:val="24"/>
        </w:rPr>
        <w:t>③草坪病虫害防治技术操作必须按照《农药操作规程》并参照《园林树木病虫害防治技术操作质量标准》进行作业。</w:t>
      </w:r>
    </w:p>
    <w:p w14:paraId="3318EF7F">
      <w:pPr>
        <w:spacing w:line="360" w:lineRule="auto"/>
        <w:ind w:firstLine="638"/>
        <w:jc w:val="left"/>
        <w:rPr>
          <w:rFonts w:hint="eastAsia" w:ascii="宋体" w:hAnsi="宋体" w:eastAsia="宋体" w:cs="宋体"/>
          <w:sz w:val="24"/>
        </w:rPr>
      </w:pPr>
      <w:r>
        <w:rPr>
          <w:rFonts w:hint="eastAsia" w:ascii="宋体" w:hAnsi="宋体" w:eastAsia="宋体" w:cs="宋体"/>
          <w:sz w:val="24"/>
        </w:rPr>
        <w:t>2.5 施肥</w:t>
      </w:r>
    </w:p>
    <w:p w14:paraId="5C2BABFB">
      <w:pPr>
        <w:spacing w:line="360" w:lineRule="auto"/>
        <w:ind w:firstLine="480"/>
        <w:jc w:val="left"/>
        <w:rPr>
          <w:rFonts w:hint="eastAsia" w:ascii="宋体" w:hAnsi="宋体" w:eastAsia="宋体" w:cs="宋体"/>
          <w:sz w:val="24"/>
        </w:rPr>
      </w:pPr>
      <w:r>
        <w:rPr>
          <w:rFonts w:hint="eastAsia" w:ascii="宋体" w:hAnsi="宋体" w:eastAsia="宋体" w:cs="宋体"/>
          <w:sz w:val="24"/>
        </w:rPr>
        <w:t>(1)树木施肥</w:t>
      </w:r>
    </w:p>
    <w:p w14:paraId="406BB974">
      <w:pPr>
        <w:widowControl/>
        <w:tabs>
          <w:tab w:val="left" w:pos="360"/>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①应根据树木生长需要和土壤肥力情况，合理施肥，平衡土壤中各种矿质营养元素，保持土壤肥力和合理结构。 </w:t>
      </w:r>
    </w:p>
    <w:p w14:paraId="2773B5A4">
      <w:pPr>
        <w:widowControl/>
        <w:tabs>
          <w:tab w:val="left" w:pos="360"/>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②在树木休眠期以有机肥为主，采用穴施、环施和放射状沟施等方法。施肥后踏实，并平整场地。 </w:t>
      </w:r>
    </w:p>
    <w:p w14:paraId="22D2D4A3">
      <w:pPr>
        <w:widowControl/>
        <w:tabs>
          <w:tab w:val="left" w:pos="360"/>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③在树木生长季节可根据需要，进行土壤追肥或叶面喷肥。 </w:t>
      </w:r>
    </w:p>
    <w:p w14:paraId="740866E7">
      <w:pPr>
        <w:widowControl/>
        <w:tabs>
          <w:tab w:val="left" w:pos="360"/>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④树木施肥量应根据树木大小、肥料种类及土壤肥力状况而定。乔木和灌木采用穴施和沟施方法施无机肥，乔木每年施肥1次，灌木每年施肥2次；绿篱采用沟施方法施无机肥，每年施肥2次。穴施部位距离树干50cm以上，沟施部位距离绿篱15cm；乔、灌木及球类按每株1公斤施复合肥，绿篱平台按每亩35公斤施复合肥，地被植物按每亩10公斤施尿素；施肥应于萌芽后至秋季前进行，深度不得少于10cm，施肥后要及时灌水。</w:t>
      </w:r>
    </w:p>
    <w:p w14:paraId="6EA9F70C">
      <w:pPr>
        <w:widowControl/>
        <w:tabs>
          <w:tab w:val="left" w:pos="360"/>
          <w:tab w:val="left" w:pos="540"/>
        </w:tabs>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 ⑤用树穴板封闭的树穴，应预留专门的灌溉和施肥口。</w:t>
      </w:r>
    </w:p>
    <w:p w14:paraId="7645C4E4">
      <w:pPr>
        <w:widowControl/>
        <w:tabs>
          <w:tab w:val="left" w:pos="360"/>
          <w:tab w:val="left" w:pos="540"/>
        </w:tabs>
        <w:spacing w:line="360" w:lineRule="auto"/>
        <w:ind w:firstLine="638"/>
        <w:jc w:val="left"/>
        <w:rPr>
          <w:rFonts w:hint="eastAsia" w:ascii="宋体" w:hAnsi="宋体" w:eastAsia="宋体" w:cs="宋体"/>
          <w:sz w:val="24"/>
        </w:rPr>
      </w:pPr>
      <w:r>
        <w:rPr>
          <w:rFonts w:hint="eastAsia" w:ascii="宋体" w:hAnsi="宋体" w:eastAsia="宋体" w:cs="宋体"/>
          <w:sz w:val="24"/>
        </w:rPr>
        <w:t>(2)草坪施肥</w:t>
      </w:r>
    </w:p>
    <w:p w14:paraId="0A8150AF">
      <w:pPr>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①草坪建植时应施基肥，之后每年应根据草坪草的生长状况进行适当追肥。 </w:t>
      </w:r>
    </w:p>
    <w:p w14:paraId="1FC1587F">
      <w:pPr>
        <w:spacing w:line="360" w:lineRule="auto"/>
        <w:ind w:firstLine="480"/>
        <w:jc w:val="left"/>
        <w:rPr>
          <w:rFonts w:hint="eastAsia" w:ascii="宋体" w:hAnsi="宋体" w:eastAsia="宋体" w:cs="宋体"/>
          <w:sz w:val="24"/>
        </w:rPr>
      </w:pPr>
      <w:r>
        <w:rPr>
          <w:rFonts w:hint="eastAsia" w:ascii="宋体" w:hAnsi="宋体" w:eastAsia="宋体" w:cs="宋体"/>
          <w:sz w:val="24"/>
        </w:rPr>
        <w:t xml:space="preserve">②施肥时期和施肥量：冷季型草坪在冬季，可施10g/m2尿素或10g/m2磷酸二铵等；生长期应视草情，适当增施磷、钾肥；晚秋，可施氮、磷、钾复合肥或纯氮肥2次，每次约10g/m2；暖季型草，如马尼拉、地毯草等可于5月和8月各施10g/m2尿素。 </w:t>
      </w:r>
    </w:p>
    <w:p w14:paraId="79E9B0CE">
      <w:pPr>
        <w:spacing w:line="360" w:lineRule="auto"/>
        <w:ind w:firstLine="480"/>
        <w:jc w:val="left"/>
        <w:rPr>
          <w:rFonts w:hint="eastAsia" w:ascii="宋体" w:hAnsi="宋体" w:eastAsia="宋体" w:cs="宋体"/>
          <w:sz w:val="24"/>
        </w:rPr>
      </w:pPr>
      <w:r>
        <w:rPr>
          <w:rFonts w:hint="eastAsia" w:ascii="宋体" w:hAnsi="宋体" w:eastAsia="宋体" w:cs="宋体"/>
          <w:sz w:val="24"/>
        </w:rPr>
        <w:t>③草坪施肥必须均匀，撒施后及时灌水。</w:t>
      </w:r>
    </w:p>
    <w:p w14:paraId="6D2710F8">
      <w:pPr>
        <w:spacing w:line="360" w:lineRule="auto"/>
        <w:ind w:firstLine="482"/>
        <w:jc w:val="left"/>
        <w:rPr>
          <w:rFonts w:hint="eastAsia" w:ascii="宋体" w:hAnsi="宋体" w:eastAsia="宋体" w:cs="宋体"/>
          <w:b/>
          <w:sz w:val="24"/>
        </w:rPr>
      </w:pPr>
      <w:r>
        <w:rPr>
          <w:rFonts w:hint="eastAsia" w:ascii="宋体" w:hAnsi="宋体" w:eastAsia="宋体" w:cs="宋体"/>
          <w:b/>
          <w:sz w:val="24"/>
        </w:rPr>
        <w:t>3、养护管理期限</w:t>
      </w:r>
    </w:p>
    <w:p w14:paraId="56A26A51">
      <w:pPr>
        <w:spacing w:line="360" w:lineRule="auto"/>
        <w:ind w:firstLine="480"/>
        <w:jc w:val="left"/>
        <w:rPr>
          <w:rFonts w:hint="default" w:ascii="宋体" w:hAnsi="宋体" w:eastAsia="宋体" w:cs="宋体"/>
          <w:sz w:val="24"/>
          <w:highlight w:val="yellow"/>
          <w:lang w:val="en-US" w:eastAsia="zh-CN"/>
        </w:rPr>
      </w:pPr>
      <w:r>
        <w:rPr>
          <w:rFonts w:hint="eastAsia" w:ascii="宋体" w:hAnsi="宋体" w:eastAsia="宋体" w:cs="宋体"/>
          <w:sz w:val="24"/>
        </w:rPr>
        <w:t>本工程养护管理期限详见投标人须知前附表。</w:t>
      </w:r>
      <w:r>
        <w:rPr>
          <w:rFonts w:hint="eastAsia" w:ascii="宋体" w:hAnsi="宋体" w:eastAsia="宋体" w:cs="宋体"/>
          <w:sz w:val="24"/>
          <w:lang w:val="en-US" w:eastAsia="zh-CN"/>
        </w:rPr>
        <w:t>乙方</w:t>
      </w:r>
      <w:r>
        <w:rPr>
          <w:rFonts w:hint="eastAsia" w:ascii="宋体" w:hAnsi="宋体" w:eastAsia="宋体" w:cs="宋体"/>
          <w:sz w:val="24"/>
        </w:rPr>
        <w:t>应按照投标报价文件承诺的养护管理期限养护管理，不得以任何借口停工怠工。养护期限</w:t>
      </w:r>
      <w:r>
        <w:rPr>
          <w:rFonts w:hint="eastAsia" w:ascii="宋体" w:hAnsi="宋体" w:eastAsia="宋体" w:cs="宋体"/>
          <w:sz w:val="24"/>
          <w:lang w:val="en-US" w:eastAsia="zh-CN"/>
        </w:rPr>
        <w:t>自合同签订</w:t>
      </w:r>
      <w:r>
        <w:rPr>
          <w:rFonts w:hint="eastAsia" w:ascii="宋体" w:hAnsi="宋体" w:eastAsia="宋体" w:cs="宋体"/>
          <w:sz w:val="24"/>
        </w:rPr>
        <w:t>之日起计算养护期，养护期为</w:t>
      </w:r>
      <w:r>
        <w:rPr>
          <w:rFonts w:hint="eastAsia" w:ascii="宋体" w:hAnsi="宋体" w:eastAsia="宋体" w:cs="宋体"/>
          <w:sz w:val="24"/>
          <w:lang w:val="en-US" w:eastAsia="zh-CN"/>
        </w:rPr>
        <w:t>一</w:t>
      </w:r>
      <w:r>
        <w:rPr>
          <w:rFonts w:hint="eastAsia" w:ascii="宋体" w:hAnsi="宋体" w:eastAsia="宋体" w:cs="宋体"/>
          <w:sz w:val="24"/>
        </w:rPr>
        <w:t>年。，在合同签订</w:t>
      </w:r>
      <w:r>
        <w:rPr>
          <w:rFonts w:hint="eastAsia" w:ascii="宋体" w:hAnsi="宋体" w:eastAsia="宋体" w:cs="宋体"/>
          <w:sz w:val="24"/>
          <w:lang w:val="en-US" w:eastAsia="zh-CN"/>
        </w:rPr>
        <w:t>时间</w:t>
      </w:r>
      <w:r>
        <w:rPr>
          <w:rFonts w:hint="eastAsia" w:ascii="宋体" w:hAnsi="宋体" w:eastAsia="宋体" w:cs="宋体"/>
          <w:sz w:val="24"/>
        </w:rPr>
        <w:t>内，</w:t>
      </w:r>
      <w:r>
        <w:rPr>
          <w:rFonts w:hint="eastAsia" w:ascii="宋体" w:hAnsi="宋体" w:eastAsia="宋体" w:cs="宋体"/>
          <w:sz w:val="24"/>
          <w:lang w:val="en-US" w:eastAsia="zh-CN"/>
        </w:rPr>
        <w:t>乙方</w:t>
      </w:r>
      <w:r>
        <w:rPr>
          <w:rFonts w:hint="eastAsia" w:ascii="宋体" w:hAnsi="宋体" w:eastAsia="宋体" w:cs="宋体"/>
          <w:sz w:val="24"/>
        </w:rPr>
        <w:t>未按</w:t>
      </w:r>
      <w:r>
        <w:rPr>
          <w:rFonts w:hint="eastAsia" w:ascii="宋体" w:hAnsi="宋体" w:eastAsia="宋体" w:cs="宋体"/>
          <w:sz w:val="24"/>
          <w:lang w:val="en-US" w:eastAsia="zh-CN"/>
        </w:rPr>
        <w:t>甲方</w:t>
      </w:r>
      <w:r>
        <w:rPr>
          <w:rFonts w:hint="eastAsia" w:ascii="宋体" w:hAnsi="宋体" w:eastAsia="宋体" w:cs="宋体"/>
          <w:sz w:val="24"/>
        </w:rPr>
        <w:t>要求履行养护职责的，</w:t>
      </w:r>
      <w:r>
        <w:rPr>
          <w:rFonts w:hint="eastAsia" w:ascii="宋体" w:hAnsi="宋体" w:eastAsia="宋体" w:cs="宋体"/>
          <w:sz w:val="24"/>
          <w:lang w:val="en-US" w:eastAsia="zh-CN"/>
        </w:rPr>
        <w:t>甲方</w:t>
      </w:r>
      <w:r>
        <w:rPr>
          <w:rFonts w:hint="eastAsia" w:ascii="宋体" w:hAnsi="宋体" w:eastAsia="宋体" w:cs="宋体"/>
          <w:sz w:val="24"/>
        </w:rPr>
        <w:t>有权单方面终止合同</w:t>
      </w:r>
      <w:r>
        <w:rPr>
          <w:rFonts w:hint="eastAsia" w:ascii="宋体" w:hAnsi="宋体" w:eastAsia="宋体" w:cs="宋体"/>
          <w:sz w:val="24"/>
          <w:lang w:eastAsia="zh-CN"/>
        </w:rPr>
        <w:t>。</w:t>
      </w:r>
      <w:r>
        <w:rPr>
          <w:rFonts w:hint="eastAsia" w:ascii="宋体" w:hAnsi="宋体" w:eastAsia="宋体" w:cs="宋体"/>
          <w:sz w:val="24"/>
        </w:rPr>
        <w:t>并没收履约保证金</w:t>
      </w:r>
      <w:r>
        <w:rPr>
          <w:rFonts w:hint="eastAsia" w:ascii="宋体" w:hAnsi="宋体" w:eastAsia="宋体" w:cs="宋体"/>
          <w:sz w:val="24"/>
          <w:lang w:eastAsia="zh-CN"/>
        </w:rPr>
        <w:t>，</w:t>
      </w:r>
      <w:r>
        <w:rPr>
          <w:rFonts w:hint="eastAsia" w:ascii="宋体" w:hAnsi="宋体" w:eastAsia="宋体" w:cs="宋体"/>
          <w:sz w:val="24"/>
          <w:lang w:val="en-US" w:eastAsia="zh-CN"/>
        </w:rPr>
        <w:t>由此产生的责任和损失均由乙方负责。</w:t>
      </w:r>
    </w:p>
    <w:p w14:paraId="03E885E8">
      <w:pPr>
        <w:pStyle w:val="13"/>
        <w:spacing w:before="120" w:beforeAutospacing="0" w:after="120" w:afterAutospacing="0" w:line="360" w:lineRule="auto"/>
        <w:jc w:val="both"/>
        <w:rPr>
          <w:rFonts w:hint="eastAsia" w:ascii="宋体" w:hAnsi="宋体" w:eastAsia="宋体" w:cs="宋体"/>
        </w:rPr>
      </w:pPr>
      <w:r>
        <w:rPr>
          <w:rFonts w:hint="eastAsia" w:ascii="宋体" w:hAnsi="宋体" w:eastAsia="宋体" w:cs="宋体"/>
          <w:b/>
          <w:color w:val="000000"/>
        </w:rPr>
        <w:t>十一、违约责任</w:t>
      </w:r>
    </w:p>
    <w:p w14:paraId="79D400B3">
      <w:pPr>
        <w:pStyle w:val="13"/>
        <w:spacing w:before="120" w:beforeAutospacing="0" w:after="120" w:afterAutospacing="0" w:line="360" w:lineRule="auto"/>
        <w:ind w:left="426" w:leftChars="203" w:firstLine="12" w:firstLineChars="5"/>
        <w:jc w:val="both"/>
        <w:rPr>
          <w:rFonts w:hint="eastAsia" w:ascii="宋体" w:hAnsi="宋体" w:eastAsia="宋体" w:cs="宋体"/>
          <w:highlight w:val="none"/>
        </w:rPr>
      </w:pPr>
      <w:r>
        <w:rPr>
          <w:rFonts w:hint="eastAsia" w:ascii="宋体" w:hAnsi="宋体" w:eastAsia="宋体" w:cs="宋体"/>
          <w:color w:val="000000"/>
        </w:rPr>
        <w:t>11.</w:t>
      </w:r>
      <w:r>
        <w:rPr>
          <w:rFonts w:hint="eastAsia" w:cs="宋体"/>
          <w:color w:val="000000"/>
          <w:lang w:val="en-US" w:eastAsia="zh-CN"/>
        </w:rPr>
        <w:t>1</w:t>
      </w:r>
      <w:r>
        <w:rPr>
          <w:rFonts w:hint="eastAsia" w:ascii="宋体" w:hAnsi="宋体" w:eastAsia="宋体" w:cs="宋体"/>
          <w:color w:val="000000"/>
        </w:rPr>
        <w:t>乙方逾期提供服务的，乙方应按逾期提供服务合同总额每日千分之六向甲方支付违约金，由甲方从待付合同款项中扣除。逾期超过约定日期10个工作日不能提供服务的，甲方可解除本合同。乙方因逾期提供服务或因其他违约行为导致甲方解除合同的，乙方应向甲方支付合同价款总额</w:t>
      </w:r>
      <w:r>
        <w:rPr>
          <w:rFonts w:hint="eastAsia" w:ascii="宋体" w:hAnsi="宋体" w:eastAsia="宋体" w:cs="宋体"/>
          <w:color w:val="000000"/>
          <w:u w:val="single"/>
        </w:rPr>
        <w:t> </w:t>
      </w:r>
      <w:r>
        <w:rPr>
          <w:rFonts w:hint="eastAsia" w:cs="宋体"/>
          <w:color w:val="000000"/>
          <w:u w:val="single"/>
          <w:lang w:val="en-US" w:eastAsia="zh-CN"/>
        </w:rPr>
        <w:t>10%</w:t>
      </w:r>
      <w:r>
        <w:rPr>
          <w:rFonts w:hint="eastAsia" w:ascii="宋体" w:hAnsi="宋体" w:eastAsia="宋体" w:cs="宋体"/>
          <w:color w:val="000000"/>
          <w:u w:val="single"/>
        </w:rPr>
        <w:t xml:space="preserve"> </w:t>
      </w:r>
      <w:r>
        <w:rPr>
          <w:rFonts w:hint="eastAsia" w:ascii="宋体" w:hAnsi="宋体" w:eastAsia="宋体" w:cs="宋体"/>
          <w:color w:val="000000"/>
        </w:rPr>
        <w:t>的违约金，如造成甲方损失超过违约金的，超出部分由乙方继</w:t>
      </w:r>
      <w:r>
        <w:rPr>
          <w:rFonts w:hint="eastAsia" w:ascii="宋体" w:hAnsi="宋体" w:eastAsia="宋体" w:cs="宋体"/>
          <w:color w:val="000000"/>
          <w:highlight w:val="none"/>
        </w:rPr>
        <w:t xml:space="preserve">续承担赔偿责任。 </w:t>
      </w:r>
    </w:p>
    <w:p w14:paraId="50E32C41">
      <w:pPr>
        <w:pStyle w:val="13"/>
        <w:spacing w:before="120" w:beforeAutospacing="0" w:after="120" w:afterAutospacing="0" w:line="360" w:lineRule="auto"/>
        <w:ind w:left="426" w:leftChars="203" w:firstLine="12" w:firstLineChars="5"/>
        <w:jc w:val="both"/>
        <w:rPr>
          <w:rFonts w:hint="eastAsia" w:ascii="宋体" w:hAnsi="宋体" w:eastAsia="宋体" w:cs="宋体"/>
          <w:color w:val="000000"/>
          <w:highlight w:val="none"/>
        </w:rPr>
      </w:pPr>
      <w:r>
        <w:rPr>
          <w:rFonts w:hint="eastAsia" w:ascii="宋体" w:hAnsi="宋体" w:eastAsia="宋体" w:cs="宋体"/>
          <w:color w:val="000000"/>
          <w:highlight w:val="none"/>
        </w:rPr>
        <w:t>11.</w:t>
      </w:r>
      <w:r>
        <w:rPr>
          <w:rFonts w:hint="eastAsia" w:cs="宋体"/>
          <w:color w:val="000000"/>
          <w:highlight w:val="none"/>
          <w:lang w:val="en-US" w:eastAsia="zh-CN"/>
        </w:rPr>
        <w:t>2</w:t>
      </w:r>
      <w:r>
        <w:rPr>
          <w:rFonts w:hint="eastAsia" w:ascii="宋体" w:hAnsi="宋体" w:eastAsia="宋体" w:cs="宋体"/>
          <w:color w:val="000000"/>
          <w:highlight w:val="none"/>
        </w:rPr>
        <w:t>乙方所提供服务的标准不符合合同规定及招标文件规定标准的，甲方有权拒绝接受服务，并可单方面解除合同。</w:t>
      </w:r>
    </w:p>
    <w:p w14:paraId="6139D49B">
      <w:pPr>
        <w:pStyle w:val="13"/>
        <w:spacing w:before="120" w:beforeAutospacing="0" w:after="120" w:afterAutospacing="0" w:line="360" w:lineRule="auto"/>
        <w:ind w:left="426" w:leftChars="203" w:firstLine="12" w:firstLineChars="5"/>
        <w:jc w:val="both"/>
        <w:rPr>
          <w:rFonts w:hint="default" w:ascii="宋体" w:hAnsi="宋体" w:eastAsia="宋体" w:cs="宋体"/>
          <w:color w:val="000000"/>
          <w:highlight w:val="none"/>
          <w:lang w:val="en-US"/>
        </w:rPr>
      </w:pPr>
      <w:r>
        <w:rPr>
          <w:rFonts w:hint="eastAsia" w:ascii="宋体" w:hAnsi="宋体" w:eastAsia="宋体" w:cs="宋体"/>
          <w:color w:val="000000"/>
          <w:highlight w:val="none"/>
          <w:lang w:val="en-US" w:eastAsia="zh-CN"/>
        </w:rPr>
        <w:t>11.3季度考核累计扣款金额达10万元，甲方有权单方面终止合同，将已服务的费用按考核规定结算后，清退外包单位，甲方无需承担任何责任。履约保证金不予退还。</w:t>
      </w:r>
    </w:p>
    <w:p w14:paraId="1951995B">
      <w:pPr>
        <w:pStyle w:val="13"/>
        <w:spacing w:before="120" w:beforeAutospacing="0" w:after="120" w:afterAutospacing="0" w:line="360" w:lineRule="auto"/>
        <w:jc w:val="both"/>
        <w:rPr>
          <w:rFonts w:hint="eastAsia" w:ascii="宋体" w:hAnsi="宋体" w:eastAsia="宋体" w:cs="宋体"/>
        </w:rPr>
      </w:pPr>
      <w:r>
        <w:rPr>
          <w:rFonts w:hint="eastAsia" w:ascii="宋体" w:hAnsi="宋体" w:eastAsia="宋体" w:cs="宋体"/>
          <w:b/>
          <w:color w:val="000000"/>
          <w:highlight w:val="none"/>
        </w:rPr>
        <w:t>十二</w:t>
      </w:r>
      <w:r>
        <w:rPr>
          <w:rFonts w:hint="eastAsia" w:ascii="宋体" w:hAnsi="宋体" w:eastAsia="宋体" w:cs="宋体"/>
          <w:b/>
          <w:color w:val="000000"/>
        </w:rPr>
        <w:t>、不可抗力事件处理</w:t>
      </w:r>
    </w:p>
    <w:p w14:paraId="4FD010AA">
      <w:pPr>
        <w:pStyle w:val="13"/>
        <w:spacing w:before="120" w:beforeAutospacing="0" w:after="12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12.1在合同有效期内，任何一方因不可抗力事件导致不能履行合同，则合同履行期可延长，其延长期与不可抗力影响期相同。</w:t>
      </w:r>
    </w:p>
    <w:p w14:paraId="0E430742">
      <w:pPr>
        <w:pStyle w:val="13"/>
        <w:spacing w:before="120" w:beforeAutospacing="0" w:after="12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12.2不可抗力事件发生后，应立即通知对方，并寄送有关权威机构出具的证明。</w:t>
      </w:r>
    </w:p>
    <w:p w14:paraId="1DF9CDC4">
      <w:pPr>
        <w:pStyle w:val="13"/>
        <w:spacing w:before="120" w:beforeAutospacing="0" w:after="12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12.3不可抗力事件延续120天以上，双方应通过友好协商，确定是否继续履行合同。</w:t>
      </w:r>
    </w:p>
    <w:p w14:paraId="14F28384">
      <w:pPr>
        <w:pStyle w:val="13"/>
        <w:spacing w:before="120" w:beforeAutospacing="0" w:after="120" w:afterAutospacing="0" w:line="360" w:lineRule="auto"/>
        <w:jc w:val="both"/>
        <w:rPr>
          <w:rFonts w:hint="eastAsia" w:ascii="宋体" w:hAnsi="宋体" w:eastAsia="宋体" w:cs="宋体"/>
        </w:rPr>
      </w:pPr>
      <w:r>
        <w:rPr>
          <w:rFonts w:hint="eastAsia" w:ascii="宋体" w:hAnsi="宋体" w:eastAsia="宋体" w:cs="宋体"/>
          <w:b/>
          <w:color w:val="000000"/>
        </w:rPr>
        <w:t>十三、解决争议的方法</w:t>
      </w:r>
    </w:p>
    <w:p w14:paraId="4FF89567">
      <w:pPr>
        <w:pStyle w:val="13"/>
        <w:spacing w:before="120" w:beforeAutospacing="0" w:after="12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13.1双方在签订、履行合同中所发生的一切争议，应通过友好协商解决。如协商不成，由甲方住所地人民法院管辖。</w:t>
      </w:r>
    </w:p>
    <w:p w14:paraId="3237A415">
      <w:pPr>
        <w:pStyle w:val="13"/>
        <w:spacing w:before="120" w:beforeAutospacing="0" w:after="120" w:afterAutospacing="0" w:line="360" w:lineRule="auto"/>
        <w:jc w:val="both"/>
        <w:rPr>
          <w:rFonts w:hint="eastAsia" w:ascii="宋体" w:hAnsi="宋体" w:eastAsia="宋体" w:cs="宋体"/>
        </w:rPr>
      </w:pPr>
      <w:r>
        <w:rPr>
          <w:rFonts w:hint="eastAsia" w:ascii="宋体" w:hAnsi="宋体" w:eastAsia="宋体" w:cs="宋体"/>
          <w:b/>
          <w:color w:val="000000"/>
        </w:rPr>
        <w:t>十四、合同生效及其它</w:t>
      </w:r>
    </w:p>
    <w:p w14:paraId="3B611822">
      <w:pPr>
        <w:pStyle w:val="13"/>
        <w:spacing w:before="120" w:beforeAutospacing="0" w:after="12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14.1合同经双方法定代表人或授权委托代表人签字并加盖单位公章后生效。</w:t>
      </w:r>
    </w:p>
    <w:p w14:paraId="5BACA465">
      <w:pPr>
        <w:pStyle w:val="13"/>
        <w:spacing w:before="120" w:beforeAutospacing="0" w:after="120" w:afterAutospacing="0" w:line="360" w:lineRule="auto"/>
        <w:ind w:firstLine="480" w:firstLineChars="200"/>
        <w:jc w:val="both"/>
        <w:rPr>
          <w:rFonts w:hint="eastAsia" w:ascii="宋体" w:hAnsi="宋体" w:eastAsia="宋体" w:cs="宋体"/>
        </w:rPr>
      </w:pPr>
      <w:r>
        <w:rPr>
          <w:rFonts w:hint="eastAsia" w:ascii="宋体" w:hAnsi="宋体" w:eastAsia="宋体" w:cs="宋体"/>
          <w:color w:val="000000"/>
        </w:rPr>
        <w:t>14.2本合同未尽事宜，遵照《民法典》、《政府采购法》有关条文执行。</w:t>
      </w:r>
    </w:p>
    <w:p w14:paraId="410540CD">
      <w:pPr>
        <w:pStyle w:val="13"/>
        <w:spacing w:before="120" w:beforeAutospacing="0" w:after="120" w:afterAutospacing="0" w:line="360" w:lineRule="auto"/>
        <w:ind w:left="482" w:leftChars="199" w:hanging="64" w:hangingChars="27"/>
        <w:jc w:val="both"/>
        <w:rPr>
          <w:rFonts w:hint="eastAsia" w:ascii="宋体" w:hAnsi="宋体" w:eastAsia="宋体" w:cs="宋体"/>
        </w:rPr>
      </w:pPr>
      <w:r>
        <w:rPr>
          <w:rFonts w:hint="eastAsia" w:ascii="宋体" w:hAnsi="宋体" w:eastAsia="宋体" w:cs="宋体"/>
          <w:color w:val="000000"/>
        </w:rPr>
        <w:t>14.3 本合同正本一式</w:t>
      </w:r>
      <w:r>
        <w:rPr>
          <w:rFonts w:hint="eastAsia" w:cs="宋体"/>
          <w:color w:val="000000"/>
          <w:lang w:val="en-US" w:eastAsia="zh-CN"/>
        </w:rPr>
        <w:t>肆</w:t>
      </w:r>
      <w:r>
        <w:rPr>
          <w:rFonts w:hint="eastAsia" w:ascii="宋体" w:hAnsi="宋体" w:eastAsia="宋体" w:cs="宋体"/>
          <w:color w:val="000000"/>
        </w:rPr>
        <w:t>份，具有同等法律效力，甲方、乙方各执</w:t>
      </w:r>
      <w:r>
        <w:rPr>
          <w:rFonts w:hint="eastAsia" w:cs="宋体"/>
          <w:color w:val="000000"/>
          <w:lang w:val="en-US" w:eastAsia="zh-CN"/>
        </w:rPr>
        <w:t>贰</w:t>
      </w:r>
      <w:r>
        <w:rPr>
          <w:rFonts w:hint="eastAsia" w:ascii="宋体" w:hAnsi="宋体" w:eastAsia="宋体" w:cs="宋体"/>
          <w:color w:val="000000"/>
        </w:rPr>
        <w:t>份。</w:t>
      </w:r>
    </w:p>
    <w:p w14:paraId="39C6F03A">
      <w:pPr>
        <w:spacing w:line="480" w:lineRule="exact"/>
        <w:ind w:firstLine="480" w:firstLineChars="200"/>
        <w:rPr>
          <w:rFonts w:ascii="宋体" w:hAnsi="宋体" w:cs="宋体"/>
          <w:color w:val="000000" w:themeColor="text1"/>
          <w:sz w:val="24"/>
          <w14:textFill>
            <w14:solidFill>
              <w14:schemeClr w14:val="tx1"/>
            </w14:solidFill>
          </w14:textFill>
        </w:rPr>
      </w:pPr>
    </w:p>
    <w:p w14:paraId="1C32563F">
      <w:pPr>
        <w:pStyle w:val="33"/>
        <w:ind w:firstLine="485"/>
        <w:rPr>
          <w:color w:val="000000" w:themeColor="text1"/>
          <w:sz w:val="24"/>
          <w:szCs w:val="24"/>
          <w14:textFill>
            <w14:solidFill>
              <w14:schemeClr w14:val="tx1"/>
            </w14:solidFill>
          </w14:textFill>
        </w:rPr>
      </w:pPr>
    </w:p>
    <w:tbl>
      <w:tblPr>
        <w:tblStyle w:val="15"/>
        <w:tblW w:w="0" w:type="auto"/>
        <w:tblInd w:w="0" w:type="dxa"/>
        <w:tblLayout w:type="autofit"/>
        <w:tblCellMar>
          <w:top w:w="0" w:type="dxa"/>
          <w:left w:w="108" w:type="dxa"/>
          <w:bottom w:w="0" w:type="dxa"/>
          <w:right w:w="108" w:type="dxa"/>
        </w:tblCellMar>
      </w:tblPr>
      <w:tblGrid>
        <w:gridCol w:w="4644"/>
        <w:gridCol w:w="4644"/>
      </w:tblGrid>
      <w:tr w14:paraId="2D25751E">
        <w:tblPrEx>
          <w:tblCellMar>
            <w:top w:w="0" w:type="dxa"/>
            <w:left w:w="108" w:type="dxa"/>
            <w:bottom w:w="0" w:type="dxa"/>
            <w:right w:w="108" w:type="dxa"/>
          </w:tblCellMar>
        </w:tblPrEx>
        <w:trPr>
          <w:trHeight w:val="624" w:hRule="atLeast"/>
        </w:trPr>
        <w:tc>
          <w:tcPr>
            <w:tcW w:w="4644" w:type="dxa"/>
            <w:noWrap/>
            <w:vAlign w:val="center"/>
          </w:tcPr>
          <w:p w14:paraId="6EC1AD9F">
            <w:pPr>
              <w:pStyle w:val="33"/>
              <w:ind w:firstLine="485"/>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甲 方：（公章）</w:t>
            </w:r>
          </w:p>
        </w:tc>
        <w:tc>
          <w:tcPr>
            <w:tcW w:w="4644" w:type="dxa"/>
            <w:noWrap/>
            <w:vAlign w:val="center"/>
          </w:tcPr>
          <w:p w14:paraId="74738435">
            <w:pPr>
              <w:pStyle w:val="33"/>
              <w:ind w:firstLine="485"/>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乙 方：（公章）</w:t>
            </w:r>
          </w:p>
        </w:tc>
      </w:tr>
      <w:tr w14:paraId="02B60C5C">
        <w:tblPrEx>
          <w:tblCellMar>
            <w:top w:w="0" w:type="dxa"/>
            <w:left w:w="108" w:type="dxa"/>
            <w:bottom w:w="0" w:type="dxa"/>
            <w:right w:w="108" w:type="dxa"/>
          </w:tblCellMar>
        </w:tblPrEx>
        <w:trPr>
          <w:trHeight w:val="624" w:hRule="atLeast"/>
        </w:trPr>
        <w:tc>
          <w:tcPr>
            <w:tcW w:w="4644" w:type="dxa"/>
            <w:noWrap/>
            <w:vAlign w:val="center"/>
          </w:tcPr>
          <w:p w14:paraId="1B391E92">
            <w:pPr>
              <w:pStyle w:val="33"/>
              <w:ind w:firstLine="485"/>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地 址：</w:t>
            </w:r>
          </w:p>
        </w:tc>
        <w:tc>
          <w:tcPr>
            <w:tcW w:w="4644" w:type="dxa"/>
            <w:noWrap/>
            <w:vAlign w:val="center"/>
          </w:tcPr>
          <w:p w14:paraId="0F5703F6">
            <w:pPr>
              <w:pStyle w:val="33"/>
              <w:ind w:firstLine="485"/>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地 址：</w:t>
            </w:r>
          </w:p>
        </w:tc>
      </w:tr>
      <w:tr w14:paraId="23C2B1AB">
        <w:tblPrEx>
          <w:tblCellMar>
            <w:top w:w="0" w:type="dxa"/>
            <w:left w:w="108" w:type="dxa"/>
            <w:bottom w:w="0" w:type="dxa"/>
            <w:right w:w="108" w:type="dxa"/>
          </w:tblCellMar>
        </w:tblPrEx>
        <w:trPr>
          <w:trHeight w:val="624" w:hRule="atLeast"/>
        </w:trPr>
        <w:tc>
          <w:tcPr>
            <w:tcW w:w="4644" w:type="dxa"/>
            <w:noWrap/>
            <w:vAlign w:val="center"/>
          </w:tcPr>
          <w:p w14:paraId="6C3CB3F8">
            <w:pPr>
              <w:pStyle w:val="33"/>
              <w:ind w:firstLine="485"/>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法定代表人或授权代表：</w:t>
            </w:r>
          </w:p>
        </w:tc>
        <w:tc>
          <w:tcPr>
            <w:tcW w:w="4644" w:type="dxa"/>
            <w:noWrap/>
            <w:vAlign w:val="center"/>
          </w:tcPr>
          <w:p w14:paraId="19934A0C">
            <w:pPr>
              <w:pStyle w:val="33"/>
              <w:ind w:firstLine="485"/>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法定代表人或授权代表：</w:t>
            </w:r>
          </w:p>
        </w:tc>
      </w:tr>
      <w:tr w14:paraId="4EACF63A">
        <w:tblPrEx>
          <w:tblCellMar>
            <w:top w:w="0" w:type="dxa"/>
            <w:left w:w="108" w:type="dxa"/>
            <w:bottom w:w="0" w:type="dxa"/>
            <w:right w:w="108" w:type="dxa"/>
          </w:tblCellMar>
        </w:tblPrEx>
        <w:trPr>
          <w:trHeight w:val="624" w:hRule="atLeast"/>
        </w:trPr>
        <w:tc>
          <w:tcPr>
            <w:tcW w:w="4644" w:type="dxa"/>
            <w:noWrap/>
            <w:vAlign w:val="center"/>
          </w:tcPr>
          <w:p w14:paraId="2968E74E">
            <w:pPr>
              <w:pStyle w:val="33"/>
              <w:ind w:firstLine="485"/>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联系电话：</w:t>
            </w:r>
          </w:p>
        </w:tc>
        <w:tc>
          <w:tcPr>
            <w:tcW w:w="4644" w:type="dxa"/>
            <w:noWrap/>
            <w:vAlign w:val="center"/>
          </w:tcPr>
          <w:p w14:paraId="7E364FB4">
            <w:pPr>
              <w:pStyle w:val="33"/>
              <w:ind w:firstLine="485"/>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联系电话：</w:t>
            </w:r>
          </w:p>
        </w:tc>
      </w:tr>
      <w:tr w14:paraId="4441F0B8">
        <w:tblPrEx>
          <w:tblCellMar>
            <w:top w:w="0" w:type="dxa"/>
            <w:left w:w="108" w:type="dxa"/>
            <w:bottom w:w="0" w:type="dxa"/>
            <w:right w:w="108" w:type="dxa"/>
          </w:tblCellMar>
        </w:tblPrEx>
        <w:trPr>
          <w:trHeight w:val="624" w:hRule="atLeast"/>
        </w:trPr>
        <w:tc>
          <w:tcPr>
            <w:tcW w:w="4644" w:type="dxa"/>
            <w:noWrap/>
            <w:vAlign w:val="center"/>
          </w:tcPr>
          <w:p w14:paraId="0BDE4B0C">
            <w:pPr>
              <w:pStyle w:val="33"/>
              <w:ind w:firstLine="1922" w:firstLineChars="801"/>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年   月   日</w:t>
            </w:r>
          </w:p>
        </w:tc>
        <w:tc>
          <w:tcPr>
            <w:tcW w:w="4644" w:type="dxa"/>
            <w:noWrap/>
            <w:vAlign w:val="center"/>
          </w:tcPr>
          <w:p w14:paraId="5595EA98">
            <w:pPr>
              <w:pStyle w:val="33"/>
              <w:tabs>
                <w:tab w:val="left" w:pos="382"/>
              </w:tabs>
              <w:ind w:firstLine="1922" w:firstLineChars="801"/>
              <w:rPr>
                <w:rFonts w:ascii="宋体" w:eastAsia="宋体" w:cs="宋体"/>
                <w:color w:val="000000" w:themeColor="text1"/>
                <w:sz w:val="24"/>
                <w:szCs w:val="24"/>
                <w14:textFill>
                  <w14:solidFill>
                    <w14:schemeClr w14:val="tx1"/>
                  </w14:solidFill>
                </w14:textFill>
              </w:rPr>
            </w:pPr>
            <w:r>
              <w:rPr>
                <w:rFonts w:hint="eastAsia" w:ascii="宋体" w:eastAsia="宋体" w:cs="宋体"/>
                <w:color w:val="000000" w:themeColor="text1"/>
                <w:sz w:val="24"/>
                <w:szCs w:val="24"/>
                <w14:textFill>
                  <w14:solidFill>
                    <w14:schemeClr w14:val="tx1"/>
                  </w14:solidFill>
                </w14:textFill>
              </w:rPr>
              <w:t>年   月   日</w:t>
            </w:r>
          </w:p>
        </w:tc>
        <w:bookmarkStart w:id="20" w:name="_Hlt16619369"/>
      </w:tr>
      <w:bookmarkEnd w:id="15"/>
      <w:bookmarkEnd w:id="16"/>
      <w:bookmarkEnd w:id="20"/>
    </w:tbl>
    <w:p w14:paraId="370DA028">
      <w:pPr>
        <w:pStyle w:val="2"/>
        <w:rPr>
          <w:rStyle w:val="21"/>
          <w:rFonts w:hAnsi="宋体" w:cs="宋体"/>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br w:type="page"/>
      </w:r>
    </w:p>
    <w:p w14:paraId="41DB3539">
      <w:pPr>
        <w:adjustRightInd w:val="0"/>
        <w:spacing w:after="312" w:afterLines="100"/>
        <w:ind w:left="720" w:hanging="720" w:hangingChars="200"/>
        <w:jc w:val="both"/>
        <w:rPr>
          <w:rFonts w:hint="eastAsia" w:ascii="黑体" w:hAnsi="黑体" w:eastAsia="黑体"/>
          <w:sz w:val="36"/>
          <w:lang w:val="en-US" w:eastAsia="zh-CN"/>
        </w:rPr>
      </w:pPr>
      <w:r>
        <w:rPr>
          <w:rFonts w:hint="eastAsia" w:ascii="黑体" w:hAnsi="黑体" w:eastAsia="黑体"/>
          <w:sz w:val="36"/>
          <w:lang w:val="en-US" w:eastAsia="zh-CN"/>
        </w:rPr>
        <w:t>附件：</w:t>
      </w:r>
    </w:p>
    <w:p w14:paraId="75A0FF32">
      <w:pPr>
        <w:adjustRightInd w:val="0"/>
        <w:spacing w:after="312" w:afterLines="100"/>
        <w:ind w:left="720" w:hanging="720" w:hangingChars="200"/>
        <w:jc w:val="center"/>
        <w:rPr>
          <w:rFonts w:hint="eastAsia" w:ascii="宋体" w:hAnsi="宋体" w:eastAsia="宋体" w:cs="宋体"/>
          <w:sz w:val="36"/>
          <w:szCs w:val="36"/>
        </w:rPr>
      </w:pPr>
      <w:r>
        <w:rPr>
          <w:rFonts w:hint="eastAsia" w:ascii="宋体" w:hAnsi="宋体" w:eastAsia="宋体" w:cs="宋体"/>
          <w:sz w:val="36"/>
          <w:szCs w:val="36"/>
        </w:rPr>
        <w:t>安全责任协议书范本</w:t>
      </w:r>
    </w:p>
    <w:p w14:paraId="6BA1D9E6">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代理人：_____________________</w:t>
      </w:r>
    </w:p>
    <w:p w14:paraId="6F0A3672">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联系电话：_____________________</w:t>
      </w:r>
    </w:p>
    <w:p w14:paraId="45A2B476">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联系地址：_____________________</w:t>
      </w:r>
    </w:p>
    <w:p w14:paraId="161AB39B">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乙方（承包单位）：_____________________</w:t>
      </w:r>
    </w:p>
    <w:p w14:paraId="2D7FB218">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代理人：_____________________</w:t>
      </w:r>
    </w:p>
    <w:p w14:paraId="515A63BB">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联系电话：_____________________</w:t>
      </w:r>
    </w:p>
    <w:p w14:paraId="75DF17BD">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联系地址：_____________________</w:t>
      </w:r>
    </w:p>
    <w:p w14:paraId="153A9BA4">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为做好乙方从甲方承包的工程项目施工作业及后续使用的安全管理工作，经双方充分协商签订本协议。</w:t>
      </w:r>
    </w:p>
    <w:p w14:paraId="762EF0AC">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一、本协议为乙方从甲方承包的所有工程项目的施工和使用安全协议。</w:t>
      </w:r>
    </w:p>
    <w:p w14:paraId="35D7C06F">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二、施工工程基本情况</w:t>
      </w:r>
    </w:p>
    <w:p w14:paraId="7A1DD4CE">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1、施工项目：_______________________________________</w:t>
      </w:r>
    </w:p>
    <w:p w14:paraId="61FDABB0">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2、有效期限：________年____月____日至____年___月___日</w:t>
      </w:r>
    </w:p>
    <w:p w14:paraId="705D06B2">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3、工程地点：________________________________________</w:t>
      </w:r>
    </w:p>
    <w:p w14:paraId="0BFDA5DE">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三、甲方安全责任范围</w:t>
      </w:r>
    </w:p>
    <w:p w14:paraId="04292CF8">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1、进场施工作业前对乙方负责人进行现场口头的安全事项说明，其内容是：项目的安全规章制度及对该工程项目有关联的安全注意事项。</w:t>
      </w:r>
    </w:p>
    <w:p w14:paraId="6FEAD498">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2、审查承包方的安全生产资质和专项施工方案，对承包方的安全生产管理进行监督检查。</w:t>
      </w:r>
    </w:p>
    <w:p w14:paraId="20A724C6">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3、乙方在施工中发生的安全事故、设备事故，甲方有责任负责调查、统计上报。乙方在 施工中如发生国务院《特别重大事故调查程序暂行规定》所规定的特大事故， 甲方有权督促乙方立即通知当地政府和公安部门，要求派人保护现场；并有权 要求乙方提供事故调查书面结论及处理意见。</w:t>
      </w:r>
    </w:p>
    <w:p w14:paraId="27AE5AD6">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4、甲方不得要求乙方违反安全管理规定进行施工。因甲方原因导致的事故由甲方承担责任。</w:t>
      </w:r>
    </w:p>
    <w:p w14:paraId="200750AC">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5、甲方有协助乙方搞好安全生产、防火管理以及督促检查的义务。甲方有权检查督促乙方执行有关安全生产方面的工作规定，对乙方不符合安全文明施工的行为进行制止、纠正并发出安全整改通知书，直至清退出场。</w:t>
      </w:r>
    </w:p>
    <w:p w14:paraId="44911DD0">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6、甲方指派项目经理 负责与乙方联系施工安全方面的工作。</w:t>
      </w:r>
    </w:p>
    <w:p w14:paraId="3496E746">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7、甲方有权随时进行监督、检查， 并有权责令乙方清除不安全隐患的权利。</w:t>
      </w:r>
    </w:p>
    <w:p w14:paraId="307FC05D">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四、乙方安全责任</w:t>
      </w:r>
    </w:p>
    <w:p w14:paraId="4C7B8DD4">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1、认真贯彻执行国家颁布的《中华人民共和国安全生产法》、《中华人民共和国消防法》、《中华人民共和国环境保护法》、《 中华人民共和国职业病防治法》、《劳动法》等各项劳动保护、安全生产的法律法规。</w:t>
      </w:r>
    </w:p>
    <w:p w14:paraId="42BDA8D5">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2、建立健全安全生产管理制度：</w:t>
      </w:r>
    </w:p>
    <w:p w14:paraId="5AE1B5E4">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（1）必须严格遵守国家相关制度和甲方制定的各项安全规章制度、操作规程和甲方下发的管理程序，严格服从甲方人员的安全监督管理。并指定专人负责监管安全施工作业。</w:t>
      </w:r>
    </w:p>
    <w:p w14:paraId="7611B015">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2）施工人员进场前，必须先将现场负责人，施工人员（包括管理人员、 施工人员、特殊作业人员）花名册，企业资质证书和委托书等原件经监理审核后将复印件（总监签字的复印件）送甲方项目技术部备案。</w:t>
      </w:r>
    </w:p>
    <w:p w14:paraId="61921291">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3、建立安全教育制度： 开工前，乙方应组织全体施工人员进行三级安全教育并经考试合格后上岗，并将参加安全教育人员名单（包括临时增补或调换人员）与考试成绩报甲方项目技术部备案。特种作业人员必须持有相 应的有效的特种作业操作证书并培训上岗。严禁无证及未经安全培训人员上岗 。</w:t>
      </w:r>
    </w:p>
    <w:p w14:paraId="554A12F5">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4、建立安全生产检查制度。 乙方必须定期对施工现场进行安全检查并做好书面记录。</w:t>
      </w:r>
    </w:p>
    <w:p w14:paraId="13A47406">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5、建立安全生产事故报告处理制度：</w:t>
      </w:r>
    </w:p>
    <w:p w14:paraId="5C3CC2AD">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（1）乙方施工过程中发生人生伤亡和设备</w:t>
      </w:r>
    </w:p>
    <w:p w14:paraId="25CDE237">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事故或危及生产运行的不安全情况，应立即报告甲方，并积极配合调查。</w:t>
      </w:r>
    </w:p>
    <w:p w14:paraId="716F87F7">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乙方应对人员在施工中发生的人身伤亡事故，还必须立即用电话、电传或电报等向事故所在地的政府安全管理部门、公安部门、工会报告，按规定组织调查处理，并由乙方统计上报并负责经济赔偿及善后处理。</w:t>
      </w:r>
    </w:p>
    <w:p w14:paraId="166E5B0F">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五、违约责任</w:t>
      </w:r>
    </w:p>
    <w:p w14:paraId="1B6C2810">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1、若因乙方人员未遵守本安全责任协议书或相关安全规章制度、标准，违章作业，由此造成的一切后果均由乙方承担全部安全责任。</w:t>
      </w:r>
    </w:p>
    <w:p w14:paraId="45291556">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2、若因合同期内乙方安全管理不力或安全防护措施不到位，造成重大安全责任事故，一切后果均由乙方承担全部责任。</w:t>
      </w:r>
    </w:p>
    <w:p w14:paraId="0029858D">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六、出险理赔责任</w:t>
      </w:r>
    </w:p>
    <w:p w14:paraId="56C082AC">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对于施工过程中出现意外，造成人身伤亡事故，由保险公司依据相关条例规定和额度负责理赔，甲方不承担赔偿责任。</w:t>
      </w:r>
    </w:p>
    <w:p w14:paraId="07216CFB">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七、本协议一式</w:t>
      </w:r>
      <w:r>
        <w:rPr>
          <w:rFonts w:hint="eastAsia" w:cs="宋体"/>
          <w:color w:val="000000"/>
          <w:lang w:val="en-US" w:eastAsia="zh-CN"/>
        </w:rPr>
        <w:t>肆</w:t>
      </w:r>
      <w:r>
        <w:rPr>
          <w:rFonts w:hint="eastAsia" w:ascii="宋体" w:hAnsi="宋体" w:eastAsia="宋体" w:cs="宋体"/>
          <w:color w:val="000000"/>
        </w:rPr>
        <w:t>份，甲乙双方各执</w:t>
      </w:r>
      <w:r>
        <w:rPr>
          <w:rFonts w:hint="eastAsia" w:cs="宋体"/>
          <w:color w:val="000000"/>
          <w:lang w:val="en-US" w:eastAsia="zh-CN"/>
        </w:rPr>
        <w:t>贰</w:t>
      </w:r>
      <w:r>
        <w:rPr>
          <w:rFonts w:hint="eastAsia" w:ascii="宋体" w:hAnsi="宋体" w:eastAsia="宋体" w:cs="宋体"/>
          <w:color w:val="000000"/>
        </w:rPr>
        <w:t>份。本协议经双方法定代表人或委托代理人签字盖章后生效。</w:t>
      </w:r>
    </w:p>
    <w:p w14:paraId="4868E207">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甲方：（盖章）</w:t>
      </w:r>
    </w:p>
    <w:p w14:paraId="5F347CD7">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法定代表人或委托代理人：（签字）</w:t>
      </w:r>
    </w:p>
    <w:p w14:paraId="5F1B72EF">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签订时间：_________年____月____日</w:t>
      </w:r>
    </w:p>
    <w:p w14:paraId="684EBA40">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乙方：（盖章）</w:t>
      </w:r>
    </w:p>
    <w:p w14:paraId="077D536D">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法定代表人或委托代理人：（签字）</w:t>
      </w:r>
    </w:p>
    <w:p w14:paraId="17981354">
      <w:pPr>
        <w:pStyle w:val="13"/>
        <w:spacing w:before="120" w:beforeAutospacing="0" w:after="120" w:afterAutospacing="0" w:line="360" w:lineRule="auto"/>
        <w:ind w:firstLine="480" w:firstLineChars="200"/>
        <w:jc w:val="both"/>
        <w:rPr>
          <w:rFonts w:hint="eastAsia" w:ascii="宋体" w:hAnsi="宋体" w:eastAsia="宋体" w:cs="宋体"/>
          <w:color w:val="000000"/>
        </w:rPr>
      </w:pPr>
      <w:r>
        <w:rPr>
          <w:rFonts w:hint="eastAsia" w:ascii="宋体" w:hAnsi="宋体" w:eastAsia="宋体" w:cs="宋体"/>
          <w:color w:val="000000"/>
        </w:rPr>
        <w:t>签订时间：_________年____月____日</w:t>
      </w:r>
    </w:p>
    <w:p w14:paraId="38C25054">
      <w:pPr>
        <w:pStyle w:val="29"/>
        <w:snapToGrid w:val="0"/>
        <w:spacing w:before="120" w:after="120" w:line="560" w:lineRule="exact"/>
        <w:jc w:val="center"/>
        <w:rPr>
          <w:rStyle w:val="21"/>
          <w:rFonts w:hAnsi="宋体" w:cs="宋体"/>
          <w:b/>
          <w:color w:val="000000" w:themeColor="text1"/>
          <w:sz w:val="44"/>
          <w:szCs w:val="44"/>
          <w14:textFill>
            <w14:solidFill>
              <w14:schemeClr w14:val="tx1"/>
            </w14:solidFill>
          </w14:textFill>
        </w:rPr>
      </w:pPr>
    </w:p>
    <w:p w14:paraId="5FCF54A6">
      <w:pPr>
        <w:pStyle w:val="29"/>
        <w:snapToGrid w:val="0"/>
        <w:spacing w:before="120" w:after="120" w:line="560" w:lineRule="exact"/>
        <w:jc w:val="center"/>
        <w:rPr>
          <w:rStyle w:val="21"/>
          <w:rFonts w:hAnsi="宋体" w:cs="宋体"/>
          <w:b/>
          <w:color w:val="000000" w:themeColor="text1"/>
          <w:sz w:val="44"/>
          <w:szCs w:val="44"/>
          <w14:textFill>
            <w14:solidFill>
              <w14:schemeClr w14:val="tx1"/>
            </w14:solidFill>
          </w14:textFill>
        </w:rPr>
      </w:pPr>
    </w:p>
    <w:p w14:paraId="392B3F30">
      <w:pPr>
        <w:pStyle w:val="29"/>
        <w:snapToGrid w:val="0"/>
        <w:spacing w:before="120" w:after="120" w:line="560" w:lineRule="exact"/>
        <w:jc w:val="center"/>
        <w:rPr>
          <w:rStyle w:val="21"/>
          <w:rFonts w:hAnsi="宋体" w:cs="宋体"/>
          <w:b/>
          <w:color w:val="000000" w:themeColor="text1"/>
          <w:sz w:val="44"/>
          <w:szCs w:val="44"/>
          <w14:textFill>
            <w14:solidFill>
              <w14:schemeClr w14:val="tx1"/>
            </w14:solidFill>
          </w14:textFill>
        </w:rPr>
      </w:pPr>
    </w:p>
    <w:p w14:paraId="5FF4AC6F">
      <w:pPr>
        <w:pStyle w:val="29"/>
        <w:snapToGrid w:val="0"/>
        <w:spacing w:before="120" w:after="120" w:line="560" w:lineRule="exact"/>
        <w:jc w:val="center"/>
        <w:rPr>
          <w:rStyle w:val="21"/>
          <w:rFonts w:hAnsi="宋体" w:cs="宋体"/>
          <w:b/>
          <w:color w:val="000000" w:themeColor="text1"/>
          <w:sz w:val="44"/>
          <w:szCs w:val="44"/>
          <w14:textFill>
            <w14:solidFill>
              <w14:schemeClr w14:val="tx1"/>
            </w14:solidFill>
          </w14:textFill>
        </w:rPr>
      </w:pPr>
    </w:p>
    <w:p w14:paraId="2B44FACB">
      <w:pPr>
        <w:pStyle w:val="29"/>
        <w:snapToGrid w:val="0"/>
        <w:spacing w:before="120" w:after="120" w:line="560" w:lineRule="exact"/>
        <w:jc w:val="center"/>
        <w:rPr>
          <w:rStyle w:val="21"/>
          <w:rFonts w:hAnsi="宋体" w:cs="宋体"/>
          <w:b/>
          <w:color w:val="000000" w:themeColor="text1"/>
          <w:sz w:val="44"/>
          <w:szCs w:val="44"/>
          <w14:textFill>
            <w14:solidFill>
              <w14:schemeClr w14:val="tx1"/>
            </w14:solidFill>
          </w14:textFill>
        </w:rPr>
      </w:pPr>
    </w:p>
    <w:p w14:paraId="4A038554">
      <w:pPr>
        <w:pStyle w:val="29"/>
        <w:snapToGrid w:val="0"/>
        <w:spacing w:before="120" w:after="120" w:line="560" w:lineRule="exact"/>
        <w:jc w:val="center"/>
        <w:rPr>
          <w:rStyle w:val="21"/>
          <w:rFonts w:hAnsi="宋体" w:cs="宋体"/>
          <w:b/>
          <w:color w:val="000000" w:themeColor="text1"/>
          <w:sz w:val="44"/>
          <w:szCs w:val="44"/>
          <w14:textFill>
            <w14:solidFill>
              <w14:schemeClr w14:val="tx1"/>
            </w14:solidFill>
          </w14:textFill>
        </w:rPr>
      </w:pPr>
    </w:p>
    <w:p w14:paraId="466D3BAB">
      <w:pPr>
        <w:pStyle w:val="29"/>
        <w:snapToGrid w:val="0"/>
        <w:spacing w:before="120" w:after="120" w:line="560" w:lineRule="exact"/>
        <w:jc w:val="center"/>
        <w:rPr>
          <w:rStyle w:val="21"/>
          <w:rFonts w:hAnsi="宋体" w:cs="宋体"/>
          <w:b/>
          <w:color w:val="000000" w:themeColor="text1"/>
          <w:sz w:val="44"/>
          <w:szCs w:val="44"/>
          <w14:textFill>
            <w14:solidFill>
              <w14:schemeClr w14:val="tx1"/>
            </w14:solidFill>
          </w14:textFill>
        </w:rPr>
      </w:pPr>
    </w:p>
    <w:p w14:paraId="404F43FA">
      <w:pPr>
        <w:pStyle w:val="29"/>
        <w:snapToGrid w:val="0"/>
        <w:spacing w:before="120" w:after="120" w:line="560" w:lineRule="exact"/>
        <w:jc w:val="center"/>
        <w:rPr>
          <w:rStyle w:val="21"/>
          <w:rFonts w:hAnsi="宋体" w:cs="宋体"/>
          <w:b/>
          <w:color w:val="000000" w:themeColor="text1"/>
          <w:sz w:val="44"/>
          <w:szCs w:val="44"/>
          <w14:textFill>
            <w14:solidFill>
              <w14:schemeClr w14:val="tx1"/>
            </w14:solidFill>
          </w14:textFill>
        </w:rPr>
      </w:pPr>
    </w:p>
    <w:p w14:paraId="1C9CA623">
      <w:pPr>
        <w:pStyle w:val="29"/>
        <w:snapToGrid w:val="0"/>
        <w:spacing w:before="120" w:after="120" w:line="560" w:lineRule="exact"/>
        <w:jc w:val="center"/>
        <w:rPr>
          <w:rStyle w:val="21"/>
          <w:rFonts w:hAnsi="宋体" w:cs="宋体"/>
          <w:b/>
          <w:color w:val="000000" w:themeColor="text1"/>
          <w:sz w:val="44"/>
          <w:szCs w:val="44"/>
          <w14:textFill>
            <w14:solidFill>
              <w14:schemeClr w14:val="tx1"/>
            </w14:solidFill>
          </w14:textFill>
        </w:rPr>
      </w:pPr>
    </w:p>
    <w:p w14:paraId="4B3A3DAA">
      <w:pPr>
        <w:pStyle w:val="29"/>
        <w:snapToGrid w:val="0"/>
        <w:spacing w:before="120" w:after="120" w:line="560" w:lineRule="exact"/>
        <w:jc w:val="center"/>
        <w:rPr>
          <w:rStyle w:val="21"/>
          <w:rFonts w:hAnsi="宋体" w:cs="宋体"/>
          <w:b/>
          <w:color w:val="000000" w:themeColor="text1"/>
          <w:sz w:val="44"/>
          <w:szCs w:val="44"/>
          <w14:textFill>
            <w14:solidFill>
              <w14:schemeClr w14:val="tx1"/>
            </w14:solidFill>
          </w14:textFill>
        </w:rPr>
      </w:pPr>
    </w:p>
    <w:p w14:paraId="1EEF4247">
      <w:pPr>
        <w:pStyle w:val="13"/>
        <w:spacing w:before="120" w:beforeAutospacing="0" w:after="120" w:afterAutospacing="0" w:line="360" w:lineRule="auto"/>
        <w:jc w:val="both"/>
        <w:rPr>
          <w:rFonts w:hint="eastAsia" w:ascii="宋体" w:hAnsi="宋体" w:eastAsia="宋体" w:cs="宋体"/>
          <w:color w:val="000000"/>
          <w:lang w:val="en-US" w:eastAsia="zh-CN"/>
        </w:rPr>
      </w:pPr>
      <w:r>
        <w:rPr>
          <w:rFonts w:hint="eastAsia" w:cs="宋体"/>
          <w:color w:val="000000"/>
          <w:lang w:val="en-US" w:eastAsia="zh-CN"/>
        </w:rPr>
        <w:t>附件：</w:t>
      </w:r>
    </w:p>
    <w:p w14:paraId="6B8598CA">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响水</w:t>
      </w:r>
      <w:r>
        <w:rPr>
          <w:rFonts w:hint="eastAsia" w:ascii="方正小标宋_GBK" w:hAnsi="方正小标宋_GBK" w:eastAsia="方正小标宋_GBK" w:cs="方正小标宋_GBK"/>
          <w:sz w:val="36"/>
          <w:szCs w:val="36"/>
        </w:rPr>
        <w:t>工业经济区绿化养护</w:t>
      </w:r>
      <w:r>
        <w:rPr>
          <w:rFonts w:hint="eastAsia" w:ascii="方正小标宋_GBK" w:hAnsi="方正小标宋_GBK" w:eastAsia="方正小标宋_GBK" w:cs="方正小标宋_GBK"/>
          <w:sz w:val="36"/>
          <w:szCs w:val="36"/>
          <w:lang w:val="en-US" w:eastAsia="zh-CN"/>
        </w:rPr>
        <w:t>服务</w:t>
      </w:r>
      <w:r>
        <w:rPr>
          <w:rFonts w:hint="eastAsia" w:ascii="方正小标宋_GBK" w:hAnsi="方正小标宋_GBK" w:eastAsia="方正小标宋_GBK" w:cs="方正小标宋_GBK"/>
          <w:sz w:val="36"/>
          <w:szCs w:val="36"/>
        </w:rPr>
        <w:t>考核细则</w:t>
      </w:r>
    </w:p>
    <w:p w14:paraId="7C2BF12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 w:val="32"/>
          <w:szCs w:val="32"/>
        </w:rPr>
      </w:pPr>
    </w:p>
    <w:p w14:paraId="6F9E78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本项目管理考核工作由</w:t>
      </w:r>
      <w:r>
        <w:rPr>
          <w:rFonts w:hint="eastAsia" w:ascii="宋体" w:hAnsi="宋体" w:eastAsia="宋体" w:cs="宋体"/>
          <w:sz w:val="24"/>
          <w:szCs w:val="24"/>
          <w:lang w:val="en-US" w:eastAsia="zh-CN"/>
        </w:rPr>
        <w:t>甲方安排人员</w:t>
      </w:r>
      <w:r>
        <w:rPr>
          <w:rFonts w:hint="eastAsia" w:ascii="宋体" w:hAnsi="宋体" w:eastAsia="宋体" w:cs="宋体"/>
          <w:sz w:val="24"/>
          <w:szCs w:val="24"/>
        </w:rPr>
        <w:t>组成考核小组，采取定期和不定期等方式，对</w:t>
      </w:r>
      <w:r>
        <w:rPr>
          <w:rFonts w:hint="eastAsia" w:ascii="宋体" w:hAnsi="宋体" w:eastAsia="宋体" w:cs="宋体"/>
          <w:sz w:val="24"/>
          <w:szCs w:val="24"/>
          <w:lang w:val="en-US" w:eastAsia="zh-CN"/>
        </w:rPr>
        <w:t>乙方</w:t>
      </w:r>
      <w:r>
        <w:rPr>
          <w:rFonts w:hint="eastAsia" w:ascii="宋体" w:hAnsi="宋体" w:eastAsia="宋体" w:cs="宋体"/>
          <w:sz w:val="24"/>
          <w:szCs w:val="24"/>
        </w:rPr>
        <w:t>日常绿化服务工作质量实施督查考核，考核结果与</w:t>
      </w:r>
      <w:r>
        <w:rPr>
          <w:rFonts w:hint="eastAsia" w:ascii="宋体" w:hAnsi="宋体" w:eastAsia="宋体" w:cs="宋体"/>
          <w:sz w:val="24"/>
          <w:szCs w:val="24"/>
          <w:lang w:val="en-US" w:eastAsia="zh-CN"/>
        </w:rPr>
        <w:t>乙方的</w:t>
      </w:r>
      <w:r>
        <w:rPr>
          <w:rFonts w:hint="eastAsia" w:ascii="宋体" w:hAnsi="宋体" w:eastAsia="宋体" w:cs="宋体"/>
          <w:sz w:val="24"/>
          <w:szCs w:val="24"/>
        </w:rPr>
        <w:t>服务费挂钩。</w:t>
      </w:r>
    </w:p>
    <w:p w14:paraId="34957C4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综合管理</w:t>
      </w:r>
    </w:p>
    <w:p w14:paraId="2FD1B4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1、应严格执行</w:t>
      </w:r>
      <w:r>
        <w:rPr>
          <w:rFonts w:hint="eastAsia" w:ascii="宋体" w:hAnsi="宋体" w:eastAsia="宋体" w:cs="宋体"/>
          <w:sz w:val="24"/>
          <w:szCs w:val="24"/>
          <w:lang w:val="en-US" w:eastAsia="zh-CN"/>
        </w:rPr>
        <w:t>甲方</w:t>
      </w:r>
      <w:r>
        <w:rPr>
          <w:rFonts w:hint="eastAsia" w:ascii="宋体" w:hAnsi="宋体" w:eastAsia="宋体" w:cs="宋体"/>
          <w:sz w:val="24"/>
          <w:szCs w:val="24"/>
        </w:rPr>
        <w:t>规定的</w:t>
      </w:r>
      <w:r>
        <w:rPr>
          <w:rFonts w:hint="eastAsia" w:ascii="宋体" w:hAnsi="宋体" w:eastAsia="宋体" w:cs="宋体"/>
          <w:sz w:val="24"/>
          <w:szCs w:val="24"/>
          <w:lang w:val="en-US" w:eastAsia="zh-CN"/>
        </w:rPr>
        <w:t>机</w:t>
      </w:r>
      <w:r>
        <w:rPr>
          <w:rFonts w:hint="eastAsia" w:ascii="宋体" w:hAnsi="宋体" w:eastAsia="宋体" w:cs="宋体"/>
          <w:sz w:val="24"/>
          <w:szCs w:val="24"/>
        </w:rPr>
        <w:t>械车辆及</w:t>
      </w:r>
      <w:r>
        <w:rPr>
          <w:rFonts w:hint="eastAsia" w:ascii="宋体" w:hAnsi="宋体" w:eastAsia="宋体" w:cs="宋体"/>
          <w:sz w:val="24"/>
          <w:szCs w:val="24"/>
          <w:lang w:val="en-US" w:eastAsia="zh-CN"/>
        </w:rPr>
        <w:t>工具</w:t>
      </w:r>
      <w:r>
        <w:rPr>
          <w:rFonts w:hint="eastAsia" w:ascii="宋体" w:hAnsi="宋体" w:eastAsia="宋体" w:cs="宋体"/>
          <w:sz w:val="24"/>
          <w:szCs w:val="24"/>
        </w:rPr>
        <w:t>，中标之日起1个月内100％到位，如未配置到位的，</w:t>
      </w:r>
      <w:r>
        <w:rPr>
          <w:rFonts w:hint="eastAsia" w:ascii="宋体" w:hAnsi="宋体" w:eastAsia="宋体" w:cs="宋体"/>
          <w:sz w:val="24"/>
          <w:szCs w:val="24"/>
          <w:lang w:val="en-US" w:eastAsia="zh-CN"/>
        </w:rPr>
        <w:t>每</w:t>
      </w:r>
      <w:r>
        <w:rPr>
          <w:rFonts w:hint="eastAsia" w:ascii="宋体" w:hAnsi="宋体" w:eastAsia="宋体" w:cs="宋体"/>
          <w:sz w:val="24"/>
          <w:szCs w:val="24"/>
        </w:rPr>
        <w:t>少一</w:t>
      </w:r>
      <w:r>
        <w:rPr>
          <w:rFonts w:hint="eastAsia" w:ascii="宋体" w:hAnsi="宋体" w:eastAsia="宋体" w:cs="宋体"/>
          <w:sz w:val="24"/>
          <w:szCs w:val="24"/>
          <w:lang w:val="en-US" w:eastAsia="zh-CN"/>
        </w:rPr>
        <w:t>项/件</w:t>
      </w:r>
      <w:r>
        <w:rPr>
          <w:rFonts w:hint="eastAsia" w:ascii="宋体" w:hAnsi="宋体" w:eastAsia="宋体" w:cs="宋体"/>
          <w:sz w:val="24"/>
          <w:szCs w:val="24"/>
        </w:rPr>
        <w:t>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1972B55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2、所有绿化作业人员应按规定时间上、下班列队并用水印相机拍照上传微信工作群，不得迟到早退、不得消极怠工、不得擅自离岗脱岗。违反此款之规定以及未上传照片每发现一次扣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甲方当日要求每少一人扣1分。</w:t>
      </w:r>
    </w:p>
    <w:p w14:paraId="758241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3、所有绿化作业人员应着统一工作服，如巡查发现未穿工作服或未统一，有一次扣0.5分</w:t>
      </w:r>
      <w:r>
        <w:rPr>
          <w:rFonts w:hint="eastAsia" w:ascii="宋体" w:hAnsi="宋体" w:eastAsia="宋体" w:cs="宋体"/>
          <w:sz w:val="24"/>
          <w:szCs w:val="24"/>
          <w:lang w:val="en-US" w:eastAsia="zh-CN"/>
        </w:rPr>
        <w:t>/</w:t>
      </w:r>
      <w:r>
        <w:rPr>
          <w:rFonts w:hint="eastAsia" w:ascii="宋体" w:hAnsi="宋体" w:eastAsia="宋体" w:cs="宋体"/>
          <w:sz w:val="24"/>
          <w:szCs w:val="24"/>
        </w:rPr>
        <w:t>人。</w:t>
      </w:r>
    </w:p>
    <w:p w14:paraId="442027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4、甲方组织的绿化工作会议应积极参与，如通知</w:t>
      </w:r>
      <w:r>
        <w:rPr>
          <w:rFonts w:hint="eastAsia" w:ascii="宋体" w:hAnsi="宋体" w:eastAsia="宋体" w:cs="宋体"/>
          <w:sz w:val="24"/>
          <w:szCs w:val="24"/>
          <w:lang w:val="en-US" w:eastAsia="zh-CN"/>
        </w:rPr>
        <w:t>乙方</w:t>
      </w:r>
      <w:r>
        <w:rPr>
          <w:rFonts w:hint="eastAsia" w:ascii="宋体" w:hAnsi="宋体" w:eastAsia="宋体" w:cs="宋体"/>
          <w:sz w:val="24"/>
          <w:szCs w:val="24"/>
        </w:rPr>
        <w:t>或项目负责人未到现场或无故缺席养护会议，有一次扣1分。</w:t>
      </w:r>
    </w:p>
    <w:p w14:paraId="4A6924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乙方</w:t>
      </w:r>
      <w:r>
        <w:rPr>
          <w:rFonts w:hint="eastAsia" w:ascii="宋体" w:hAnsi="宋体" w:eastAsia="宋体" w:cs="宋体"/>
          <w:sz w:val="24"/>
          <w:szCs w:val="24"/>
        </w:rPr>
        <w:t>联络人和现场作业人员保持通讯畅通，及时解决问题、回复问题</w:t>
      </w:r>
      <w:r>
        <w:rPr>
          <w:rFonts w:hint="eastAsia" w:ascii="宋体" w:hAnsi="宋体" w:eastAsia="宋体" w:cs="宋体"/>
          <w:sz w:val="24"/>
          <w:szCs w:val="24"/>
          <w:lang w:eastAsia="zh-CN"/>
        </w:rPr>
        <w:t>，</w:t>
      </w:r>
      <w:r>
        <w:rPr>
          <w:rFonts w:hint="eastAsia" w:ascii="宋体" w:hAnsi="宋体" w:eastAsia="宋体" w:cs="宋体"/>
          <w:sz w:val="24"/>
          <w:szCs w:val="24"/>
        </w:rPr>
        <w:t>确保工作要求和工作效果落实到位。违反此款之规定，发现电话不接的，有一次扣0.5分；通讯不畅，延误工作的，有一次扣1分；责任区域内，发现问题当日未处理的，有一次扣0.5分（隔日仍未处理加倍扣罚）；任务未按时或要求完成的，有一次扣2分。</w:t>
      </w:r>
    </w:p>
    <w:p w14:paraId="0E3FD18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建立健全日常管理考核和安全生产管理制度，资料台账完整，记录及时，按规定及时上报相关材料，每月对作业人员进行1次的安全教育，每月开展一次安全生产专项检查，严格落实安全生产责任制，确保环卫生产安全运行，无安全责任事故。违反此款之规定，制度不健全的，有一次扣0.5分；无台账记录的，有一次扣0.5分；台账资料不规范、不完整的，扣0.5分；未按规定要求及时上报材料的，有一次扣0.5分；当月发生安全生产责任事故的，有一次扣10分；发生重大安全责任事故，造成人员伤亡，有一次扣20分；处理不及时，引发舆情的扣30分。</w:t>
      </w:r>
    </w:p>
    <w:p w14:paraId="453715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乙方</w:t>
      </w:r>
      <w:r>
        <w:rPr>
          <w:rFonts w:hint="eastAsia" w:ascii="宋体" w:hAnsi="宋体" w:eastAsia="宋体" w:cs="宋体"/>
          <w:sz w:val="24"/>
          <w:szCs w:val="24"/>
        </w:rPr>
        <w:t>绿化作业人员要规范作业，文明作业，严格作业程序，不发生作业扰民纠纷，因作业程序不规范（造成争吵、碰撞、打架等），问题处理不当或造成社会不良影响的。违反此款之规定，有一次扣1-5分。</w:t>
      </w:r>
    </w:p>
    <w:p w14:paraId="4A7A0F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val="en-US" w:eastAsia="zh-CN"/>
        </w:rPr>
        <w:t>乙方</w:t>
      </w:r>
      <w:r>
        <w:rPr>
          <w:rFonts w:hint="eastAsia" w:ascii="宋体" w:hAnsi="宋体" w:eastAsia="宋体" w:cs="宋体"/>
          <w:sz w:val="24"/>
          <w:szCs w:val="24"/>
        </w:rPr>
        <w:t>绿化作业人员工作期间应严格遵守安全交通法规、提高安全意识，不得闯红灯、不得酒后上班、注意避让来往车辆。违反此款之规定，有一次扣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1D6163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9、养护范围内的绿植等未经工业区规划部门许可，不得擅自将绿地内苗木移作他用，</w:t>
      </w:r>
      <w:r>
        <w:rPr>
          <w:rFonts w:hint="eastAsia" w:ascii="宋体" w:hAnsi="宋体" w:eastAsia="宋体" w:cs="宋体"/>
          <w:sz w:val="24"/>
          <w:szCs w:val="24"/>
        </w:rPr>
        <w:t>有一次扣</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6668F3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10、绿化</w:t>
      </w:r>
      <w:r>
        <w:rPr>
          <w:rFonts w:hint="eastAsia" w:ascii="宋体" w:hAnsi="宋体" w:eastAsia="宋体" w:cs="宋体"/>
          <w:sz w:val="24"/>
          <w:szCs w:val="24"/>
        </w:rPr>
        <w:t>作业</w:t>
      </w:r>
      <w:r>
        <w:rPr>
          <w:rFonts w:hint="eastAsia" w:ascii="宋体" w:hAnsi="宋体" w:eastAsia="宋体" w:cs="宋体"/>
          <w:sz w:val="24"/>
          <w:szCs w:val="24"/>
          <w:lang w:val="en-US" w:eastAsia="zh-CN"/>
        </w:rPr>
        <w:t>机械的</w:t>
      </w:r>
      <w:r>
        <w:rPr>
          <w:rFonts w:hint="eastAsia" w:ascii="宋体" w:hAnsi="宋体" w:eastAsia="宋体" w:cs="宋体"/>
          <w:sz w:val="24"/>
          <w:szCs w:val="24"/>
        </w:rPr>
        <w:t>油料存放</w:t>
      </w:r>
      <w:r>
        <w:rPr>
          <w:rFonts w:hint="eastAsia" w:ascii="宋体" w:hAnsi="宋体" w:eastAsia="宋体" w:cs="宋体"/>
          <w:sz w:val="24"/>
          <w:szCs w:val="24"/>
          <w:lang w:val="en-US" w:eastAsia="zh-CN"/>
        </w:rPr>
        <w:t>要</w:t>
      </w:r>
      <w:r>
        <w:rPr>
          <w:rFonts w:hint="eastAsia" w:ascii="宋体" w:hAnsi="宋体" w:eastAsia="宋体" w:cs="宋体"/>
          <w:sz w:val="24"/>
          <w:szCs w:val="24"/>
        </w:rPr>
        <w:t>规范</w:t>
      </w:r>
      <w:r>
        <w:rPr>
          <w:rFonts w:hint="eastAsia" w:ascii="宋体" w:hAnsi="宋体" w:eastAsia="宋体" w:cs="宋体"/>
          <w:sz w:val="24"/>
          <w:szCs w:val="24"/>
          <w:lang w:eastAsia="zh-CN"/>
        </w:rPr>
        <w:t>，</w:t>
      </w:r>
      <w:r>
        <w:rPr>
          <w:rFonts w:hint="eastAsia" w:ascii="宋体" w:hAnsi="宋体" w:eastAsia="宋体" w:cs="宋体"/>
          <w:sz w:val="24"/>
          <w:szCs w:val="24"/>
        </w:rPr>
        <w:t>入库、领用手续</w:t>
      </w:r>
      <w:r>
        <w:rPr>
          <w:rFonts w:hint="eastAsia" w:ascii="宋体" w:hAnsi="宋体" w:eastAsia="宋体" w:cs="宋体"/>
          <w:sz w:val="24"/>
          <w:szCs w:val="24"/>
          <w:lang w:val="en-US" w:eastAsia="zh-CN"/>
        </w:rPr>
        <w:t>应及时</w:t>
      </w:r>
      <w:r>
        <w:rPr>
          <w:rFonts w:hint="eastAsia" w:ascii="宋体" w:hAnsi="宋体" w:eastAsia="宋体" w:cs="宋体"/>
          <w:sz w:val="24"/>
          <w:szCs w:val="24"/>
        </w:rPr>
        <w:t>填写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如存放不规范、手续未履行，</w:t>
      </w:r>
      <w:r>
        <w:rPr>
          <w:rFonts w:hint="eastAsia" w:ascii="宋体" w:hAnsi="宋体" w:eastAsia="宋体" w:cs="宋体"/>
          <w:sz w:val="24"/>
          <w:szCs w:val="24"/>
        </w:rPr>
        <w:t>有一次扣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p>
    <w:p w14:paraId="3481860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11、绿化养护人员应</w:t>
      </w:r>
      <w:r>
        <w:rPr>
          <w:rFonts w:hint="eastAsia" w:ascii="宋体" w:hAnsi="宋体" w:eastAsia="宋体" w:cs="宋体"/>
          <w:sz w:val="24"/>
          <w:szCs w:val="24"/>
        </w:rPr>
        <w:t>服从</w:t>
      </w:r>
      <w:r>
        <w:rPr>
          <w:rFonts w:hint="eastAsia" w:ascii="宋体" w:hAnsi="宋体" w:eastAsia="宋体" w:cs="宋体"/>
          <w:sz w:val="24"/>
          <w:szCs w:val="24"/>
          <w:lang w:val="en-US" w:eastAsia="zh-CN"/>
        </w:rPr>
        <w:t>甲方</w:t>
      </w:r>
      <w:r>
        <w:rPr>
          <w:rFonts w:hint="eastAsia" w:ascii="宋体" w:hAnsi="宋体" w:eastAsia="宋体" w:cs="宋体"/>
          <w:sz w:val="24"/>
          <w:szCs w:val="24"/>
        </w:rPr>
        <w:t>人员的工作安排，不得</w:t>
      </w:r>
      <w:r>
        <w:rPr>
          <w:rFonts w:hint="eastAsia" w:ascii="宋体" w:hAnsi="宋体" w:eastAsia="宋体" w:cs="宋体"/>
          <w:sz w:val="24"/>
          <w:szCs w:val="24"/>
          <w:lang w:val="en-US" w:eastAsia="zh-CN"/>
        </w:rPr>
        <w:t>无故、未报备甲方擅自停止养护作业、</w:t>
      </w:r>
      <w:r>
        <w:rPr>
          <w:rFonts w:hint="eastAsia" w:ascii="宋体" w:hAnsi="宋体" w:eastAsia="宋体" w:cs="宋体"/>
          <w:sz w:val="24"/>
          <w:szCs w:val="24"/>
        </w:rPr>
        <w:t>消极怠工、谩骂、阻挠、恐吓</w:t>
      </w:r>
      <w:r>
        <w:rPr>
          <w:rFonts w:hint="eastAsia" w:ascii="宋体" w:hAnsi="宋体" w:eastAsia="宋体" w:cs="宋体"/>
          <w:sz w:val="24"/>
          <w:szCs w:val="24"/>
          <w:lang w:val="en-US" w:eastAsia="zh-CN"/>
        </w:rPr>
        <w:t>甲方</w:t>
      </w:r>
      <w:r>
        <w:rPr>
          <w:rFonts w:hint="eastAsia" w:ascii="宋体" w:hAnsi="宋体" w:eastAsia="宋体" w:cs="宋体"/>
          <w:sz w:val="24"/>
          <w:szCs w:val="24"/>
        </w:rPr>
        <w:t>人员。违反此款之规定，有一次扣5分。</w:t>
      </w:r>
    </w:p>
    <w:p w14:paraId="19F2C0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宋体" w:hAnsi="宋体" w:eastAsia="宋体" w:cs="宋体"/>
          <w:sz w:val="24"/>
          <w:szCs w:val="24"/>
          <w:lang w:val="en-US" w:eastAsia="zh-CN"/>
        </w:rPr>
        <w:t>12、遇重要活动，急需紧急突击时，乙方须集中力量无条件配合，随时应对，第一时间组织人员并在规定时间内完成任务。</w:t>
      </w:r>
      <w:r>
        <w:rPr>
          <w:rFonts w:hint="eastAsia" w:ascii="宋体" w:hAnsi="宋体" w:eastAsia="宋体" w:cs="宋体"/>
          <w:sz w:val="24"/>
          <w:szCs w:val="24"/>
        </w:rPr>
        <w:t>违反此款之规定，</w:t>
      </w:r>
      <w:r>
        <w:rPr>
          <w:rFonts w:hint="eastAsia" w:ascii="宋体" w:hAnsi="宋体" w:eastAsia="宋体" w:cs="宋体"/>
          <w:sz w:val="24"/>
          <w:szCs w:val="24"/>
          <w:lang w:val="en-US" w:eastAsia="zh-CN"/>
        </w:rPr>
        <w:t>未及时响应或响应不及时的</w:t>
      </w:r>
      <w:r>
        <w:rPr>
          <w:rFonts w:hint="eastAsia" w:ascii="宋体" w:hAnsi="宋体" w:eastAsia="宋体" w:cs="宋体"/>
          <w:sz w:val="24"/>
          <w:szCs w:val="24"/>
        </w:rPr>
        <w:t>有一次扣</w:t>
      </w:r>
      <w:r>
        <w:rPr>
          <w:rFonts w:hint="eastAsia" w:ascii="宋体" w:hAnsi="宋体" w:eastAsia="宋体" w:cs="宋体"/>
          <w:sz w:val="24"/>
          <w:szCs w:val="24"/>
          <w:lang w:val="en-US" w:eastAsia="zh-CN"/>
        </w:rPr>
        <w:t>5</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人员未及时组织到位的，有一次扣5分；未按规定时间完成的，有一次扣5分。</w:t>
      </w:r>
    </w:p>
    <w:p w14:paraId="0D33DBF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巡查维护</w:t>
      </w:r>
    </w:p>
    <w:p w14:paraId="0035A0B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1、乙方项目负责人，每日巡查一次养护</w:t>
      </w:r>
      <w:r>
        <w:rPr>
          <w:rFonts w:hint="eastAsia" w:ascii="宋体" w:hAnsi="宋体" w:eastAsia="宋体" w:cs="宋体"/>
          <w:sz w:val="24"/>
          <w:szCs w:val="24"/>
        </w:rPr>
        <w:t>范围</w:t>
      </w:r>
      <w:r>
        <w:rPr>
          <w:rFonts w:hint="eastAsia" w:ascii="宋体" w:hAnsi="宋体" w:eastAsia="宋体" w:cs="宋体"/>
          <w:sz w:val="24"/>
          <w:szCs w:val="24"/>
          <w:lang w:val="en-US" w:eastAsia="zh-CN"/>
        </w:rPr>
        <w:t>内的所有绿化生长及完好情况。</w:t>
      </w:r>
    </w:p>
    <w:p w14:paraId="70BAD76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2、乙方项目负责人未发现行道树、主要景观树等乔灌木死亡的，或发现后未及时上报的。违反此款规定，有一次扣0.5分。</w:t>
      </w:r>
    </w:p>
    <w:p w14:paraId="3D96B70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3、乔灌木倾斜、倒伏的，未及时扶正处理的，违反此款规定，一天内有一次扣0.5分，如无特殊原因二天以上未处理的，有一次扣1分。</w:t>
      </w:r>
    </w:p>
    <w:p w14:paraId="798F6D9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4、色块、地被或草坪有多处明显死亡、空秃，应及时上报甲方，等待安排清理或补种，如未及时上报，有一次扣1分。</w:t>
      </w:r>
    </w:p>
    <w:p w14:paraId="0D4E1F4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5、绿植因缺肥出现明显枯萎状态的要及时上报追施有机肥，如未及时上报导致树木死亡的，有一次扣2分。</w:t>
      </w:r>
    </w:p>
    <w:p w14:paraId="177A34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6、在夏季，出现乔灌木缺水情况时，应及时提醒甲方组织人员进行浇水抗旱，如因未及时发现或上报，导致植物枯黄、或死亡的，</w:t>
      </w:r>
      <w:r>
        <w:rPr>
          <w:rFonts w:hint="eastAsia" w:ascii="宋体" w:hAnsi="宋体" w:eastAsia="宋体" w:cs="宋体"/>
          <w:sz w:val="24"/>
          <w:szCs w:val="24"/>
        </w:rPr>
        <w:t>有一</w:t>
      </w:r>
      <w:r>
        <w:rPr>
          <w:rFonts w:hint="eastAsia" w:ascii="宋体" w:hAnsi="宋体" w:eastAsia="宋体" w:cs="宋体"/>
          <w:sz w:val="24"/>
          <w:szCs w:val="24"/>
          <w:lang w:val="en-US" w:eastAsia="zh-CN"/>
        </w:rPr>
        <w:t>处</w:t>
      </w:r>
      <w:r>
        <w:rPr>
          <w:rFonts w:hint="eastAsia" w:ascii="宋体" w:hAnsi="宋体" w:eastAsia="宋体" w:cs="宋体"/>
          <w:sz w:val="24"/>
          <w:szCs w:val="24"/>
        </w:rPr>
        <w:t>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327AF77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养护</w:t>
      </w:r>
      <w:r>
        <w:rPr>
          <w:rFonts w:hint="eastAsia" w:ascii="宋体" w:hAnsi="宋体" w:eastAsia="宋体" w:cs="宋体"/>
          <w:sz w:val="24"/>
          <w:szCs w:val="24"/>
        </w:rPr>
        <w:t>范围</w:t>
      </w:r>
      <w:r>
        <w:rPr>
          <w:rFonts w:hint="eastAsia" w:ascii="宋体" w:hAnsi="宋体" w:eastAsia="宋体" w:cs="宋体"/>
          <w:sz w:val="24"/>
          <w:szCs w:val="24"/>
          <w:lang w:val="en-US" w:eastAsia="zh-CN"/>
        </w:rPr>
        <w:t>内</w:t>
      </w:r>
      <w:r>
        <w:rPr>
          <w:rFonts w:hint="eastAsia" w:ascii="宋体" w:hAnsi="宋体" w:eastAsia="宋体" w:cs="宋体"/>
          <w:sz w:val="24"/>
          <w:szCs w:val="24"/>
        </w:rPr>
        <w:t>有损绿、毁绿、占用绿地</w:t>
      </w:r>
      <w:r>
        <w:rPr>
          <w:rFonts w:hint="eastAsia" w:ascii="宋体" w:hAnsi="宋体" w:eastAsia="宋体" w:cs="宋体"/>
          <w:sz w:val="24"/>
          <w:szCs w:val="24"/>
          <w:lang w:val="en-US" w:eastAsia="zh-CN"/>
        </w:rPr>
        <w:t>的，应及时</w:t>
      </w:r>
      <w:r>
        <w:rPr>
          <w:rFonts w:hint="eastAsia" w:ascii="宋体" w:hAnsi="宋体" w:eastAsia="宋体" w:cs="宋体"/>
          <w:sz w:val="24"/>
          <w:szCs w:val="24"/>
        </w:rPr>
        <w:t>制止和上报</w:t>
      </w:r>
      <w:r>
        <w:rPr>
          <w:rFonts w:hint="eastAsia" w:ascii="宋体" w:hAnsi="宋体" w:eastAsia="宋体" w:cs="宋体"/>
          <w:sz w:val="24"/>
          <w:szCs w:val="24"/>
          <w:lang w:val="en-US" w:eastAsia="zh-CN"/>
        </w:rPr>
        <w:t>甲方，如发现未制止、上报，</w:t>
      </w:r>
      <w:r>
        <w:rPr>
          <w:rFonts w:hint="eastAsia" w:ascii="宋体" w:hAnsi="宋体" w:eastAsia="宋体" w:cs="宋体"/>
          <w:sz w:val="24"/>
          <w:szCs w:val="24"/>
        </w:rPr>
        <w:t>有一次扣0.5-1分。</w:t>
      </w:r>
    </w:p>
    <w:p w14:paraId="3F5DDEB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8、冬季乔木树杆刷白，应按照甲方要求高度进行作业，如有遗漏的，有一处扣0.5分。</w:t>
      </w:r>
    </w:p>
    <w:p w14:paraId="74F7D57C">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常规修剪</w:t>
      </w:r>
    </w:p>
    <w:p w14:paraId="0E25A0D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1、草坪、灌木修剪效率应不低于150平方/小时，如有明显投机取巧、消极怠工的，有一次扣0.5分。</w:t>
      </w:r>
    </w:p>
    <w:p w14:paraId="020889F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2、色块、绿篱、球类修剪明显不整齐，影响绿化整体美观的，有一次扣0.5分。</w:t>
      </w:r>
    </w:p>
    <w:p w14:paraId="0683A9F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3、乔灌木有枯枝、断枝，未及时修剪清理的，有一次扣0.5分。</w:t>
      </w:r>
    </w:p>
    <w:p w14:paraId="0CCBE83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4、修剪后产生的残草枯枝等垃圾清理（原则上在6小时内清理结束），严禁在响水工业经济区范围内乱放乱倒或填埋，乙方自行解决残草处置地点，需合规合理处置，不得违反响水工业经济区的环保要求和规定。未及时清运的，有一次扣0.5分；发现一次乱倒或填埋的，</w:t>
      </w:r>
      <w:r>
        <w:rPr>
          <w:rFonts w:hint="eastAsia" w:ascii="宋体" w:hAnsi="宋体" w:eastAsia="宋体" w:cs="宋体"/>
          <w:sz w:val="24"/>
          <w:szCs w:val="24"/>
        </w:rPr>
        <w:t>有</w:t>
      </w:r>
      <w:r>
        <w:rPr>
          <w:rFonts w:hint="eastAsia" w:ascii="宋体" w:hAnsi="宋体" w:eastAsia="宋体" w:cs="宋体"/>
          <w:sz w:val="24"/>
          <w:szCs w:val="24"/>
          <w:lang w:val="en-US" w:eastAsia="zh-CN"/>
        </w:rPr>
        <w:t>一处扣1分。</w:t>
      </w:r>
    </w:p>
    <w:p w14:paraId="20DFBD4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病虫害防治</w:t>
      </w:r>
    </w:p>
    <w:p w14:paraId="371EF9D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1、各类树木植物有病虫害，未及时发现并上报甲方安排用药的，如轻微影响有一处扣0.5分；如明显虫害的有一处扣1分；如已经严重病害导致绿植死亡的有一处扣2分。</w:t>
      </w:r>
    </w:p>
    <w:p w14:paraId="2782E144">
      <w:pPr>
        <w:pStyle w:val="29"/>
        <w:snapToGrid w:val="0"/>
        <w:spacing w:before="120" w:after="120" w:line="5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2、农药使用、管控应专人管理，应严格按照规范流程操作，用完的药水瓶袋应放置指定回收</w:t>
      </w:r>
    </w:p>
    <w:p w14:paraId="61806B0B">
      <w:pPr>
        <w:pStyle w:val="29"/>
        <w:snapToGrid w:val="0"/>
        <w:spacing w:before="120" w:after="120" w:line="560" w:lineRule="exact"/>
        <w:jc w:val="both"/>
        <w:rPr>
          <w:rFonts w:hint="eastAsia" w:ascii="宋体" w:hAnsi="宋体" w:eastAsia="宋体" w:cs="宋体"/>
          <w:sz w:val="24"/>
          <w:szCs w:val="24"/>
        </w:rPr>
      </w:pPr>
      <w:r>
        <w:rPr>
          <w:rFonts w:hint="eastAsia" w:ascii="宋体" w:hAnsi="宋体" w:eastAsia="宋体" w:cs="宋体"/>
          <w:sz w:val="24"/>
          <w:szCs w:val="24"/>
          <w:lang w:val="en-US" w:eastAsia="zh-CN"/>
        </w:rPr>
        <w:t>内，不得乱丢乱放，</w:t>
      </w:r>
      <w:r>
        <w:rPr>
          <w:rFonts w:hint="eastAsia" w:ascii="宋体" w:hAnsi="宋体" w:eastAsia="宋体" w:cs="宋体"/>
          <w:sz w:val="24"/>
          <w:szCs w:val="24"/>
        </w:rPr>
        <w:t>违反此款之规定，有一次扣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284E82D1">
      <w:pPr>
        <w:pStyle w:val="29"/>
        <w:snapToGrid w:val="0"/>
        <w:spacing w:before="120" w:after="120" w:line="560" w:lineRule="exact"/>
        <w:jc w:val="center"/>
        <w:rPr>
          <w:rFonts w:hint="eastAsia" w:ascii="宋体" w:hAnsi="宋体" w:eastAsia="宋体" w:cs="宋体"/>
          <w:sz w:val="24"/>
          <w:szCs w:val="24"/>
        </w:rPr>
      </w:pPr>
    </w:p>
    <w:p w14:paraId="5BDC0520">
      <w:pPr>
        <w:pStyle w:val="29"/>
        <w:snapToGrid w:val="0"/>
        <w:spacing w:before="120" w:after="120" w:line="560" w:lineRule="exact"/>
        <w:jc w:val="center"/>
        <w:rPr>
          <w:rFonts w:hint="eastAsia" w:ascii="宋体" w:hAnsi="宋体" w:eastAsia="宋体" w:cs="宋体"/>
          <w:sz w:val="24"/>
          <w:szCs w:val="24"/>
        </w:rPr>
      </w:pPr>
    </w:p>
    <w:p w14:paraId="1BB6825F">
      <w:pPr>
        <w:pStyle w:val="29"/>
        <w:snapToGrid w:val="0"/>
        <w:spacing w:before="120" w:after="120" w:line="560" w:lineRule="exact"/>
        <w:jc w:val="center"/>
        <w:rPr>
          <w:rFonts w:hint="eastAsia" w:ascii="宋体" w:hAnsi="宋体" w:eastAsia="宋体" w:cs="宋体"/>
          <w:sz w:val="24"/>
          <w:szCs w:val="24"/>
        </w:rPr>
      </w:pPr>
    </w:p>
    <w:p w14:paraId="07D2F147">
      <w:pPr>
        <w:pStyle w:val="29"/>
        <w:snapToGrid w:val="0"/>
        <w:spacing w:before="120" w:after="120" w:line="560" w:lineRule="exact"/>
        <w:jc w:val="center"/>
        <w:rPr>
          <w:rFonts w:hint="eastAsia" w:ascii="宋体" w:hAnsi="宋体" w:eastAsia="宋体" w:cs="宋体"/>
          <w:sz w:val="24"/>
          <w:szCs w:val="24"/>
        </w:rPr>
      </w:pPr>
    </w:p>
    <w:p w14:paraId="6DEA73C3">
      <w:pPr>
        <w:pStyle w:val="29"/>
        <w:snapToGrid w:val="0"/>
        <w:spacing w:before="120" w:after="120" w:line="560" w:lineRule="exact"/>
        <w:jc w:val="center"/>
        <w:rPr>
          <w:rFonts w:hint="eastAsia" w:ascii="宋体" w:hAnsi="宋体" w:eastAsia="宋体" w:cs="宋体"/>
          <w:sz w:val="24"/>
          <w:szCs w:val="24"/>
        </w:rPr>
      </w:pPr>
    </w:p>
    <w:p w14:paraId="5F4B4EAC">
      <w:pPr>
        <w:pStyle w:val="29"/>
        <w:snapToGrid w:val="0"/>
        <w:spacing w:before="120" w:after="120" w:line="560" w:lineRule="exact"/>
        <w:jc w:val="center"/>
        <w:rPr>
          <w:rFonts w:hint="eastAsia" w:ascii="宋体" w:hAnsi="宋体" w:eastAsia="宋体" w:cs="宋体"/>
          <w:sz w:val="24"/>
          <w:szCs w:val="24"/>
        </w:rPr>
      </w:pPr>
    </w:p>
    <w:p w14:paraId="72F07D50">
      <w:pPr>
        <w:pStyle w:val="29"/>
        <w:snapToGrid w:val="0"/>
        <w:spacing w:before="120" w:after="120" w:line="560" w:lineRule="exact"/>
        <w:jc w:val="center"/>
        <w:rPr>
          <w:rFonts w:hint="eastAsia" w:ascii="宋体" w:hAnsi="宋体" w:eastAsia="宋体" w:cs="宋体"/>
          <w:sz w:val="24"/>
          <w:szCs w:val="24"/>
        </w:rPr>
      </w:pPr>
    </w:p>
    <w:p w14:paraId="0167C348">
      <w:pPr>
        <w:pStyle w:val="29"/>
        <w:snapToGrid w:val="0"/>
        <w:spacing w:before="120" w:after="120" w:line="560" w:lineRule="exact"/>
        <w:jc w:val="center"/>
        <w:rPr>
          <w:rFonts w:hint="eastAsia" w:ascii="宋体" w:hAnsi="宋体" w:eastAsia="宋体" w:cs="宋体"/>
          <w:sz w:val="24"/>
          <w:szCs w:val="24"/>
        </w:rPr>
      </w:pPr>
    </w:p>
    <w:p w14:paraId="0C94956D">
      <w:pPr>
        <w:pStyle w:val="29"/>
        <w:snapToGrid w:val="0"/>
        <w:spacing w:before="120" w:after="120" w:line="560" w:lineRule="exact"/>
        <w:jc w:val="center"/>
        <w:rPr>
          <w:rFonts w:hint="eastAsia" w:ascii="宋体" w:hAnsi="宋体" w:eastAsia="宋体" w:cs="宋体"/>
          <w:sz w:val="24"/>
          <w:szCs w:val="24"/>
        </w:rPr>
      </w:pPr>
    </w:p>
    <w:p w14:paraId="7C5D7800">
      <w:pPr>
        <w:pStyle w:val="29"/>
        <w:snapToGrid w:val="0"/>
        <w:spacing w:before="120" w:after="120" w:line="560" w:lineRule="exact"/>
        <w:jc w:val="center"/>
        <w:rPr>
          <w:rFonts w:hint="eastAsia" w:ascii="宋体" w:hAnsi="宋体" w:eastAsia="宋体" w:cs="宋体"/>
          <w:sz w:val="24"/>
          <w:szCs w:val="24"/>
        </w:rPr>
      </w:pPr>
    </w:p>
    <w:p w14:paraId="5BC4F631">
      <w:pPr>
        <w:pStyle w:val="29"/>
        <w:snapToGrid w:val="0"/>
        <w:spacing w:before="120" w:after="120" w:line="560" w:lineRule="exact"/>
        <w:jc w:val="center"/>
        <w:rPr>
          <w:rFonts w:hint="eastAsia" w:ascii="宋体" w:hAnsi="宋体" w:eastAsia="宋体" w:cs="宋体"/>
          <w:sz w:val="24"/>
          <w:szCs w:val="24"/>
        </w:rPr>
      </w:pPr>
    </w:p>
    <w:p w14:paraId="6C482470">
      <w:pPr>
        <w:pStyle w:val="29"/>
        <w:snapToGrid w:val="0"/>
        <w:spacing w:before="120" w:after="120" w:line="560" w:lineRule="exact"/>
        <w:jc w:val="center"/>
        <w:rPr>
          <w:rFonts w:hint="eastAsia" w:ascii="宋体" w:hAnsi="宋体" w:eastAsia="宋体" w:cs="宋体"/>
          <w:sz w:val="24"/>
          <w:szCs w:val="24"/>
        </w:rPr>
      </w:pPr>
    </w:p>
    <w:p w14:paraId="5FD3D39F">
      <w:pPr>
        <w:pStyle w:val="29"/>
        <w:snapToGrid w:val="0"/>
        <w:spacing w:before="120" w:after="120" w:line="560" w:lineRule="exact"/>
        <w:jc w:val="center"/>
        <w:rPr>
          <w:rFonts w:hint="eastAsia" w:ascii="宋体" w:hAnsi="宋体" w:eastAsia="宋体" w:cs="宋体"/>
          <w:sz w:val="24"/>
          <w:szCs w:val="24"/>
        </w:rPr>
      </w:pPr>
    </w:p>
    <w:p w14:paraId="6A5DB6B3">
      <w:pPr>
        <w:pStyle w:val="29"/>
        <w:snapToGrid w:val="0"/>
        <w:spacing w:before="120" w:after="120" w:line="560" w:lineRule="exact"/>
        <w:jc w:val="center"/>
        <w:rPr>
          <w:rFonts w:hint="eastAsia" w:ascii="宋体" w:hAnsi="宋体" w:eastAsia="宋体" w:cs="宋体"/>
          <w:sz w:val="24"/>
          <w:szCs w:val="24"/>
        </w:rPr>
      </w:pPr>
    </w:p>
    <w:p w14:paraId="135B9BCE">
      <w:pPr>
        <w:pStyle w:val="29"/>
        <w:snapToGrid w:val="0"/>
        <w:spacing w:before="120" w:after="120" w:line="560" w:lineRule="exact"/>
        <w:jc w:val="center"/>
        <w:rPr>
          <w:rFonts w:hint="eastAsia" w:ascii="宋体" w:hAnsi="宋体" w:eastAsia="宋体" w:cs="宋体"/>
          <w:sz w:val="24"/>
          <w:szCs w:val="24"/>
        </w:rPr>
      </w:pPr>
    </w:p>
    <w:p w14:paraId="746E5B8C">
      <w:pPr>
        <w:pStyle w:val="29"/>
        <w:snapToGrid w:val="0"/>
        <w:spacing w:before="120" w:after="120" w:line="560" w:lineRule="exact"/>
        <w:jc w:val="center"/>
        <w:rPr>
          <w:rStyle w:val="21"/>
          <w:rFonts w:hAnsi="宋体" w:cs="宋体"/>
          <w:b/>
          <w:bCs/>
          <w:color w:val="000000" w:themeColor="text1"/>
          <w:sz w:val="44"/>
          <w:szCs w:val="44"/>
          <w14:textFill>
            <w14:solidFill>
              <w14:schemeClr w14:val="tx1"/>
            </w14:solidFill>
          </w14:textFill>
        </w:rPr>
      </w:pPr>
      <w:r>
        <w:rPr>
          <w:rStyle w:val="21"/>
          <w:rFonts w:hint="eastAsia" w:hAnsi="宋体" w:cs="宋体"/>
          <w:b/>
          <w:color w:val="000000" w:themeColor="text1"/>
          <w:sz w:val="44"/>
          <w:szCs w:val="44"/>
          <w14:textFill>
            <w14:solidFill>
              <w14:schemeClr w14:val="tx1"/>
            </w14:solidFill>
          </w14:textFill>
        </w:rPr>
        <w:t>第五章  竞争性谈判 响应文件</w:t>
      </w:r>
    </w:p>
    <w:p w14:paraId="70271318">
      <w:pPr>
        <w:snapToGrid w:val="0"/>
        <w:spacing w:line="360" w:lineRule="auto"/>
        <w:jc w:val="center"/>
        <w:rPr>
          <w:rStyle w:val="21"/>
          <w:rFonts w:ascii="宋体" w:hAnsi="宋体" w:cs="宋体"/>
          <w:b/>
          <w:bCs/>
          <w:color w:val="000000" w:themeColor="text1"/>
          <w:sz w:val="30"/>
          <w:szCs w:val="30"/>
          <w14:textFill>
            <w14:solidFill>
              <w14:schemeClr w14:val="tx1"/>
            </w14:solidFill>
          </w14:textFill>
        </w:rPr>
      </w:pPr>
    </w:p>
    <w:p w14:paraId="1E0DE026">
      <w:pPr>
        <w:snapToGrid w:val="0"/>
        <w:spacing w:line="360" w:lineRule="auto"/>
        <w:jc w:val="center"/>
        <w:rPr>
          <w:rStyle w:val="21"/>
          <w:rFonts w:ascii="宋体" w:hAnsi="宋体" w:cs="宋体"/>
          <w:b/>
          <w:bCs/>
          <w:color w:val="000000" w:themeColor="text1"/>
          <w:sz w:val="30"/>
          <w:szCs w:val="30"/>
          <w14:textFill>
            <w14:solidFill>
              <w14:schemeClr w14:val="tx1"/>
            </w14:solidFill>
          </w14:textFill>
        </w:rPr>
      </w:pPr>
      <w:r>
        <w:rPr>
          <w:rStyle w:val="21"/>
          <w:rFonts w:hint="eastAsia" w:ascii="宋体" w:hAnsi="宋体" w:cs="宋体"/>
          <w:b/>
          <w:bCs/>
          <w:color w:val="000000" w:themeColor="text1"/>
          <w:sz w:val="30"/>
          <w:szCs w:val="30"/>
          <w14:textFill>
            <w14:solidFill>
              <w14:schemeClr w14:val="tx1"/>
            </w14:solidFill>
          </w14:textFill>
        </w:rPr>
        <w:t>封面</w:t>
      </w:r>
    </w:p>
    <w:p w14:paraId="2F75B0F6">
      <w:pPr>
        <w:snapToGrid w:val="0"/>
        <w:spacing w:line="360" w:lineRule="auto"/>
        <w:ind w:firstLine="7000" w:firstLineChars="2500"/>
        <w:rPr>
          <w:rStyle w:val="21"/>
          <w:rFonts w:ascii="宋体" w:hAnsi="宋体" w:cs="宋体"/>
          <w:color w:val="000000" w:themeColor="text1"/>
          <w:sz w:val="28"/>
          <w:szCs w:val="28"/>
          <w14:textFill>
            <w14:solidFill>
              <w14:schemeClr w14:val="tx1"/>
            </w14:solidFill>
          </w14:textFill>
        </w:rPr>
      </w:pPr>
      <w:r>
        <w:rPr>
          <w:rStyle w:val="21"/>
          <w:rFonts w:hint="eastAsia" w:ascii="宋体" w:hAnsi="宋体" w:cs="宋体"/>
          <w:color w:val="000000" w:themeColor="text1"/>
          <w:sz w:val="28"/>
          <w:szCs w:val="28"/>
          <w14:textFill>
            <w14:solidFill>
              <w14:schemeClr w14:val="tx1"/>
            </w14:solidFill>
          </w14:textFill>
        </w:rPr>
        <w:t>（正、副）本</w:t>
      </w:r>
    </w:p>
    <w:p w14:paraId="61764336">
      <w:pPr>
        <w:snapToGrid w:val="0"/>
        <w:spacing w:line="360" w:lineRule="auto"/>
        <w:jc w:val="center"/>
        <w:rPr>
          <w:rStyle w:val="21"/>
          <w:rFonts w:hint="eastAsia" w:ascii="宋体" w:hAnsi="宋体" w:cs="宋体"/>
          <w:color w:val="000000" w:themeColor="text1"/>
          <w:sz w:val="28"/>
          <w:szCs w:val="28"/>
          <w14:textFill>
            <w14:solidFill>
              <w14:schemeClr w14:val="tx1"/>
            </w14:solidFill>
          </w14:textFill>
        </w:rPr>
      </w:pPr>
    </w:p>
    <w:p w14:paraId="758D9D19">
      <w:pPr>
        <w:snapToGrid w:val="0"/>
        <w:spacing w:line="360" w:lineRule="auto"/>
        <w:jc w:val="center"/>
        <w:rPr>
          <w:rStyle w:val="21"/>
          <w:rFonts w:hint="eastAsia" w:ascii="宋体" w:hAnsi="宋体" w:eastAsia="宋体" w:cs="宋体"/>
          <w:color w:val="000000" w:themeColor="text1"/>
          <w:sz w:val="28"/>
          <w:szCs w:val="28"/>
          <w:lang w:eastAsia="zh-CN"/>
          <w14:textFill>
            <w14:solidFill>
              <w14:schemeClr w14:val="tx1"/>
            </w14:solidFill>
          </w14:textFill>
        </w:rPr>
      </w:pPr>
      <w:r>
        <w:rPr>
          <w:rStyle w:val="21"/>
          <w:rFonts w:hint="eastAsia" w:ascii="宋体" w:hAnsi="宋体" w:cs="宋体"/>
          <w:color w:val="000000" w:themeColor="text1"/>
          <w:sz w:val="28"/>
          <w:szCs w:val="28"/>
          <w:lang w:eastAsia="zh-CN"/>
          <w14:textFill>
            <w14:solidFill>
              <w14:schemeClr w14:val="tx1"/>
            </w14:solidFill>
          </w14:textFill>
        </w:rPr>
        <w:t>响水工业经济区绿化养护服务项目</w:t>
      </w:r>
    </w:p>
    <w:p w14:paraId="05D90EFE">
      <w:pPr>
        <w:snapToGrid w:val="0"/>
        <w:spacing w:line="360" w:lineRule="auto"/>
        <w:jc w:val="center"/>
        <w:rPr>
          <w:rStyle w:val="21"/>
          <w:rFonts w:ascii="宋体" w:hAnsi="宋体" w:cs="宋体"/>
          <w:color w:val="000000" w:themeColor="text1"/>
          <w:sz w:val="28"/>
          <w:szCs w:val="28"/>
          <w14:textFill>
            <w14:solidFill>
              <w14:schemeClr w14:val="tx1"/>
            </w14:solidFill>
          </w14:textFill>
        </w:rPr>
      </w:pPr>
      <w:r>
        <w:rPr>
          <w:rStyle w:val="21"/>
          <w:rFonts w:hint="eastAsia" w:ascii="宋体" w:hAnsi="宋体" w:cs="宋体"/>
          <w:color w:val="000000" w:themeColor="text1"/>
          <w:sz w:val="28"/>
          <w:szCs w:val="28"/>
          <w14:textFill>
            <w14:solidFill>
              <w14:schemeClr w14:val="tx1"/>
            </w14:solidFill>
          </w14:textFill>
        </w:rPr>
        <w:t>竞争性谈判响应文件</w:t>
      </w:r>
    </w:p>
    <w:p w14:paraId="222A3179">
      <w:pPr>
        <w:snapToGrid w:val="0"/>
        <w:ind w:firstLine="1896" w:firstLineChars="395"/>
        <w:rPr>
          <w:rStyle w:val="21"/>
          <w:rFonts w:ascii="宋体" w:hAnsi="宋体" w:cs="宋体"/>
          <w:color w:val="000000" w:themeColor="text1"/>
          <w:sz w:val="48"/>
          <w:szCs w:val="48"/>
          <w14:textFill>
            <w14:solidFill>
              <w14:schemeClr w14:val="tx1"/>
            </w14:solidFill>
          </w14:textFill>
        </w:rPr>
      </w:pPr>
    </w:p>
    <w:p w14:paraId="0EF4B862">
      <w:pPr>
        <w:pStyle w:val="2"/>
        <w:rPr>
          <w:rFonts w:ascii="宋体" w:hAnsi="宋体" w:eastAsia="宋体" w:cs="宋体"/>
          <w:b w:val="0"/>
          <w:bCs w:val="0"/>
          <w:color w:val="000000" w:themeColor="text1"/>
          <w14:textFill>
            <w14:solidFill>
              <w14:schemeClr w14:val="tx1"/>
            </w14:solidFill>
          </w14:textFill>
        </w:rPr>
      </w:pPr>
    </w:p>
    <w:p w14:paraId="6154C01F">
      <w:pPr>
        <w:snapToGrid w:val="0"/>
        <w:spacing w:line="600" w:lineRule="atLeast"/>
        <w:ind w:firstLine="1960" w:firstLineChars="700"/>
        <w:rPr>
          <w:rStyle w:val="21"/>
          <w:rFonts w:ascii="宋体" w:hAnsi="宋体" w:cs="宋体"/>
          <w:color w:val="000000" w:themeColor="text1"/>
          <w:kern w:val="0"/>
          <w:sz w:val="28"/>
          <w:szCs w:val="28"/>
          <w14:textFill>
            <w14:solidFill>
              <w14:schemeClr w14:val="tx1"/>
            </w14:solidFill>
          </w14:textFill>
        </w:rPr>
      </w:pPr>
      <w:r>
        <w:rPr>
          <w:rStyle w:val="21"/>
          <w:rFonts w:hint="eastAsia" w:ascii="宋体" w:hAnsi="宋体" w:cs="宋体"/>
          <w:color w:val="000000" w:themeColor="text1"/>
          <w:sz w:val="28"/>
          <w:szCs w:val="28"/>
          <w14:textFill>
            <w14:solidFill>
              <w14:schemeClr w14:val="tx1"/>
            </w14:solidFill>
          </w14:textFill>
        </w:rPr>
        <w:t>采购编号：</w:t>
      </w:r>
    </w:p>
    <w:p w14:paraId="1211756D">
      <w:pPr>
        <w:snapToGrid w:val="0"/>
        <w:spacing w:line="600" w:lineRule="atLeast"/>
        <w:ind w:firstLine="720" w:firstLineChars="200"/>
        <w:rPr>
          <w:rStyle w:val="21"/>
          <w:rFonts w:ascii="宋体" w:hAnsi="宋体" w:cs="宋体"/>
          <w:color w:val="000000" w:themeColor="text1"/>
          <w:sz w:val="36"/>
          <w:szCs w:val="36"/>
          <w14:textFill>
            <w14:solidFill>
              <w14:schemeClr w14:val="tx1"/>
            </w14:solidFill>
          </w14:textFill>
        </w:rPr>
      </w:pPr>
    </w:p>
    <w:p w14:paraId="499109FB">
      <w:pPr>
        <w:tabs>
          <w:tab w:val="center" w:pos="4621"/>
        </w:tabs>
        <w:snapToGrid w:val="0"/>
        <w:jc w:val="left"/>
        <w:rPr>
          <w:rStyle w:val="21"/>
          <w:rFonts w:ascii="宋体" w:hAnsi="宋体" w:cs="宋体"/>
          <w:color w:val="000000" w:themeColor="text1"/>
          <w:sz w:val="36"/>
          <w:szCs w:val="36"/>
          <w14:textFill>
            <w14:solidFill>
              <w14:schemeClr w14:val="tx1"/>
            </w14:solidFill>
          </w14:textFill>
        </w:rPr>
      </w:pPr>
    </w:p>
    <w:p w14:paraId="0594FE3F">
      <w:pPr>
        <w:tabs>
          <w:tab w:val="center" w:pos="4621"/>
        </w:tabs>
        <w:snapToGrid w:val="0"/>
        <w:jc w:val="left"/>
        <w:rPr>
          <w:rStyle w:val="21"/>
          <w:rFonts w:ascii="宋体" w:hAnsi="宋体" w:cs="宋体"/>
          <w:color w:val="000000" w:themeColor="text1"/>
          <w:sz w:val="36"/>
          <w:szCs w:val="36"/>
          <w14:textFill>
            <w14:solidFill>
              <w14:schemeClr w14:val="tx1"/>
            </w14:solidFill>
          </w14:textFill>
        </w:rPr>
      </w:pPr>
    </w:p>
    <w:p w14:paraId="62918A27">
      <w:pPr>
        <w:tabs>
          <w:tab w:val="center" w:pos="4621"/>
        </w:tabs>
        <w:snapToGrid w:val="0"/>
        <w:jc w:val="left"/>
        <w:rPr>
          <w:rStyle w:val="21"/>
          <w:rFonts w:ascii="宋体" w:hAnsi="宋体" w:cs="宋体"/>
          <w:color w:val="000000" w:themeColor="text1"/>
          <w:sz w:val="36"/>
          <w:szCs w:val="36"/>
          <w14:textFill>
            <w14:solidFill>
              <w14:schemeClr w14:val="tx1"/>
            </w14:solidFill>
          </w14:textFill>
        </w:rPr>
      </w:pPr>
    </w:p>
    <w:p w14:paraId="2CF59E90">
      <w:pPr>
        <w:tabs>
          <w:tab w:val="center" w:pos="4621"/>
        </w:tabs>
        <w:snapToGrid w:val="0"/>
        <w:jc w:val="left"/>
        <w:rPr>
          <w:rStyle w:val="21"/>
          <w:rFonts w:ascii="宋体" w:hAnsi="宋体" w:cs="宋体"/>
          <w:color w:val="000000" w:themeColor="text1"/>
          <w:sz w:val="36"/>
          <w:szCs w:val="36"/>
          <w14:textFill>
            <w14:solidFill>
              <w14:schemeClr w14:val="tx1"/>
            </w14:solidFill>
          </w14:textFill>
        </w:rPr>
      </w:pPr>
    </w:p>
    <w:p w14:paraId="2A8E1C88">
      <w:pPr>
        <w:snapToGrid w:val="0"/>
        <w:ind w:firstLine="627" w:firstLineChars="196"/>
        <w:rPr>
          <w:rStyle w:val="21"/>
          <w:rFonts w:ascii="宋体" w:hAnsi="宋体" w:cs="宋体"/>
          <w:color w:val="000000" w:themeColor="text1"/>
          <w:sz w:val="32"/>
          <w:szCs w:val="32"/>
          <w14:textFill>
            <w14:solidFill>
              <w14:schemeClr w14:val="tx1"/>
            </w14:solidFill>
          </w14:textFill>
        </w:rPr>
      </w:pPr>
    </w:p>
    <w:p w14:paraId="680150F2">
      <w:pPr>
        <w:snapToGrid w:val="0"/>
        <w:ind w:firstLine="627" w:firstLineChars="196"/>
        <w:rPr>
          <w:rStyle w:val="21"/>
          <w:rFonts w:ascii="宋体" w:hAnsi="宋体" w:cs="宋体"/>
          <w:color w:val="000000" w:themeColor="text1"/>
          <w:sz w:val="32"/>
          <w:szCs w:val="32"/>
          <w14:textFill>
            <w14:solidFill>
              <w14:schemeClr w14:val="tx1"/>
            </w14:solidFill>
          </w14:textFill>
        </w:rPr>
      </w:pPr>
    </w:p>
    <w:p w14:paraId="49647D5D">
      <w:pPr>
        <w:snapToGrid w:val="0"/>
        <w:ind w:firstLine="2227" w:firstLineChars="696"/>
        <w:rPr>
          <w:rStyle w:val="21"/>
          <w:rFonts w:hint="eastAsia" w:ascii="宋体" w:hAnsi="宋体" w:cs="宋体"/>
          <w:color w:val="000000" w:themeColor="text1"/>
          <w:sz w:val="32"/>
          <w:szCs w:val="32"/>
          <w14:textFill>
            <w14:solidFill>
              <w14:schemeClr w14:val="tx1"/>
            </w14:solidFill>
          </w14:textFill>
        </w:rPr>
      </w:pPr>
      <w:r>
        <w:rPr>
          <w:rStyle w:val="21"/>
          <w:rFonts w:hint="eastAsia" w:ascii="宋体" w:hAnsi="宋体" w:cs="宋体"/>
          <w:color w:val="000000" w:themeColor="text1"/>
          <w:sz w:val="32"/>
          <w:szCs w:val="32"/>
          <w14:textFill>
            <w14:solidFill>
              <w14:schemeClr w14:val="tx1"/>
            </w14:solidFill>
          </w14:textFill>
        </w:rPr>
        <w:t>供应商：（盖单位公章）</w:t>
      </w:r>
    </w:p>
    <w:p w14:paraId="5E218EAE">
      <w:pPr>
        <w:snapToGrid w:val="0"/>
        <w:ind w:firstLine="2227" w:firstLineChars="696"/>
        <w:rPr>
          <w:rStyle w:val="21"/>
          <w:rFonts w:hint="eastAsia" w:ascii="宋体" w:hAnsi="宋体" w:cs="宋体"/>
          <w:color w:val="000000" w:themeColor="text1"/>
          <w:sz w:val="32"/>
          <w:szCs w:val="32"/>
          <w14:textFill>
            <w14:solidFill>
              <w14:schemeClr w14:val="tx1"/>
            </w14:solidFill>
          </w14:textFill>
        </w:rPr>
      </w:pPr>
      <w:r>
        <w:rPr>
          <w:rStyle w:val="21"/>
          <w:rFonts w:hint="eastAsia" w:ascii="宋体" w:hAnsi="宋体" w:cs="宋体"/>
          <w:color w:val="000000" w:themeColor="text1"/>
          <w:sz w:val="32"/>
          <w:szCs w:val="32"/>
          <w14:textFill>
            <w14:solidFill>
              <w14:schemeClr w14:val="tx1"/>
            </w14:solidFill>
          </w14:textFill>
        </w:rPr>
        <w:t>法定代表人或授权委托人：  （签字或盖章）</w:t>
      </w:r>
    </w:p>
    <w:p w14:paraId="4D9B30AC">
      <w:pPr>
        <w:snapToGrid w:val="0"/>
        <w:ind w:firstLine="1800" w:firstLineChars="500"/>
        <w:rPr>
          <w:rStyle w:val="21"/>
          <w:rFonts w:ascii="宋体" w:hAnsi="宋体" w:cs="宋体"/>
          <w:color w:val="000000" w:themeColor="text1"/>
          <w:sz w:val="36"/>
          <w:szCs w:val="36"/>
          <w14:textFill>
            <w14:solidFill>
              <w14:schemeClr w14:val="tx1"/>
            </w14:solidFill>
          </w14:textFill>
        </w:rPr>
      </w:pPr>
    </w:p>
    <w:p w14:paraId="0D2628E8">
      <w:pPr>
        <w:snapToGrid w:val="0"/>
        <w:ind w:firstLine="2227" w:firstLineChars="696"/>
        <w:rPr>
          <w:rStyle w:val="21"/>
          <w:rFonts w:ascii="宋体" w:hAnsi="宋体" w:cs="宋体"/>
          <w:color w:val="000000" w:themeColor="text1"/>
          <w:sz w:val="32"/>
          <w:szCs w:val="32"/>
          <w14:textFill>
            <w14:solidFill>
              <w14:schemeClr w14:val="tx1"/>
            </w14:solidFill>
          </w14:textFill>
        </w:rPr>
      </w:pPr>
      <w:r>
        <w:rPr>
          <w:rStyle w:val="21"/>
          <w:rFonts w:hint="eastAsia" w:ascii="宋体" w:hAnsi="宋体" w:cs="宋体"/>
          <w:color w:val="000000" w:themeColor="text1"/>
          <w:sz w:val="32"/>
          <w:szCs w:val="32"/>
          <w14:textFill>
            <w14:solidFill>
              <w14:schemeClr w14:val="tx1"/>
            </w14:solidFill>
          </w14:textFill>
        </w:rPr>
        <w:t>日  期：    年   月   日</w:t>
      </w:r>
    </w:p>
    <w:p w14:paraId="4B0864AB">
      <w:pPr>
        <w:rPr>
          <w:rStyle w:val="21"/>
          <w:rFonts w:ascii="宋体" w:hAnsi="宋体" w:cs="宋体"/>
          <w:b/>
          <w:color w:val="000000" w:themeColor="text1"/>
          <w:sz w:val="32"/>
          <w:szCs w:val="32"/>
          <w14:textFill>
            <w14:solidFill>
              <w14:schemeClr w14:val="tx1"/>
            </w14:solidFill>
          </w14:textFill>
        </w:rPr>
      </w:pPr>
      <w:r>
        <w:rPr>
          <w:rStyle w:val="21"/>
          <w:rFonts w:hint="eastAsia" w:ascii="宋体" w:hAnsi="宋体" w:cs="宋体"/>
          <w:b/>
          <w:color w:val="000000" w:themeColor="text1"/>
          <w:sz w:val="32"/>
          <w:szCs w:val="32"/>
          <w14:textFill>
            <w14:solidFill>
              <w14:schemeClr w14:val="tx1"/>
            </w14:solidFill>
          </w14:textFill>
        </w:rPr>
        <w:br w:type="page"/>
      </w:r>
    </w:p>
    <w:p w14:paraId="5E773D9C">
      <w:pPr>
        <w:keepNext w:val="0"/>
        <w:keepLines w:val="0"/>
        <w:kinsoku/>
        <w:overflowPunct/>
        <w:topLinePunct w:val="0"/>
        <w:bidi w:val="0"/>
        <w:snapToGrid w:val="0"/>
        <w:spacing w:beforeAutospacing="0" w:afterAutospacing="0" w:line="4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（1）</w:t>
      </w:r>
      <w:r>
        <w:rPr>
          <w:rFonts w:hint="eastAsia" w:ascii="宋体" w:hAnsi="宋体" w:eastAsia="宋体" w:cs="宋体"/>
          <w:b w:val="0"/>
          <w:bCs/>
          <w:color w:val="auto"/>
          <w:sz w:val="24"/>
          <w:highlight w:val="none"/>
          <w:lang w:val="en-US" w:eastAsia="zh-CN"/>
        </w:rPr>
        <w:t>谈判承诺</w:t>
      </w:r>
      <w:r>
        <w:rPr>
          <w:rFonts w:hint="eastAsia" w:ascii="宋体" w:hAnsi="宋体" w:eastAsia="宋体" w:cs="宋体"/>
          <w:b w:val="0"/>
          <w:bCs/>
          <w:color w:val="auto"/>
          <w:sz w:val="24"/>
          <w:highlight w:val="none"/>
        </w:rPr>
        <w:t>函；</w:t>
      </w:r>
    </w:p>
    <w:p w14:paraId="5791A53F">
      <w:pPr>
        <w:keepNext w:val="0"/>
        <w:keepLines w:val="0"/>
        <w:kinsoku/>
        <w:overflowPunct/>
        <w:topLinePunct w:val="0"/>
        <w:bidi w:val="0"/>
        <w:snapToGrid w:val="0"/>
        <w:spacing w:beforeAutospacing="0" w:afterAutospacing="0" w:line="4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（2）法定代表人身份证明书</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授权委托书；</w:t>
      </w:r>
    </w:p>
    <w:p w14:paraId="1BF38319">
      <w:pPr>
        <w:keepNext w:val="0"/>
        <w:keepLines w:val="0"/>
        <w:kinsoku/>
        <w:overflowPunct/>
        <w:topLinePunct w:val="0"/>
        <w:bidi w:val="0"/>
        <w:snapToGrid w:val="0"/>
        <w:spacing w:beforeAutospacing="0" w:afterAutospacing="0" w:line="4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（3）法人或者其他组织的营业执照等证明文件原件</w:t>
      </w:r>
      <w:r>
        <w:rPr>
          <w:rFonts w:hint="eastAsia" w:ascii="宋体" w:hAnsi="宋体" w:eastAsia="宋体" w:cs="宋体"/>
          <w:b w:val="0"/>
          <w:bCs/>
          <w:color w:val="auto"/>
          <w:sz w:val="24"/>
          <w:highlight w:val="none"/>
          <w:lang w:val="en-US" w:eastAsia="zh-CN"/>
        </w:rPr>
        <w:t>彩色扫描</w:t>
      </w:r>
      <w:r>
        <w:rPr>
          <w:rFonts w:hint="eastAsia" w:ascii="宋体" w:hAnsi="宋体" w:eastAsia="宋体" w:cs="宋体"/>
          <w:b w:val="0"/>
          <w:bCs/>
          <w:color w:val="auto"/>
          <w:sz w:val="24"/>
          <w:highlight w:val="none"/>
        </w:rPr>
        <w:t>件；</w:t>
      </w:r>
    </w:p>
    <w:p w14:paraId="7FA0D506">
      <w:pPr>
        <w:keepNext w:val="0"/>
        <w:keepLines w:val="0"/>
        <w:kinsoku/>
        <w:overflowPunct/>
        <w:topLinePunct w:val="0"/>
        <w:bidi w:val="0"/>
        <w:snapToGrid w:val="0"/>
        <w:spacing w:beforeAutospacing="0" w:afterAutospacing="0" w:line="4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）上一年度的财务报表</w:t>
      </w:r>
      <w:r>
        <w:rPr>
          <w:rFonts w:hint="eastAsia" w:ascii="宋体" w:hAnsi="宋体" w:eastAsia="宋体" w:cs="宋体"/>
          <w:b w:val="0"/>
          <w:bCs/>
          <w:color w:val="auto"/>
          <w:sz w:val="24"/>
          <w:highlight w:val="none"/>
          <w:lang w:val="en-US" w:eastAsia="zh-CN"/>
        </w:rPr>
        <w:t>（财务报表至少应包括资产负债表、利润表、现金流量表；距离投标截止之日止，</w:t>
      </w:r>
      <w:r>
        <w:rPr>
          <w:rFonts w:hint="eastAsia" w:ascii="宋体" w:hAnsi="宋体" w:eastAsia="宋体" w:cs="宋体"/>
          <w:b w:val="0"/>
          <w:bCs/>
          <w:color w:val="auto"/>
          <w:sz w:val="24"/>
          <w:highlight w:val="none"/>
        </w:rPr>
        <w:t>成立不满一年不需提供）；</w:t>
      </w:r>
    </w:p>
    <w:p w14:paraId="0849E6E2">
      <w:pPr>
        <w:keepNext w:val="0"/>
        <w:keepLines w:val="0"/>
        <w:kinsoku/>
        <w:overflowPunct/>
        <w:topLinePunct w:val="0"/>
        <w:bidi w:val="0"/>
        <w:snapToGrid w:val="0"/>
        <w:spacing w:beforeAutospacing="0" w:afterAutospacing="0" w:line="4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5</w:t>
      </w:r>
      <w:r>
        <w:rPr>
          <w:rFonts w:hint="eastAsia" w:ascii="宋体" w:hAnsi="宋体" w:eastAsia="宋体" w:cs="宋体"/>
          <w:b w:val="0"/>
          <w:bCs/>
          <w:color w:val="auto"/>
          <w:sz w:val="24"/>
          <w:highlight w:val="none"/>
        </w:rPr>
        <w:t>）依法缴纳税收和社会保障资金的相关材料</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提供提交响应文件截止时间前一年内至少一个月依法缴纳税收及缴纳社会保障资金的证明材料。供应商依法享受缓缴、免缴税收、社会保障资金的提供证明材料</w:t>
      </w:r>
      <w:r>
        <w:rPr>
          <w:rFonts w:hint="eastAsia" w:ascii="宋体" w:hAnsi="宋体" w:cs="宋体"/>
          <w:b w:val="0"/>
          <w:bCs/>
          <w:color w:val="auto"/>
          <w:sz w:val="24"/>
          <w:highlight w:val="none"/>
          <w:lang w:eastAsia="zh-CN"/>
        </w:rPr>
        <w:t>）</w:t>
      </w:r>
      <w:r>
        <w:rPr>
          <w:rFonts w:hint="eastAsia" w:ascii="宋体" w:hAnsi="宋体" w:eastAsia="宋体" w:cs="宋体"/>
          <w:b w:val="0"/>
          <w:bCs/>
          <w:color w:val="auto"/>
          <w:sz w:val="24"/>
          <w:highlight w:val="none"/>
        </w:rPr>
        <w:t>；</w:t>
      </w:r>
    </w:p>
    <w:p w14:paraId="4F873A03">
      <w:pPr>
        <w:keepNext w:val="0"/>
        <w:keepLines w:val="0"/>
        <w:kinsoku/>
        <w:overflowPunct/>
        <w:topLinePunct w:val="0"/>
        <w:bidi w:val="0"/>
        <w:snapToGrid w:val="0"/>
        <w:spacing w:beforeAutospacing="0" w:afterAutospacing="0" w:line="4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）具备履行合同所必需的设备和专业技术能力的书面声明；参加本次采购活动前3年内在经营活动中没有重大违法记录的书面声明；</w:t>
      </w:r>
    </w:p>
    <w:p w14:paraId="59E5CE59">
      <w:pPr>
        <w:keepNext w:val="0"/>
        <w:keepLines w:val="0"/>
        <w:kinsoku/>
        <w:overflowPunct/>
        <w:topLinePunct w:val="0"/>
        <w:bidi w:val="0"/>
        <w:snapToGrid w:val="0"/>
        <w:spacing w:beforeAutospacing="0" w:afterAutospacing="0" w:line="420" w:lineRule="exact"/>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7</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承诺函；</w:t>
      </w:r>
    </w:p>
    <w:p w14:paraId="606FE4DB">
      <w:pPr>
        <w:keepNext w:val="0"/>
        <w:keepLines w:val="0"/>
        <w:kinsoku/>
        <w:overflowPunct/>
        <w:topLinePunct w:val="0"/>
        <w:bidi w:val="0"/>
        <w:snapToGrid w:val="0"/>
        <w:spacing w:beforeAutospacing="0" w:afterAutospacing="0" w:line="420" w:lineRule="exact"/>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8）事前信用承诺书；</w:t>
      </w:r>
    </w:p>
    <w:p w14:paraId="6A4F6061">
      <w:pPr>
        <w:keepNext w:val="0"/>
        <w:keepLines w:val="0"/>
        <w:kinsoku/>
        <w:overflowPunct/>
        <w:topLinePunct w:val="0"/>
        <w:bidi w:val="0"/>
        <w:snapToGrid w:val="0"/>
        <w:spacing w:beforeAutospacing="0" w:afterAutospacing="0" w:line="420" w:lineRule="exact"/>
        <w:ind w:firstLine="480"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9）</w:t>
      </w:r>
      <w:r>
        <w:rPr>
          <w:rFonts w:hint="eastAsia" w:ascii="宋体" w:hAnsi="宋体" w:eastAsia="宋体" w:cs="宋体"/>
          <w:b w:val="0"/>
          <w:bCs/>
          <w:color w:val="auto"/>
          <w:sz w:val="24"/>
          <w:highlight w:val="none"/>
        </w:rPr>
        <w:t>本招标文件中要求</w:t>
      </w:r>
      <w:r>
        <w:rPr>
          <w:rFonts w:hint="eastAsia" w:ascii="宋体" w:hAnsi="宋体" w:eastAsia="宋体" w:cs="宋体"/>
          <w:b w:val="0"/>
          <w:bCs/>
          <w:color w:val="auto"/>
          <w:sz w:val="24"/>
          <w:highlight w:val="none"/>
          <w:lang w:eastAsia="zh-CN"/>
        </w:rPr>
        <w:t>供应商</w:t>
      </w:r>
      <w:r>
        <w:rPr>
          <w:rFonts w:hint="eastAsia" w:ascii="宋体" w:hAnsi="宋体" w:eastAsia="宋体" w:cs="宋体"/>
          <w:b w:val="0"/>
          <w:bCs/>
          <w:color w:val="auto"/>
          <w:sz w:val="24"/>
          <w:highlight w:val="none"/>
        </w:rPr>
        <w:t>提供的其他资料。</w:t>
      </w:r>
    </w:p>
    <w:p w14:paraId="38EB0548">
      <w:pPr>
        <w:keepNext w:val="0"/>
        <w:keepLines w:val="0"/>
        <w:kinsoku/>
        <w:overflowPunct/>
        <w:topLinePunct w:val="0"/>
        <w:bidi w:val="0"/>
        <w:snapToGrid w:val="0"/>
        <w:spacing w:beforeAutospacing="0" w:afterAutospacing="0" w:line="42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10）投标保证金材料。</w:t>
      </w:r>
    </w:p>
    <w:p w14:paraId="2DA5C1D4">
      <w:pPr>
        <w:snapToGrid w:val="0"/>
        <w:jc w:val="center"/>
        <w:rPr>
          <w:rStyle w:val="21"/>
          <w:rFonts w:hint="eastAsia" w:ascii="宋体" w:hAnsi="宋体" w:cs="宋体"/>
          <w:b/>
          <w:color w:val="000000" w:themeColor="text1"/>
          <w:sz w:val="40"/>
          <w:szCs w:val="40"/>
          <w14:textFill>
            <w14:solidFill>
              <w14:schemeClr w14:val="tx1"/>
            </w14:solidFill>
          </w14:textFill>
        </w:rPr>
      </w:pPr>
    </w:p>
    <w:p w14:paraId="15568E28">
      <w:pPr>
        <w:snapToGrid w:val="0"/>
        <w:jc w:val="center"/>
        <w:rPr>
          <w:rStyle w:val="21"/>
          <w:rFonts w:hint="eastAsia" w:ascii="宋体" w:hAnsi="宋体" w:cs="宋体"/>
          <w:b/>
          <w:color w:val="000000" w:themeColor="text1"/>
          <w:sz w:val="40"/>
          <w:szCs w:val="40"/>
          <w14:textFill>
            <w14:solidFill>
              <w14:schemeClr w14:val="tx1"/>
            </w14:solidFill>
          </w14:textFill>
        </w:rPr>
      </w:pPr>
    </w:p>
    <w:p w14:paraId="442439E0">
      <w:pPr>
        <w:snapToGrid w:val="0"/>
        <w:jc w:val="center"/>
        <w:rPr>
          <w:rStyle w:val="21"/>
          <w:rFonts w:hint="eastAsia" w:ascii="宋体" w:hAnsi="宋体" w:cs="宋体"/>
          <w:b/>
          <w:color w:val="000000" w:themeColor="text1"/>
          <w:sz w:val="40"/>
          <w:szCs w:val="40"/>
          <w14:textFill>
            <w14:solidFill>
              <w14:schemeClr w14:val="tx1"/>
            </w14:solidFill>
          </w14:textFill>
        </w:rPr>
      </w:pPr>
    </w:p>
    <w:p w14:paraId="4991201F">
      <w:pPr>
        <w:snapToGrid w:val="0"/>
        <w:jc w:val="center"/>
        <w:rPr>
          <w:rStyle w:val="21"/>
          <w:rFonts w:hint="eastAsia" w:ascii="宋体" w:hAnsi="宋体" w:cs="宋体"/>
          <w:b/>
          <w:color w:val="000000" w:themeColor="text1"/>
          <w:sz w:val="40"/>
          <w:szCs w:val="40"/>
          <w14:textFill>
            <w14:solidFill>
              <w14:schemeClr w14:val="tx1"/>
            </w14:solidFill>
          </w14:textFill>
        </w:rPr>
      </w:pPr>
    </w:p>
    <w:p w14:paraId="0A785633">
      <w:pPr>
        <w:snapToGrid w:val="0"/>
        <w:jc w:val="center"/>
        <w:rPr>
          <w:rStyle w:val="21"/>
          <w:rFonts w:hint="eastAsia" w:ascii="宋体" w:hAnsi="宋体" w:cs="宋体"/>
          <w:b/>
          <w:color w:val="000000" w:themeColor="text1"/>
          <w:sz w:val="40"/>
          <w:szCs w:val="40"/>
          <w14:textFill>
            <w14:solidFill>
              <w14:schemeClr w14:val="tx1"/>
            </w14:solidFill>
          </w14:textFill>
        </w:rPr>
      </w:pPr>
    </w:p>
    <w:p w14:paraId="708F0088">
      <w:pPr>
        <w:snapToGrid w:val="0"/>
        <w:jc w:val="center"/>
        <w:rPr>
          <w:rStyle w:val="21"/>
          <w:rFonts w:hint="eastAsia" w:ascii="宋体" w:hAnsi="宋体" w:cs="宋体"/>
          <w:b/>
          <w:color w:val="000000" w:themeColor="text1"/>
          <w:sz w:val="40"/>
          <w:szCs w:val="40"/>
          <w14:textFill>
            <w14:solidFill>
              <w14:schemeClr w14:val="tx1"/>
            </w14:solidFill>
          </w14:textFill>
        </w:rPr>
      </w:pPr>
    </w:p>
    <w:p w14:paraId="59A6078E">
      <w:pPr>
        <w:snapToGrid w:val="0"/>
        <w:jc w:val="center"/>
        <w:rPr>
          <w:rStyle w:val="21"/>
          <w:rFonts w:hint="eastAsia" w:ascii="宋体" w:hAnsi="宋体" w:cs="宋体"/>
          <w:b/>
          <w:color w:val="000000" w:themeColor="text1"/>
          <w:sz w:val="40"/>
          <w:szCs w:val="40"/>
          <w14:textFill>
            <w14:solidFill>
              <w14:schemeClr w14:val="tx1"/>
            </w14:solidFill>
          </w14:textFill>
        </w:rPr>
      </w:pPr>
    </w:p>
    <w:p w14:paraId="559253EA">
      <w:pPr>
        <w:snapToGrid w:val="0"/>
        <w:jc w:val="center"/>
        <w:rPr>
          <w:rStyle w:val="21"/>
          <w:rFonts w:hint="eastAsia" w:ascii="宋体" w:hAnsi="宋体" w:cs="宋体"/>
          <w:b/>
          <w:color w:val="000000" w:themeColor="text1"/>
          <w:sz w:val="40"/>
          <w:szCs w:val="40"/>
          <w14:textFill>
            <w14:solidFill>
              <w14:schemeClr w14:val="tx1"/>
            </w14:solidFill>
          </w14:textFill>
        </w:rPr>
      </w:pPr>
    </w:p>
    <w:p w14:paraId="001C2E4E">
      <w:pPr>
        <w:snapToGrid w:val="0"/>
        <w:jc w:val="center"/>
        <w:rPr>
          <w:rStyle w:val="21"/>
          <w:rFonts w:hint="eastAsia" w:ascii="宋体" w:hAnsi="宋体" w:cs="宋体"/>
          <w:b/>
          <w:color w:val="000000" w:themeColor="text1"/>
          <w:sz w:val="40"/>
          <w:szCs w:val="40"/>
          <w14:textFill>
            <w14:solidFill>
              <w14:schemeClr w14:val="tx1"/>
            </w14:solidFill>
          </w14:textFill>
        </w:rPr>
      </w:pPr>
    </w:p>
    <w:p w14:paraId="233F0DAC">
      <w:pPr>
        <w:snapToGrid w:val="0"/>
        <w:jc w:val="center"/>
        <w:rPr>
          <w:rStyle w:val="21"/>
          <w:rFonts w:hint="eastAsia" w:ascii="宋体" w:hAnsi="宋体" w:cs="宋体"/>
          <w:b/>
          <w:color w:val="000000" w:themeColor="text1"/>
          <w:sz w:val="40"/>
          <w:szCs w:val="40"/>
          <w14:textFill>
            <w14:solidFill>
              <w14:schemeClr w14:val="tx1"/>
            </w14:solidFill>
          </w14:textFill>
        </w:rPr>
      </w:pPr>
    </w:p>
    <w:p w14:paraId="34095E1A">
      <w:pPr>
        <w:snapToGrid w:val="0"/>
        <w:jc w:val="center"/>
        <w:rPr>
          <w:rStyle w:val="21"/>
          <w:rFonts w:hint="eastAsia" w:ascii="宋体" w:hAnsi="宋体" w:cs="宋体"/>
          <w:b/>
          <w:color w:val="000000" w:themeColor="text1"/>
          <w:sz w:val="40"/>
          <w:szCs w:val="40"/>
          <w14:textFill>
            <w14:solidFill>
              <w14:schemeClr w14:val="tx1"/>
            </w14:solidFill>
          </w14:textFill>
        </w:rPr>
      </w:pPr>
    </w:p>
    <w:p w14:paraId="53E76FD0">
      <w:pPr>
        <w:snapToGrid w:val="0"/>
        <w:jc w:val="center"/>
        <w:rPr>
          <w:rStyle w:val="21"/>
          <w:rFonts w:hint="eastAsia" w:ascii="宋体" w:hAnsi="宋体" w:cs="宋体"/>
          <w:b/>
          <w:color w:val="000000" w:themeColor="text1"/>
          <w:sz w:val="40"/>
          <w:szCs w:val="40"/>
          <w14:textFill>
            <w14:solidFill>
              <w14:schemeClr w14:val="tx1"/>
            </w14:solidFill>
          </w14:textFill>
        </w:rPr>
      </w:pPr>
    </w:p>
    <w:p w14:paraId="6806A3C7">
      <w:pPr>
        <w:snapToGrid w:val="0"/>
        <w:jc w:val="center"/>
        <w:rPr>
          <w:rStyle w:val="21"/>
          <w:rFonts w:hint="eastAsia" w:ascii="宋体" w:hAnsi="宋体" w:cs="宋体"/>
          <w:b/>
          <w:color w:val="000000" w:themeColor="text1"/>
          <w:sz w:val="40"/>
          <w:szCs w:val="40"/>
          <w14:textFill>
            <w14:solidFill>
              <w14:schemeClr w14:val="tx1"/>
            </w14:solidFill>
          </w14:textFill>
        </w:rPr>
      </w:pPr>
    </w:p>
    <w:p w14:paraId="4AB07338">
      <w:pPr>
        <w:snapToGrid w:val="0"/>
        <w:jc w:val="center"/>
        <w:rPr>
          <w:rStyle w:val="21"/>
          <w:rFonts w:hint="eastAsia" w:ascii="宋体" w:hAnsi="宋体" w:cs="宋体"/>
          <w:b/>
          <w:color w:val="000000" w:themeColor="text1"/>
          <w:sz w:val="40"/>
          <w:szCs w:val="40"/>
          <w14:textFill>
            <w14:solidFill>
              <w14:schemeClr w14:val="tx1"/>
            </w14:solidFill>
          </w14:textFill>
        </w:rPr>
      </w:pPr>
    </w:p>
    <w:p w14:paraId="5B444B20">
      <w:pPr>
        <w:snapToGrid w:val="0"/>
        <w:jc w:val="center"/>
        <w:rPr>
          <w:rStyle w:val="21"/>
          <w:rFonts w:hint="eastAsia" w:ascii="宋体" w:hAnsi="宋体" w:cs="宋体"/>
          <w:b/>
          <w:color w:val="000000" w:themeColor="text1"/>
          <w:sz w:val="40"/>
          <w:szCs w:val="40"/>
          <w14:textFill>
            <w14:solidFill>
              <w14:schemeClr w14:val="tx1"/>
            </w14:solidFill>
          </w14:textFill>
        </w:rPr>
      </w:pPr>
    </w:p>
    <w:p w14:paraId="02165688">
      <w:pPr>
        <w:snapToGrid w:val="0"/>
        <w:jc w:val="center"/>
        <w:rPr>
          <w:rStyle w:val="21"/>
          <w:rFonts w:hint="eastAsia" w:ascii="宋体" w:hAnsi="宋体" w:cs="宋体"/>
          <w:b/>
          <w:color w:val="000000" w:themeColor="text1"/>
          <w:sz w:val="40"/>
          <w:szCs w:val="40"/>
          <w14:textFill>
            <w14:solidFill>
              <w14:schemeClr w14:val="tx1"/>
            </w14:solidFill>
          </w14:textFill>
        </w:rPr>
      </w:pPr>
    </w:p>
    <w:p w14:paraId="751FBC50">
      <w:pPr>
        <w:snapToGrid w:val="0"/>
        <w:jc w:val="center"/>
        <w:rPr>
          <w:rStyle w:val="21"/>
          <w:rFonts w:hint="eastAsia" w:ascii="宋体" w:hAnsi="宋体" w:cs="宋体"/>
          <w:b/>
          <w:color w:val="000000" w:themeColor="text1"/>
          <w:sz w:val="40"/>
          <w:szCs w:val="40"/>
          <w14:textFill>
            <w14:solidFill>
              <w14:schemeClr w14:val="tx1"/>
            </w14:solidFill>
          </w14:textFill>
        </w:rPr>
      </w:pPr>
    </w:p>
    <w:p w14:paraId="35C14A64">
      <w:pPr>
        <w:snapToGrid w:val="0"/>
        <w:jc w:val="center"/>
        <w:rPr>
          <w:rStyle w:val="21"/>
          <w:rFonts w:ascii="宋体" w:hAnsi="宋体" w:cs="宋体"/>
          <w:b/>
          <w:color w:val="000000" w:themeColor="text1"/>
          <w:sz w:val="32"/>
          <w:szCs w:val="32"/>
          <w14:textFill>
            <w14:solidFill>
              <w14:schemeClr w14:val="tx1"/>
            </w14:solidFill>
          </w14:textFill>
        </w:rPr>
      </w:pPr>
      <w:r>
        <w:rPr>
          <w:rStyle w:val="21"/>
          <w:rFonts w:hint="eastAsia" w:ascii="宋体" w:hAnsi="宋体" w:cs="宋体"/>
          <w:b/>
          <w:color w:val="000000" w:themeColor="text1"/>
          <w:sz w:val="40"/>
          <w:szCs w:val="40"/>
          <w14:textFill>
            <w14:solidFill>
              <w14:schemeClr w14:val="tx1"/>
            </w14:solidFill>
          </w14:textFill>
        </w:rPr>
        <w:t>一、谈判承诺函</w:t>
      </w:r>
    </w:p>
    <w:p w14:paraId="4B79B8B1">
      <w:pPr>
        <w:snapToGrid w:val="0"/>
        <w:jc w:val="center"/>
        <w:rPr>
          <w:rStyle w:val="21"/>
          <w:rFonts w:ascii="宋体" w:hAnsi="宋体" w:cs="宋体"/>
          <w:b/>
          <w:color w:val="000000" w:themeColor="text1"/>
          <w:sz w:val="32"/>
          <w:szCs w:val="32"/>
          <w14:textFill>
            <w14:solidFill>
              <w14:schemeClr w14:val="tx1"/>
            </w14:solidFill>
          </w14:textFill>
        </w:rPr>
      </w:pPr>
    </w:p>
    <w:p w14:paraId="2925F2A9">
      <w:pPr>
        <w:snapToGrid w:val="0"/>
        <w:spacing w:line="300" w:lineRule="auto"/>
        <w:rPr>
          <w:rStyle w:val="21"/>
          <w:rFonts w:ascii="宋体" w:hAnsi="宋体" w:cs="宋体"/>
          <w:b/>
          <w:color w:val="000000" w:themeColor="text1"/>
          <w:sz w:val="28"/>
          <w:szCs w:val="28"/>
          <w14:textFill>
            <w14:solidFill>
              <w14:schemeClr w14:val="tx1"/>
            </w14:solidFill>
          </w14:textFill>
        </w:rPr>
      </w:pPr>
      <w:r>
        <w:rPr>
          <w:rStyle w:val="21"/>
          <w:rFonts w:hint="eastAsia" w:ascii="宋体" w:hAnsi="宋体" w:cs="宋体"/>
          <w:b/>
          <w:color w:val="000000" w:themeColor="text1"/>
          <w:sz w:val="28"/>
          <w:szCs w:val="28"/>
          <w14:textFill>
            <w14:solidFill>
              <w14:schemeClr w14:val="tx1"/>
            </w14:solidFill>
          </w14:textFill>
        </w:rPr>
        <w:t xml:space="preserve">致 </w:t>
      </w:r>
      <w:r>
        <w:rPr>
          <w:rStyle w:val="21"/>
          <w:rFonts w:hint="eastAsia" w:ascii="宋体" w:hAnsi="宋体" w:cs="宋体"/>
          <w:b/>
          <w:color w:val="000000" w:themeColor="text1"/>
          <w:sz w:val="28"/>
          <w:szCs w:val="28"/>
          <w:lang w:eastAsia="zh-CN"/>
          <w14:textFill>
            <w14:solidFill>
              <w14:schemeClr w14:val="tx1"/>
            </w14:solidFill>
          </w14:textFill>
        </w:rPr>
        <w:t>响水县兴港物业管理有限公司</w:t>
      </w:r>
      <w:r>
        <w:rPr>
          <w:rStyle w:val="21"/>
          <w:rFonts w:hint="eastAsia" w:ascii="宋体" w:hAnsi="宋体" w:cs="宋体"/>
          <w:b/>
          <w:color w:val="000000" w:themeColor="text1"/>
          <w:sz w:val="28"/>
          <w:szCs w:val="28"/>
          <w14:textFill>
            <w14:solidFill>
              <w14:schemeClr w14:val="tx1"/>
            </w14:solidFill>
          </w14:textFill>
        </w:rPr>
        <w:t>：</w:t>
      </w:r>
    </w:p>
    <w:p w14:paraId="6AC24CBE">
      <w:pPr>
        <w:snapToGrid w:val="0"/>
        <w:spacing w:line="600" w:lineRule="atLeas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根据</w:t>
      </w:r>
      <w:r>
        <w:rPr>
          <w:rStyle w:val="21"/>
          <w:rFonts w:hint="eastAsia" w:ascii="宋体" w:hAnsi="宋体" w:cs="宋体"/>
          <w:color w:val="000000" w:themeColor="text1"/>
          <w:sz w:val="24"/>
          <w:lang w:eastAsia="zh-CN"/>
          <w14:textFill>
            <w14:solidFill>
              <w14:schemeClr w14:val="tx1"/>
            </w14:solidFill>
          </w14:textFill>
        </w:rPr>
        <w:t>响水工业经济区绿化养护服务项目</w:t>
      </w:r>
      <w:r>
        <w:rPr>
          <w:rStyle w:val="21"/>
          <w:rFonts w:hint="eastAsia" w:ascii="宋体" w:hAnsi="宋体" w:cs="宋体"/>
          <w:color w:val="000000" w:themeColor="text1"/>
          <w:kern w:val="0"/>
          <w:sz w:val="24"/>
          <w14:textFill>
            <w14:solidFill>
              <w14:schemeClr w14:val="tx1"/>
            </w14:solidFill>
          </w14:textFill>
        </w:rPr>
        <w:t>竞争性谈判文件，我方决定参加谈判，并</w:t>
      </w:r>
      <w:r>
        <w:rPr>
          <w:rStyle w:val="21"/>
          <w:rFonts w:hint="eastAsia" w:ascii="宋体" w:hAnsi="宋体" w:cs="宋体"/>
          <w:color w:val="000000" w:themeColor="text1"/>
          <w:sz w:val="24"/>
          <w14:textFill>
            <w14:solidFill>
              <w14:schemeClr w14:val="tx1"/>
            </w14:solidFill>
          </w14:textFill>
        </w:rPr>
        <w:t xml:space="preserve">作出如下承诺： </w:t>
      </w:r>
    </w:p>
    <w:p w14:paraId="3E6F95CD">
      <w:pPr>
        <w:snapToGrid w:val="0"/>
        <w:spacing w:before="60" w:after="60" w:line="360" w:lineRule="auto"/>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1、</w:t>
      </w:r>
      <w:r>
        <w:rPr>
          <w:rStyle w:val="21"/>
          <w:rFonts w:hint="eastAsia" w:ascii="宋体" w:hAnsi="宋体" w:cs="宋体"/>
          <w:b/>
          <w:bCs/>
          <w:color w:val="000000" w:themeColor="text1"/>
          <w:sz w:val="24"/>
          <w14:textFill>
            <w14:solidFill>
              <w14:schemeClr w14:val="tx1"/>
            </w14:solidFill>
          </w14:textFill>
        </w:rPr>
        <w:t>第一轮谈判报价</w:t>
      </w:r>
      <w:r>
        <w:rPr>
          <w:rStyle w:val="21"/>
          <w:rFonts w:hint="eastAsia" w:ascii="宋体" w:hAnsi="宋体" w:cs="宋体"/>
          <w:color w:val="000000" w:themeColor="text1"/>
          <w:sz w:val="24"/>
          <w14:textFill>
            <w14:solidFill>
              <w14:schemeClr w14:val="tx1"/>
            </w14:solidFill>
          </w14:textFill>
        </w:rPr>
        <w:t>：人民币(大写：</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r>
        <w:rPr>
          <w:rStyle w:val="21"/>
          <w:rFonts w:hint="eastAsia" w:ascii="宋体" w:hAnsi="宋体" w:cs="宋体"/>
          <w:color w:val="000000" w:themeColor="text1"/>
          <w:sz w:val="24"/>
          <w:lang w:val="en-US" w:eastAsia="zh-CN"/>
          <w14:textFill>
            <w14:solidFill>
              <w14:schemeClr w14:val="tx1"/>
            </w14:solidFill>
          </w14:textFill>
        </w:rPr>
        <w:t xml:space="preserve"> </w:t>
      </w:r>
      <w:r>
        <w:rPr>
          <w:rStyle w:val="21"/>
          <w:rFonts w:hint="eastAsia" w:ascii="宋体" w:hAnsi="宋体" w:cs="宋体"/>
          <w:color w:val="000000" w:themeColor="text1"/>
          <w:sz w:val="24"/>
          <w14:textFill>
            <w14:solidFill>
              <w14:schemeClr w14:val="tx1"/>
            </w14:solidFill>
          </w14:textFill>
        </w:rPr>
        <w:t>)(￥：</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r>
        <w:rPr>
          <w:rStyle w:val="21"/>
          <w:rFonts w:hint="eastAsia" w:ascii="宋体" w:hAnsi="宋体" w:cs="宋体"/>
          <w:color w:val="000000" w:themeColor="text1"/>
          <w:sz w:val="24"/>
          <w14:textFill>
            <w14:solidFill>
              <w14:schemeClr w14:val="tx1"/>
            </w14:solidFill>
          </w14:textFill>
        </w:rPr>
        <w:t>)。</w:t>
      </w:r>
    </w:p>
    <w:p w14:paraId="521802B7">
      <w:pPr>
        <w:snapToGrid w:val="0"/>
        <w:spacing w:before="60" w:after="60" w:line="360" w:lineRule="auto"/>
        <w:ind w:firstLine="480" w:firstLineChars="200"/>
        <w:rPr>
          <w:rStyle w:val="21"/>
          <w:rFonts w:hint="eastAsia"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2、质量标准：</w:t>
      </w:r>
      <w:r>
        <w:rPr>
          <w:rStyle w:val="21"/>
          <w:rFonts w:hint="eastAsia" w:ascii="宋体" w:hAnsi="宋体" w:cs="宋体"/>
          <w:color w:val="000000" w:themeColor="text1"/>
          <w:sz w:val="24"/>
          <w:lang w:val="en-US" w:eastAsia="zh-CN"/>
          <w14:textFill>
            <w14:solidFill>
              <w14:schemeClr w14:val="tx1"/>
            </w14:solidFill>
          </w14:textFill>
        </w:rPr>
        <w:t>满足甲方的要求</w:t>
      </w:r>
      <w:r>
        <w:rPr>
          <w:rStyle w:val="21"/>
          <w:rFonts w:hint="eastAsia" w:ascii="宋体" w:hAnsi="宋体" w:cs="宋体"/>
          <w:color w:val="000000" w:themeColor="text1"/>
          <w:sz w:val="24"/>
          <w14:textFill>
            <w14:solidFill>
              <w14:schemeClr w14:val="tx1"/>
            </w14:solidFill>
          </w14:textFill>
        </w:rPr>
        <w:t xml:space="preserve">。 </w:t>
      </w:r>
    </w:p>
    <w:p w14:paraId="3B8C7216">
      <w:pPr>
        <w:snapToGrid w:val="0"/>
        <w:spacing w:before="60" w:after="60" w:line="360" w:lineRule="auto"/>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lang w:val="en-US" w:eastAsia="zh-CN"/>
          <w14:textFill>
            <w14:solidFill>
              <w14:schemeClr w14:val="tx1"/>
            </w14:solidFill>
          </w14:textFill>
        </w:rPr>
        <w:t>3、服务期限：一年</w:t>
      </w:r>
      <w:r>
        <w:rPr>
          <w:rStyle w:val="21"/>
          <w:rFonts w:hint="eastAsia" w:ascii="宋体" w:hAnsi="宋体" w:cs="宋体"/>
          <w:color w:val="000000" w:themeColor="text1"/>
          <w:sz w:val="24"/>
          <w14:textFill>
            <w14:solidFill>
              <w14:schemeClr w14:val="tx1"/>
            </w14:solidFill>
          </w14:textFill>
        </w:rPr>
        <w:t xml:space="preserve"> </w:t>
      </w:r>
    </w:p>
    <w:p w14:paraId="56D91EFF">
      <w:pPr>
        <w:snapToGrid w:val="0"/>
        <w:spacing w:before="60" w:after="60" w:line="360" w:lineRule="auto"/>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4、我们同意竞争性谈判响应文件在规定的谈判有效期期满之前均具有约束力。</w:t>
      </w:r>
    </w:p>
    <w:p w14:paraId="71BFEDC7">
      <w:pPr>
        <w:snapToGrid w:val="0"/>
        <w:spacing w:before="60" w:after="60" w:line="360" w:lineRule="auto"/>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5、一旦我方中标，我们将严格遵守竞争性谈判文件、竞争性谈判响应文件以及谈判过程确认的事项实施本项目。</w:t>
      </w:r>
    </w:p>
    <w:p w14:paraId="290183FF">
      <w:pPr>
        <w:snapToGrid w:val="0"/>
        <w:spacing w:before="60" w:after="60" w:line="360" w:lineRule="auto"/>
        <w:ind w:firstLine="560" w:firstLineChars="200"/>
        <w:rPr>
          <w:rStyle w:val="21"/>
          <w:rFonts w:ascii="宋体" w:hAnsi="宋体" w:cs="宋体"/>
          <w:color w:val="000000" w:themeColor="text1"/>
          <w:sz w:val="28"/>
          <w:szCs w:val="28"/>
          <w14:textFill>
            <w14:solidFill>
              <w14:schemeClr w14:val="tx1"/>
            </w14:solidFill>
          </w14:textFill>
        </w:rPr>
      </w:pPr>
    </w:p>
    <w:p w14:paraId="32F0D68E">
      <w:pPr>
        <w:snapToGrid w:val="0"/>
        <w:spacing w:before="60" w:after="60" w:line="360" w:lineRule="auto"/>
        <w:ind w:firstLine="480" w:firstLineChars="200"/>
        <w:rPr>
          <w:rStyle w:val="21"/>
          <w:rFonts w:ascii="宋体" w:hAnsi="宋体" w:cs="宋体"/>
          <w:color w:val="000000" w:themeColor="text1"/>
          <w:sz w:val="24"/>
          <w:u w:val="single"/>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供应商：（盖单位公章）</w:t>
      </w:r>
    </w:p>
    <w:p w14:paraId="0C72C432">
      <w:pPr>
        <w:snapToGrid w:val="0"/>
        <w:spacing w:before="60" w:after="60" w:line="360" w:lineRule="auto"/>
        <w:ind w:right="420" w:firstLine="480" w:firstLineChars="200"/>
        <w:rPr>
          <w:rStyle w:val="21"/>
          <w:rFonts w:ascii="宋体" w:hAnsi="宋体" w:cs="宋体"/>
          <w:color w:val="000000" w:themeColor="text1"/>
          <w:sz w:val="24"/>
          <w:u w:val="single" w:color="000000"/>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单位地址：</w:t>
      </w:r>
    </w:p>
    <w:p w14:paraId="3D8D42EE">
      <w:pPr>
        <w:snapToGrid w:val="0"/>
        <w:spacing w:before="60" w:after="60" w:line="360" w:lineRule="auto"/>
        <w:ind w:right="420" w:firstLine="480" w:firstLineChars="200"/>
        <w:rPr>
          <w:rStyle w:val="21"/>
          <w:rFonts w:ascii="宋体" w:hAnsi="宋体" w:cs="宋体"/>
          <w:color w:val="000000" w:themeColor="text1"/>
          <w:sz w:val="24"/>
          <w:u w:val="single" w:color="000000"/>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法定代表人或</w:t>
      </w:r>
      <w:r>
        <w:rPr>
          <w:rStyle w:val="21"/>
          <w:rFonts w:hint="eastAsia" w:ascii="宋体" w:hAnsi="宋体" w:cs="宋体"/>
          <w:color w:val="000000" w:themeColor="text1"/>
          <w:kern w:val="0"/>
          <w:sz w:val="24"/>
          <w14:textFill>
            <w14:solidFill>
              <w14:schemeClr w14:val="tx1"/>
            </w14:solidFill>
          </w14:textFill>
        </w:rPr>
        <w:t>授权委托人</w:t>
      </w:r>
      <w:r>
        <w:rPr>
          <w:rStyle w:val="21"/>
          <w:rFonts w:hint="eastAsia" w:ascii="宋体" w:hAnsi="宋体" w:cs="宋体"/>
          <w:color w:val="000000" w:themeColor="text1"/>
          <w:sz w:val="24"/>
          <w14:textFill>
            <w14:solidFill>
              <w14:schemeClr w14:val="tx1"/>
            </w14:solidFill>
          </w14:textFill>
        </w:rPr>
        <w:t xml:space="preserve">： </w:t>
      </w:r>
      <w:r>
        <w:rPr>
          <w:rStyle w:val="21"/>
          <w:rFonts w:hint="eastAsia" w:ascii="宋体" w:hAnsi="宋体" w:cs="宋体"/>
          <w:color w:val="000000" w:themeColor="text1"/>
          <w:sz w:val="24"/>
          <w:u w:val="single" w:color="000000"/>
          <w14:textFill>
            <w14:solidFill>
              <w14:schemeClr w14:val="tx1"/>
            </w14:solidFill>
          </w14:textFill>
        </w:rPr>
        <w:t xml:space="preserve"> （签字或盖章）</w:t>
      </w:r>
    </w:p>
    <w:p w14:paraId="3D2CD12E">
      <w:pPr>
        <w:snapToGrid w:val="0"/>
        <w:spacing w:before="60" w:after="60" w:line="360" w:lineRule="auto"/>
        <w:ind w:right="420" w:firstLine="480" w:firstLineChars="200"/>
        <w:rPr>
          <w:rStyle w:val="21"/>
          <w:rFonts w:ascii="宋体" w:hAnsi="宋体" w:cs="宋体"/>
          <w:color w:val="000000" w:themeColor="text1"/>
          <w:sz w:val="24"/>
          <w:u w:val="single"/>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邮政编码： 电话：</w:t>
      </w:r>
    </w:p>
    <w:p w14:paraId="3D1536F9">
      <w:pPr>
        <w:snapToGrid w:val="0"/>
        <w:spacing w:before="60" w:after="60" w:line="360" w:lineRule="auto"/>
        <w:ind w:right="420"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日    期：年月日</w:t>
      </w:r>
    </w:p>
    <w:p w14:paraId="1AA24AAE">
      <w:pPr>
        <w:snapToGrid w:val="0"/>
        <w:spacing w:before="60" w:after="60" w:line="360" w:lineRule="auto"/>
        <w:jc w:val="center"/>
        <w:rPr>
          <w:rStyle w:val="21"/>
          <w:rFonts w:ascii="宋体" w:hAnsi="宋体" w:cs="宋体"/>
          <w:b/>
          <w:bCs/>
          <w:color w:val="000000" w:themeColor="text1"/>
          <w:sz w:val="32"/>
          <w14:textFill>
            <w14:solidFill>
              <w14:schemeClr w14:val="tx1"/>
            </w14:solidFill>
          </w14:textFill>
        </w:rPr>
      </w:pPr>
      <w:r>
        <w:rPr>
          <w:rStyle w:val="21"/>
          <w:rFonts w:hint="eastAsia" w:ascii="宋体" w:hAnsi="宋体" w:cs="宋体"/>
          <w:b/>
          <w:bCs/>
          <w:color w:val="000000" w:themeColor="text1"/>
          <w:sz w:val="32"/>
          <w14:textFill>
            <w14:solidFill>
              <w14:schemeClr w14:val="tx1"/>
            </w14:solidFill>
          </w14:textFill>
        </w:rPr>
        <w:br w:type="page"/>
      </w:r>
    </w:p>
    <w:p w14:paraId="3F2124B2">
      <w:pPr>
        <w:snapToGrid w:val="0"/>
        <w:spacing w:before="60" w:after="60" w:line="360" w:lineRule="auto"/>
        <w:jc w:val="center"/>
        <w:rPr>
          <w:rStyle w:val="21"/>
          <w:rFonts w:ascii="宋体" w:hAnsi="宋体" w:cs="宋体"/>
          <w:b/>
          <w:color w:val="000000" w:themeColor="text1"/>
          <w:sz w:val="32"/>
          <w:szCs w:val="32"/>
          <w:lang w:val="zh-CN"/>
          <w14:textFill>
            <w14:solidFill>
              <w14:schemeClr w14:val="tx1"/>
            </w14:solidFill>
          </w14:textFill>
        </w:rPr>
      </w:pPr>
    </w:p>
    <w:p w14:paraId="2F44C017">
      <w:pPr>
        <w:snapToGrid w:val="0"/>
        <w:jc w:val="center"/>
        <w:rPr>
          <w:rStyle w:val="21"/>
          <w:rFonts w:ascii="宋体" w:hAnsi="宋体" w:cs="宋体"/>
          <w:b/>
          <w:color w:val="000000" w:themeColor="text1"/>
          <w:sz w:val="40"/>
          <w:szCs w:val="40"/>
          <w:lang w:val="zh-CN"/>
          <w14:textFill>
            <w14:solidFill>
              <w14:schemeClr w14:val="tx1"/>
            </w14:solidFill>
          </w14:textFill>
        </w:rPr>
      </w:pPr>
      <w:r>
        <w:rPr>
          <w:rStyle w:val="21"/>
          <w:rFonts w:hint="eastAsia" w:ascii="宋体" w:hAnsi="宋体" w:cs="宋体"/>
          <w:b/>
          <w:color w:val="000000" w:themeColor="text1"/>
          <w:sz w:val="40"/>
          <w:szCs w:val="40"/>
          <w:lang w:val="zh-CN"/>
          <w14:textFill>
            <w14:solidFill>
              <w14:schemeClr w14:val="tx1"/>
            </w14:solidFill>
          </w14:textFill>
        </w:rPr>
        <w:t>二、法定代表人身份证明</w:t>
      </w:r>
    </w:p>
    <w:p w14:paraId="2A483C7B">
      <w:pPr>
        <w:snapToGrid w:val="0"/>
        <w:spacing w:before="60" w:after="60" w:line="360" w:lineRule="auto"/>
        <w:rPr>
          <w:rStyle w:val="21"/>
          <w:rFonts w:ascii="宋体" w:hAnsi="宋体" w:cs="宋体"/>
          <w:b/>
          <w:bCs/>
          <w:color w:val="000000" w:themeColor="text1"/>
          <w:sz w:val="24"/>
          <w14:textFill>
            <w14:solidFill>
              <w14:schemeClr w14:val="tx1"/>
            </w14:solidFill>
          </w14:textFill>
        </w:rPr>
      </w:pPr>
    </w:p>
    <w:p w14:paraId="139B3F06">
      <w:pPr>
        <w:snapToGrid w:val="0"/>
        <w:spacing w:line="300" w:lineRule="auto"/>
        <w:rPr>
          <w:rStyle w:val="21"/>
          <w:rFonts w:ascii="宋体" w:hAnsi="宋体" w:cs="宋体"/>
          <w:b/>
          <w:bCs/>
          <w:color w:val="000000" w:themeColor="text1"/>
          <w:sz w:val="24"/>
          <w:lang w:val="zh-CN"/>
          <w14:textFill>
            <w14:solidFill>
              <w14:schemeClr w14:val="tx1"/>
            </w14:solidFill>
          </w14:textFill>
        </w:rPr>
      </w:pPr>
      <w:r>
        <w:rPr>
          <w:rStyle w:val="21"/>
          <w:rFonts w:hint="eastAsia" w:ascii="宋体" w:hAnsi="宋体" w:cs="宋体"/>
          <w:b/>
          <w:bCs/>
          <w:color w:val="000000" w:themeColor="text1"/>
          <w:sz w:val="24"/>
          <w14:textFill>
            <w14:solidFill>
              <w14:schemeClr w14:val="tx1"/>
            </w14:solidFill>
          </w14:textFill>
        </w:rPr>
        <w:t>致</w:t>
      </w:r>
      <w:r>
        <w:rPr>
          <w:rStyle w:val="21"/>
          <w:rFonts w:hint="eastAsia" w:ascii="宋体" w:hAnsi="宋体" w:cs="宋体"/>
          <w:b/>
          <w:bCs/>
          <w:color w:val="000000" w:themeColor="text1"/>
          <w:sz w:val="24"/>
          <w:lang w:eastAsia="zh-CN"/>
          <w14:textFill>
            <w14:solidFill>
              <w14:schemeClr w14:val="tx1"/>
            </w14:solidFill>
          </w14:textFill>
        </w:rPr>
        <w:t>响水县兴港物业管理有限公司</w:t>
      </w:r>
      <w:r>
        <w:rPr>
          <w:rStyle w:val="21"/>
          <w:rFonts w:hint="eastAsia" w:ascii="宋体" w:hAnsi="宋体" w:cs="宋体"/>
          <w:b/>
          <w:bCs/>
          <w:color w:val="000000" w:themeColor="text1"/>
          <w:sz w:val="24"/>
          <w14:textFill>
            <w14:solidFill>
              <w14:schemeClr w14:val="tx1"/>
            </w14:solidFill>
          </w14:textFill>
        </w:rPr>
        <w:t>：</w:t>
      </w:r>
    </w:p>
    <w:p w14:paraId="11445E8E">
      <w:pPr>
        <w:snapToGrid w:val="0"/>
        <w:spacing w:before="60" w:after="60" w:line="360" w:lineRule="auto"/>
        <w:ind w:firstLine="600" w:firstLineChars="250"/>
        <w:jc w:val="left"/>
        <w:rPr>
          <w:rStyle w:val="21"/>
          <w:rFonts w:ascii="宋体" w:hAnsi="宋体" w:cs="宋体"/>
          <w:color w:val="000000" w:themeColor="text1"/>
          <w:kern w:val="0"/>
          <w:sz w:val="24"/>
          <w:u w:val="single" w:color="000000"/>
          <w14:textFill>
            <w14:solidFill>
              <w14:schemeClr w14:val="tx1"/>
            </w14:solidFill>
          </w14:textFill>
        </w:rPr>
      </w:pPr>
    </w:p>
    <w:p w14:paraId="6196E376">
      <w:pPr>
        <w:snapToGrid w:val="0"/>
        <w:spacing w:before="60" w:after="60" w:line="360" w:lineRule="auto"/>
        <w:ind w:firstLine="600" w:firstLineChars="250"/>
        <w:rPr>
          <w:rStyle w:val="21"/>
          <w:rFonts w:ascii="宋体" w:hAnsi="宋体" w:cs="宋体"/>
          <w:color w:val="000000" w:themeColor="text1"/>
          <w:kern w:val="0"/>
          <w:sz w:val="24"/>
          <w:u w:val="single" w:color="000000"/>
          <w14:textFill>
            <w14:solidFill>
              <w14:schemeClr w14:val="tx1"/>
            </w14:solidFill>
          </w14:textFill>
        </w:rPr>
      </w:pPr>
      <w:r>
        <w:rPr>
          <w:rStyle w:val="21"/>
          <w:rFonts w:hint="eastAsia" w:ascii="宋体" w:hAnsi="宋体" w:cs="宋体"/>
          <w:color w:val="000000" w:themeColor="text1"/>
          <w:kern w:val="0"/>
          <w:sz w:val="24"/>
          <w:u w:val="single" w:color="000000"/>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同志，性别</w:t>
      </w:r>
      <w:r>
        <w:rPr>
          <w:rStyle w:val="21"/>
          <w:rFonts w:hint="eastAsia" w:ascii="宋体" w:hAnsi="宋体" w:cs="宋体"/>
          <w:color w:val="000000" w:themeColor="text1"/>
          <w:kern w:val="0"/>
          <w:sz w:val="24"/>
          <w:u w:val="single" w:color="000000"/>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，年龄</w:t>
      </w:r>
      <w:r>
        <w:rPr>
          <w:rStyle w:val="21"/>
          <w:rFonts w:hint="eastAsia" w:ascii="宋体" w:hAnsi="宋体" w:cs="宋体"/>
          <w:color w:val="000000" w:themeColor="text1"/>
          <w:kern w:val="0"/>
          <w:sz w:val="24"/>
          <w:u w:val="single" w:color="000000"/>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，职务</w:t>
      </w:r>
      <w:r>
        <w:rPr>
          <w:rStyle w:val="21"/>
          <w:rFonts w:hint="eastAsia" w:ascii="宋体" w:hAnsi="宋体" w:cs="宋体"/>
          <w:color w:val="000000" w:themeColor="text1"/>
          <w:kern w:val="0"/>
          <w:sz w:val="24"/>
          <w:u w:val="single" w:color="000000"/>
          <w14:textFill>
            <w14:solidFill>
              <w14:schemeClr w14:val="tx1"/>
            </w14:solidFill>
          </w14:textFill>
        </w:rPr>
        <w:t>         </w:t>
      </w:r>
      <w:r>
        <w:rPr>
          <w:rStyle w:val="21"/>
          <w:rFonts w:hint="eastAsia" w:ascii="宋体" w:hAnsi="宋体" w:cs="宋体"/>
          <w:color w:val="000000" w:themeColor="text1"/>
          <w:kern w:val="0"/>
          <w:sz w:val="24"/>
          <w14:textFill>
            <w14:solidFill>
              <w14:schemeClr w14:val="tx1"/>
            </w14:solidFill>
          </w14:textFill>
        </w:rPr>
        <w:t>，联系电话</w:t>
      </w:r>
      <w:r>
        <w:rPr>
          <w:rStyle w:val="21"/>
          <w:rFonts w:hint="eastAsia" w:ascii="宋体" w:hAnsi="宋体" w:cs="宋体"/>
          <w:color w:val="000000" w:themeColor="text1"/>
          <w:kern w:val="0"/>
          <w:sz w:val="24"/>
          <w:u w:val="single" w:color="000000"/>
          <w14:textFill>
            <w14:solidFill>
              <w14:schemeClr w14:val="tx1"/>
            </w14:solidFill>
          </w14:textFill>
        </w:rPr>
        <w:t xml:space="preserve">            ，系        </w:t>
      </w:r>
      <w:r>
        <w:rPr>
          <w:rStyle w:val="21"/>
          <w:rFonts w:hint="eastAsia" w:ascii="宋体" w:hAnsi="宋体" w:cs="宋体"/>
          <w:color w:val="000000" w:themeColor="text1"/>
          <w:kern w:val="0"/>
          <w:sz w:val="24"/>
          <w14:textFill>
            <w14:solidFill>
              <w14:schemeClr w14:val="tx1"/>
            </w14:solidFill>
          </w14:textFill>
        </w:rPr>
        <w:t>的法定代表人。</w:t>
      </w:r>
    </w:p>
    <w:p w14:paraId="6B3631B1">
      <w:pPr>
        <w:snapToGrid w:val="0"/>
        <w:spacing w:before="60" w:after="60" w:line="360" w:lineRule="auto"/>
        <w:jc w:val="left"/>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 xml:space="preserve">    </w:t>
      </w:r>
    </w:p>
    <w:p w14:paraId="0851D1DA">
      <w:pPr>
        <w:snapToGrid w:val="0"/>
        <w:spacing w:before="60" w:after="60" w:line="360" w:lineRule="auto"/>
        <w:jc w:val="left"/>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 xml:space="preserve">     特此证明。</w:t>
      </w:r>
    </w:p>
    <w:p w14:paraId="01FDDDEA">
      <w:pPr>
        <w:snapToGrid w:val="0"/>
        <w:spacing w:before="60" w:after="60" w:line="360" w:lineRule="auto"/>
        <w:jc w:val="left"/>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 xml:space="preserve">                                  </w:t>
      </w:r>
    </w:p>
    <w:p w14:paraId="158F1269">
      <w:pPr>
        <w:snapToGrid w:val="0"/>
        <w:spacing w:before="60" w:after="60" w:line="360" w:lineRule="auto"/>
        <w:jc w:val="left"/>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 xml:space="preserve">                             单位名称：</w:t>
      </w:r>
      <w:r>
        <w:rPr>
          <w:rStyle w:val="21"/>
          <w:rFonts w:hint="eastAsia" w:ascii="宋体" w:hAnsi="宋体" w:cs="宋体"/>
          <w:color w:val="000000" w:themeColor="text1"/>
          <w:kern w:val="0"/>
          <w:sz w:val="24"/>
          <w:u w:val="single" w:color="000000"/>
          <w14:textFill>
            <w14:solidFill>
              <w14:schemeClr w14:val="tx1"/>
            </w14:solidFill>
          </w14:textFill>
        </w:rPr>
        <w:t>      （盖章）</w:t>
      </w:r>
    </w:p>
    <w:p w14:paraId="4E441BC1">
      <w:pPr>
        <w:snapToGrid w:val="0"/>
        <w:spacing w:before="60" w:after="60" w:line="360" w:lineRule="auto"/>
        <w:jc w:val="left"/>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 xml:space="preserve">                                 </w:t>
      </w:r>
    </w:p>
    <w:p w14:paraId="5A4E1218">
      <w:pPr>
        <w:snapToGrid w:val="0"/>
        <w:spacing w:before="60" w:after="60" w:line="360" w:lineRule="auto"/>
        <w:jc w:val="right"/>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日期：</w:t>
      </w:r>
      <w:r>
        <w:rPr>
          <w:rStyle w:val="21"/>
          <w:rFonts w:hint="eastAsia" w:ascii="宋体" w:hAnsi="宋体" w:cs="宋体"/>
          <w:color w:val="000000" w:themeColor="text1"/>
          <w:kern w:val="0"/>
          <w:sz w:val="24"/>
          <w:u w:val="single" w:color="000000"/>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年月</w:t>
      </w:r>
      <w:r>
        <w:rPr>
          <w:rStyle w:val="21"/>
          <w:rFonts w:hint="eastAsia" w:ascii="宋体" w:hAnsi="宋体" w:cs="宋体"/>
          <w:color w:val="000000" w:themeColor="text1"/>
          <w:kern w:val="0"/>
          <w:sz w:val="24"/>
          <w:u w:val="single" w:color="000000"/>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日</w:t>
      </w:r>
    </w:p>
    <w:p w14:paraId="35F490D0">
      <w:pPr>
        <w:snapToGrid w:val="0"/>
        <w:spacing w:line="400" w:lineRule="exact"/>
        <w:jc w:val="left"/>
        <w:rPr>
          <w:rStyle w:val="21"/>
          <w:rFonts w:ascii="宋体" w:hAnsi="宋体" w:cs="宋体"/>
          <w:color w:val="000000" w:themeColor="text1"/>
          <w:kern w:val="0"/>
          <w:sz w:val="24"/>
          <w14:textFill>
            <w14:solidFill>
              <w14:schemeClr w14:val="tx1"/>
            </w14:solidFill>
          </w14:textFill>
        </w:rPr>
      </w:pPr>
    </w:p>
    <w:tbl>
      <w:tblPr>
        <w:tblStyle w:val="15"/>
        <w:tblW w:w="9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0"/>
      </w:tblGrid>
      <w:tr w14:paraId="73C89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9" w:hRule="atLeast"/>
        </w:trPr>
        <w:tc>
          <w:tcPr>
            <w:tcW w:w="9300" w:type="dxa"/>
            <w:tcBorders>
              <w:top w:val="single" w:color="000000" w:sz="4" w:space="0"/>
              <w:left w:val="single" w:color="000000" w:sz="4" w:space="0"/>
              <w:bottom w:val="single" w:color="000000" w:sz="4" w:space="0"/>
              <w:right w:val="single" w:color="000000" w:sz="4" w:space="0"/>
            </w:tcBorders>
          </w:tcPr>
          <w:p w14:paraId="6457F608">
            <w:pPr>
              <w:shd w:val="clear" w:color="auto" w:fill="FFFFFF"/>
              <w:snapToGrid w:val="0"/>
              <w:spacing w:line="440" w:lineRule="atLeast"/>
              <w:jc w:val="left"/>
              <w:rPr>
                <w:rStyle w:val="21"/>
                <w:rFonts w:ascii="宋体" w:hAnsi="宋体" w:cs="宋体"/>
                <w:b/>
                <w:bCs/>
                <w:color w:val="000000" w:themeColor="text1"/>
                <w:kern w:val="0"/>
                <w:sz w:val="24"/>
                <w14:textFill>
                  <w14:solidFill>
                    <w14:schemeClr w14:val="tx1"/>
                  </w14:solidFill>
                </w14:textFill>
              </w:rPr>
            </w:pPr>
          </w:p>
          <w:p w14:paraId="3357C7B8">
            <w:pPr>
              <w:shd w:val="clear" w:color="auto" w:fill="FFFFFF"/>
              <w:snapToGrid w:val="0"/>
              <w:spacing w:line="440" w:lineRule="atLeast"/>
              <w:jc w:val="left"/>
              <w:rPr>
                <w:rStyle w:val="21"/>
                <w:rFonts w:ascii="宋体" w:hAnsi="宋体" w:cs="宋体"/>
                <w:b/>
                <w:bCs/>
                <w:color w:val="000000" w:themeColor="text1"/>
                <w:kern w:val="0"/>
                <w:sz w:val="24"/>
                <w14:textFill>
                  <w14:solidFill>
                    <w14:schemeClr w14:val="tx1"/>
                  </w14:solidFill>
                </w14:textFill>
              </w:rPr>
            </w:pPr>
          </w:p>
          <w:p w14:paraId="2497E188">
            <w:pPr>
              <w:shd w:val="clear" w:color="auto" w:fill="FFFFFF"/>
              <w:snapToGrid w:val="0"/>
              <w:spacing w:line="440" w:lineRule="atLeast"/>
              <w:jc w:val="center"/>
              <w:rPr>
                <w:rStyle w:val="21"/>
                <w:rFonts w:ascii="宋体" w:hAnsi="宋体" w:cs="宋体"/>
                <w:color w:val="000000" w:themeColor="text1"/>
                <w:kern w:val="0"/>
                <w:sz w:val="28"/>
                <w:szCs w:val="28"/>
                <w14:textFill>
                  <w14:solidFill>
                    <w14:schemeClr w14:val="tx1"/>
                  </w14:solidFill>
                </w14:textFill>
              </w:rPr>
            </w:pPr>
          </w:p>
          <w:p w14:paraId="2D60F112">
            <w:pPr>
              <w:shd w:val="clear" w:color="auto" w:fill="FFFFFF"/>
              <w:snapToGrid w:val="0"/>
              <w:spacing w:line="440" w:lineRule="atLeast"/>
              <w:jc w:val="center"/>
              <w:rPr>
                <w:rStyle w:val="21"/>
                <w:rFonts w:ascii="宋体" w:hAnsi="宋体" w:cs="宋体"/>
                <w:color w:val="000000" w:themeColor="text1"/>
                <w:kern w:val="0"/>
                <w:sz w:val="28"/>
                <w:szCs w:val="28"/>
                <w14:textFill>
                  <w14:solidFill>
                    <w14:schemeClr w14:val="tx1"/>
                  </w14:solidFill>
                </w14:textFill>
              </w:rPr>
            </w:pPr>
          </w:p>
          <w:p w14:paraId="5CED1859">
            <w:pPr>
              <w:shd w:val="clear" w:color="auto" w:fill="FFFFFF"/>
              <w:snapToGrid w:val="0"/>
              <w:spacing w:line="440" w:lineRule="atLeast"/>
              <w:jc w:val="center"/>
              <w:rPr>
                <w:rStyle w:val="21"/>
                <w:rFonts w:ascii="宋体" w:hAnsi="宋体" w:cs="宋体"/>
                <w:b/>
                <w:bCs/>
                <w:color w:val="000000" w:themeColor="text1"/>
                <w:kern w:val="0"/>
                <w:sz w:val="24"/>
                <w14:textFill>
                  <w14:solidFill>
                    <w14:schemeClr w14:val="tx1"/>
                  </w14:solidFill>
                </w14:textFill>
              </w:rPr>
            </w:pPr>
            <w:r>
              <w:rPr>
                <w:rStyle w:val="21"/>
                <w:rFonts w:hint="eastAsia" w:ascii="宋体" w:hAnsi="宋体" w:cs="宋体"/>
                <w:color w:val="000000" w:themeColor="text1"/>
                <w:kern w:val="0"/>
                <w:sz w:val="28"/>
                <w:szCs w:val="28"/>
                <w14:textFill>
                  <w14:solidFill>
                    <w14:schemeClr w14:val="tx1"/>
                  </w14:solidFill>
                </w14:textFill>
              </w:rPr>
              <w:t>法定代表人身份证 扫描件粘贴处</w:t>
            </w:r>
          </w:p>
          <w:p w14:paraId="120A15C0">
            <w:pPr>
              <w:shd w:val="clear" w:color="auto" w:fill="FFFFFF"/>
              <w:snapToGrid w:val="0"/>
              <w:spacing w:line="440" w:lineRule="atLeast"/>
              <w:jc w:val="left"/>
              <w:rPr>
                <w:rStyle w:val="21"/>
                <w:rFonts w:ascii="宋体" w:hAnsi="宋体" w:cs="宋体"/>
                <w:b/>
                <w:bCs/>
                <w:color w:val="000000" w:themeColor="text1"/>
                <w:kern w:val="0"/>
                <w:sz w:val="24"/>
                <w14:textFill>
                  <w14:solidFill>
                    <w14:schemeClr w14:val="tx1"/>
                  </w14:solidFill>
                </w14:textFill>
              </w:rPr>
            </w:pPr>
          </w:p>
        </w:tc>
      </w:tr>
    </w:tbl>
    <w:p w14:paraId="049D5084">
      <w:pPr>
        <w:pStyle w:val="29"/>
        <w:snapToGrid w:val="0"/>
        <w:rPr>
          <w:rStyle w:val="21"/>
          <w:rFonts w:hAnsi="宋体" w:cs="宋体"/>
          <w:b/>
          <w:color w:val="000000" w:themeColor="text1"/>
          <w:sz w:val="24"/>
          <w14:textFill>
            <w14:solidFill>
              <w14:schemeClr w14:val="tx1"/>
            </w14:solidFill>
          </w14:textFill>
        </w:rPr>
      </w:pPr>
    </w:p>
    <w:p w14:paraId="3BFB7EC6">
      <w:pPr>
        <w:snapToGrid w:val="0"/>
        <w:spacing w:line="440" w:lineRule="exact"/>
        <w:jc w:val="center"/>
        <w:rPr>
          <w:rStyle w:val="21"/>
          <w:rFonts w:ascii="宋体" w:hAnsi="宋体" w:cs="宋体"/>
          <w:b/>
          <w:bCs/>
          <w:color w:val="000000" w:themeColor="text1"/>
          <w:sz w:val="24"/>
          <w14:textFill>
            <w14:solidFill>
              <w14:schemeClr w14:val="tx1"/>
            </w14:solidFill>
          </w14:textFill>
        </w:rPr>
      </w:pPr>
      <w:r>
        <w:rPr>
          <w:rStyle w:val="21"/>
          <w:rFonts w:hint="eastAsia" w:ascii="宋体" w:hAnsi="宋体" w:cs="宋体"/>
          <w:b/>
          <w:bCs/>
          <w:color w:val="000000" w:themeColor="text1"/>
          <w:sz w:val="24"/>
          <w14:textFill>
            <w14:solidFill>
              <w14:schemeClr w14:val="tx1"/>
            </w14:solidFill>
          </w14:textFill>
        </w:rPr>
        <w:br w:type="page"/>
      </w:r>
    </w:p>
    <w:p w14:paraId="78A3F3C9">
      <w:pPr>
        <w:snapToGrid w:val="0"/>
        <w:jc w:val="center"/>
        <w:rPr>
          <w:rStyle w:val="21"/>
          <w:rFonts w:ascii="宋体" w:hAnsi="宋体" w:cs="宋体"/>
          <w:b/>
          <w:color w:val="000000" w:themeColor="text1"/>
          <w:sz w:val="36"/>
          <w:szCs w:val="36"/>
          <w:lang w:val="zh-CN"/>
          <w14:textFill>
            <w14:solidFill>
              <w14:schemeClr w14:val="tx1"/>
            </w14:solidFill>
          </w14:textFill>
        </w:rPr>
      </w:pPr>
      <w:r>
        <w:rPr>
          <w:rStyle w:val="21"/>
          <w:rFonts w:hint="eastAsia" w:ascii="宋体" w:hAnsi="宋体" w:cs="宋体"/>
          <w:b/>
          <w:color w:val="000000" w:themeColor="text1"/>
          <w:sz w:val="36"/>
          <w:szCs w:val="36"/>
          <w:lang w:val="zh-CN"/>
          <w14:textFill>
            <w14:solidFill>
              <w14:schemeClr w14:val="tx1"/>
            </w14:solidFill>
          </w14:textFill>
        </w:rPr>
        <w:t>三、授权委托书</w:t>
      </w:r>
    </w:p>
    <w:p w14:paraId="646411D1">
      <w:pPr>
        <w:snapToGrid w:val="0"/>
        <w:spacing w:line="440" w:lineRule="exact"/>
        <w:rPr>
          <w:rStyle w:val="21"/>
          <w:rFonts w:ascii="宋体" w:hAnsi="宋体" w:cs="宋体"/>
          <w:b/>
          <w:bCs/>
          <w:color w:val="000000" w:themeColor="text1"/>
          <w:sz w:val="24"/>
          <w14:textFill>
            <w14:solidFill>
              <w14:schemeClr w14:val="tx1"/>
            </w14:solidFill>
          </w14:textFill>
        </w:rPr>
      </w:pPr>
    </w:p>
    <w:p w14:paraId="65630A16">
      <w:pPr>
        <w:snapToGrid w:val="0"/>
        <w:spacing w:line="300" w:lineRule="auto"/>
        <w:rPr>
          <w:rStyle w:val="21"/>
          <w:rFonts w:ascii="宋体" w:hAnsi="宋体" w:cs="宋体"/>
          <w:b/>
          <w:bCs/>
          <w:color w:val="000000" w:themeColor="text1"/>
          <w:sz w:val="24"/>
          <w14:textFill>
            <w14:solidFill>
              <w14:schemeClr w14:val="tx1"/>
            </w14:solidFill>
          </w14:textFill>
        </w:rPr>
      </w:pPr>
      <w:r>
        <w:rPr>
          <w:rStyle w:val="21"/>
          <w:rFonts w:hint="eastAsia" w:ascii="宋体" w:hAnsi="宋体" w:cs="宋体"/>
          <w:b/>
          <w:bCs/>
          <w:color w:val="000000" w:themeColor="text1"/>
          <w:sz w:val="24"/>
          <w14:textFill>
            <w14:solidFill>
              <w14:schemeClr w14:val="tx1"/>
            </w14:solidFill>
          </w14:textFill>
        </w:rPr>
        <w:t>致</w:t>
      </w:r>
      <w:r>
        <w:rPr>
          <w:rStyle w:val="21"/>
          <w:rFonts w:hint="eastAsia" w:ascii="宋体" w:hAnsi="宋体" w:cs="宋体"/>
          <w:b/>
          <w:bCs/>
          <w:color w:val="000000" w:themeColor="text1"/>
          <w:sz w:val="24"/>
          <w:lang w:eastAsia="zh-CN"/>
          <w14:textFill>
            <w14:solidFill>
              <w14:schemeClr w14:val="tx1"/>
            </w14:solidFill>
          </w14:textFill>
        </w:rPr>
        <w:t>响水县兴港物业管理有限公司</w:t>
      </w:r>
      <w:r>
        <w:rPr>
          <w:rStyle w:val="21"/>
          <w:rFonts w:hint="eastAsia" w:ascii="宋体" w:hAnsi="宋体" w:cs="宋体"/>
          <w:b/>
          <w:bCs/>
          <w:color w:val="000000" w:themeColor="text1"/>
          <w:sz w:val="24"/>
          <w14:textFill>
            <w14:solidFill>
              <w14:schemeClr w14:val="tx1"/>
            </w14:solidFill>
          </w14:textFill>
        </w:rPr>
        <w:t>：</w:t>
      </w:r>
    </w:p>
    <w:p w14:paraId="2B070790">
      <w:pPr>
        <w:snapToGrid w:val="0"/>
        <w:spacing w:line="440" w:lineRule="exact"/>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 xml:space="preserve">    本授权书宣告：</w:t>
      </w:r>
    </w:p>
    <w:p w14:paraId="02100FB6">
      <w:pPr>
        <w:snapToGrid w:val="0"/>
        <w:spacing w:line="440" w:lineRule="exact"/>
        <w:ind w:firstLine="480" w:firstLineChars="200"/>
        <w:rPr>
          <w:rStyle w:val="21"/>
          <w:rFonts w:ascii="宋体" w:hAnsi="宋体" w:cs="宋体"/>
          <w:color w:val="000000" w:themeColor="text1"/>
          <w:sz w:val="24"/>
          <w:u w:val="none"/>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委托方：</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r>
        <w:rPr>
          <w:rStyle w:val="21"/>
          <w:rFonts w:hint="eastAsia" w:ascii="宋体" w:hAnsi="宋体" w:cs="宋体"/>
          <w:color w:val="000000" w:themeColor="text1"/>
          <w:sz w:val="24"/>
          <w14:textFill>
            <w14:solidFill>
              <w14:schemeClr w14:val="tx1"/>
            </w14:solidFill>
          </w14:textFill>
        </w:rPr>
        <w:t xml:space="preserve"> 地址：</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p>
    <w:p w14:paraId="463E453C">
      <w:pPr>
        <w:snapToGrid w:val="0"/>
        <w:spacing w:line="440" w:lineRule="exact"/>
        <w:ind w:firstLine="480" w:firstLineChars="200"/>
        <w:rPr>
          <w:rStyle w:val="21"/>
          <w:rFonts w:hint="default" w:ascii="宋体" w:hAnsi="宋体" w:cs="宋体"/>
          <w:color w:val="000000" w:themeColor="text1"/>
          <w:sz w:val="24"/>
          <w:u w:val="single" w:color="000000"/>
          <w:lang w:val="en-US"/>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法定代表人：</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p>
    <w:p w14:paraId="6188E026">
      <w:pPr>
        <w:snapToGrid w:val="0"/>
        <w:spacing w:line="440" w:lineRule="exact"/>
        <w:ind w:firstLine="480" w:firstLineChars="200"/>
        <w:rPr>
          <w:rStyle w:val="21"/>
          <w:rFonts w:ascii="宋体" w:hAnsi="宋体" w:cs="宋体"/>
          <w:color w:val="000000" w:themeColor="text1"/>
          <w:sz w:val="24"/>
          <w:u w:val="single"/>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受托人：</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r>
        <w:rPr>
          <w:rStyle w:val="21"/>
          <w:rFonts w:hint="eastAsia" w:ascii="宋体" w:hAnsi="宋体" w:cs="宋体"/>
          <w:color w:val="000000" w:themeColor="text1"/>
          <w:sz w:val="24"/>
          <w14:textFill>
            <w14:solidFill>
              <w14:schemeClr w14:val="tx1"/>
            </w14:solidFill>
          </w14:textFill>
        </w:rPr>
        <w:t xml:space="preserve"> 姓名：</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r>
        <w:rPr>
          <w:rStyle w:val="21"/>
          <w:rFonts w:hint="eastAsia" w:ascii="宋体" w:hAnsi="宋体" w:cs="宋体"/>
          <w:color w:val="000000" w:themeColor="text1"/>
          <w:sz w:val="24"/>
          <w14:textFill>
            <w14:solidFill>
              <w14:schemeClr w14:val="tx1"/>
            </w14:solidFill>
          </w14:textFill>
        </w:rPr>
        <w:t>性别：</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r>
        <w:rPr>
          <w:rStyle w:val="21"/>
          <w:rFonts w:hint="eastAsia" w:ascii="宋体" w:hAnsi="宋体" w:cs="宋体"/>
          <w:color w:val="000000" w:themeColor="text1"/>
          <w:sz w:val="24"/>
          <w14:textFill>
            <w14:solidFill>
              <w14:schemeClr w14:val="tx1"/>
            </w14:solidFill>
          </w14:textFill>
        </w:rPr>
        <w:t xml:space="preserve"> 出生日期：</w:t>
      </w:r>
      <w:r>
        <w:rPr>
          <w:rStyle w:val="21"/>
          <w:rFonts w:hint="eastAsia" w:ascii="宋体" w:hAnsi="宋体" w:cs="宋体"/>
          <w:color w:val="000000" w:themeColor="text1"/>
          <w:sz w:val="24"/>
          <w:u w:val="single"/>
          <w14:textFill>
            <w14:solidFill>
              <w14:schemeClr w14:val="tx1"/>
            </w14:solidFill>
          </w14:textFill>
        </w:rPr>
        <w:t xml:space="preserve">    年  月   日</w:t>
      </w:r>
    </w:p>
    <w:p w14:paraId="584CF78C">
      <w:pPr>
        <w:snapToGrid w:val="0"/>
        <w:spacing w:line="440" w:lineRule="exact"/>
        <w:ind w:firstLine="480" w:firstLineChars="200"/>
        <w:rPr>
          <w:rStyle w:val="21"/>
          <w:rFonts w:ascii="宋体" w:hAnsi="宋体" w:cs="宋体"/>
          <w:color w:val="000000" w:themeColor="text1"/>
          <w:sz w:val="24"/>
          <w:u w:val="single"/>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所在单位：</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r>
        <w:rPr>
          <w:rStyle w:val="21"/>
          <w:rFonts w:hint="eastAsia" w:ascii="宋体" w:hAnsi="宋体" w:cs="宋体"/>
          <w:color w:val="000000" w:themeColor="text1"/>
          <w:sz w:val="24"/>
          <w14:textFill>
            <w14:solidFill>
              <w14:schemeClr w14:val="tx1"/>
            </w14:solidFill>
          </w14:textFill>
        </w:rPr>
        <w:t xml:space="preserve">      职务：</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p>
    <w:p w14:paraId="3C0649A3">
      <w:pPr>
        <w:snapToGrid w:val="0"/>
        <w:spacing w:line="440" w:lineRule="exact"/>
        <w:ind w:firstLine="480" w:firstLineChars="200"/>
        <w:rPr>
          <w:rStyle w:val="21"/>
          <w:rFonts w:hint="default" w:ascii="宋体" w:hAnsi="宋体" w:cs="宋体"/>
          <w:color w:val="000000" w:themeColor="text1"/>
          <w:sz w:val="24"/>
          <w:u w:val="single"/>
          <w:lang w:val="en-US"/>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身 份 证：</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r>
        <w:rPr>
          <w:rStyle w:val="21"/>
          <w:rFonts w:hint="eastAsia" w:ascii="宋体" w:hAnsi="宋体" w:cs="宋体"/>
          <w:color w:val="000000" w:themeColor="text1"/>
          <w:sz w:val="24"/>
          <w14:textFill>
            <w14:solidFill>
              <w14:schemeClr w14:val="tx1"/>
            </w14:solidFill>
          </w14:textFill>
        </w:rPr>
        <w:t>联系方式：</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p>
    <w:p w14:paraId="19B00703">
      <w:pPr>
        <w:snapToGrid w:val="0"/>
        <w:spacing w:line="600" w:lineRule="atLeas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兹委托受托人代表我公司参</w:t>
      </w:r>
      <w:r>
        <w:rPr>
          <w:rStyle w:val="21"/>
          <w:rFonts w:hint="eastAsia" w:ascii="宋体" w:hAnsi="宋体" w:cs="宋体"/>
          <w:color w:val="000000" w:themeColor="text1"/>
          <w:kern w:val="0"/>
          <w:sz w:val="24"/>
          <w14:textFill>
            <w14:solidFill>
              <w14:schemeClr w14:val="tx1"/>
            </w14:solidFill>
          </w14:textFill>
        </w:rPr>
        <w:t>加</w:t>
      </w:r>
      <w:r>
        <w:rPr>
          <w:rStyle w:val="21"/>
          <w:rFonts w:hint="eastAsia" w:ascii="宋体" w:hAnsi="宋体" w:cs="宋体"/>
          <w:color w:val="000000" w:themeColor="text1"/>
          <w:kern w:val="0"/>
          <w:sz w:val="24"/>
          <w:lang w:eastAsia="zh-CN"/>
          <w14:textFill>
            <w14:solidFill>
              <w14:schemeClr w14:val="tx1"/>
            </w14:solidFill>
          </w14:textFill>
        </w:rPr>
        <w:t>响水工业经济区绿化养护服务项目</w:t>
      </w:r>
      <w:r>
        <w:rPr>
          <w:rStyle w:val="21"/>
          <w:rFonts w:hint="eastAsia" w:ascii="宋体" w:hAnsi="宋体" w:cs="宋体"/>
          <w:color w:val="000000" w:themeColor="text1"/>
          <w:sz w:val="24"/>
          <w14:textFill>
            <w14:solidFill>
              <w14:schemeClr w14:val="tx1"/>
            </w14:solidFill>
          </w14:textFill>
        </w:rPr>
        <w:t>活动，以我单位的名义签署谈判承诺函、竞争性谈判文件以及谈判过程协商、澄清、解释等确认的事项、签订合同书等与此有关的全部事项，我公司均予以承认。受托人无权转委托权。</w:t>
      </w:r>
    </w:p>
    <w:p w14:paraId="450DCF72">
      <w:pPr>
        <w:snapToGrid w:val="0"/>
        <w:spacing w:line="44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委托期限：至上述事宜处理完毕止。</w:t>
      </w:r>
    </w:p>
    <w:p w14:paraId="34E5BF05">
      <w:pPr>
        <w:snapToGrid w:val="0"/>
        <w:spacing w:line="440" w:lineRule="exact"/>
        <w:ind w:firstLine="480" w:firstLineChars="200"/>
        <w:rPr>
          <w:rStyle w:val="21"/>
          <w:rFonts w:ascii="宋体" w:hAnsi="宋体" w:cs="宋体"/>
          <w:color w:val="000000" w:themeColor="text1"/>
          <w:sz w:val="24"/>
          <w14:textFill>
            <w14:solidFill>
              <w14:schemeClr w14:val="tx1"/>
            </w14:solidFill>
          </w14:textFill>
        </w:rPr>
      </w:pPr>
    </w:p>
    <w:p w14:paraId="2A8CAED0">
      <w:pPr>
        <w:snapToGrid w:val="0"/>
        <w:spacing w:line="440" w:lineRule="exact"/>
        <w:ind w:firstLine="480" w:firstLineChars="2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委托单位：</w:t>
      </w:r>
      <w:r>
        <w:rPr>
          <w:rStyle w:val="21"/>
          <w:rFonts w:hint="eastAsia" w:ascii="宋体" w:hAnsi="宋体" w:cs="宋体"/>
          <w:color w:val="000000" w:themeColor="text1"/>
          <w:sz w:val="24"/>
          <w:u w:val="single"/>
          <w14:textFill>
            <w14:solidFill>
              <w14:schemeClr w14:val="tx1"/>
            </w14:solidFill>
          </w14:textFill>
        </w:rPr>
        <w:t xml:space="preserve"> </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r>
        <w:rPr>
          <w:rStyle w:val="21"/>
          <w:rFonts w:hint="eastAsia" w:ascii="宋体" w:hAnsi="宋体" w:cs="宋体"/>
          <w:color w:val="000000" w:themeColor="text1"/>
          <w:sz w:val="24"/>
          <w:u w:val="single"/>
          <w14:textFill>
            <w14:solidFill>
              <w14:schemeClr w14:val="tx1"/>
            </w14:solidFill>
          </w14:textFill>
        </w:rPr>
        <w:t>（</w:t>
      </w:r>
      <w:r>
        <w:rPr>
          <w:rStyle w:val="21"/>
          <w:rFonts w:hint="eastAsia" w:ascii="宋体" w:hAnsi="宋体" w:cs="宋体"/>
          <w:color w:val="000000" w:themeColor="text1"/>
          <w:sz w:val="24"/>
          <w14:textFill>
            <w14:solidFill>
              <w14:schemeClr w14:val="tx1"/>
            </w14:solidFill>
          </w14:textFill>
        </w:rPr>
        <w:t xml:space="preserve">公章） </w:t>
      </w:r>
    </w:p>
    <w:p w14:paraId="69944718">
      <w:pPr>
        <w:snapToGrid w:val="0"/>
        <w:spacing w:line="440" w:lineRule="exact"/>
        <w:ind w:firstLine="240" w:firstLineChars="100"/>
        <w:rPr>
          <w:rStyle w:val="21"/>
          <w:rFonts w:ascii="宋体" w:hAnsi="宋体" w:cs="宋体"/>
          <w:color w:val="000000" w:themeColor="text1"/>
          <w:sz w:val="24"/>
          <w14:textFill>
            <w14:solidFill>
              <w14:schemeClr w14:val="tx1"/>
            </w14:solidFill>
          </w14:textFill>
        </w:rPr>
      </w:pPr>
    </w:p>
    <w:p w14:paraId="4CEB7A4A">
      <w:pPr>
        <w:snapToGrid w:val="0"/>
        <w:ind w:firstLine="480" w:firstLineChars="200"/>
        <w:rPr>
          <w:rStyle w:val="21"/>
          <w:rFonts w:ascii="宋体" w:hAnsi="宋体" w:cs="宋体"/>
          <w:color w:val="000000" w:themeColor="text1"/>
          <w:sz w:val="24"/>
          <w:u w:val="single"/>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法定代表人签字（或盖章）</w:t>
      </w:r>
    </w:p>
    <w:p w14:paraId="5792C4C7">
      <w:pPr>
        <w:snapToGrid w:val="0"/>
        <w:ind w:firstLine="480" w:firstLineChars="200"/>
        <w:rPr>
          <w:rStyle w:val="21"/>
          <w:rFonts w:ascii="宋体" w:hAnsi="宋体" w:cs="宋体"/>
          <w:color w:val="000000" w:themeColor="text1"/>
          <w:sz w:val="24"/>
          <w14:textFill>
            <w14:solidFill>
              <w14:schemeClr w14:val="tx1"/>
            </w14:solidFill>
          </w14:textFill>
        </w:rPr>
      </w:pPr>
    </w:p>
    <w:p w14:paraId="7E47EC4D">
      <w:pPr>
        <w:snapToGrid w:val="0"/>
        <w:ind w:firstLine="5040" w:firstLineChars="2100"/>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日期： 年月日</w:t>
      </w:r>
    </w:p>
    <w:p w14:paraId="360A86AF">
      <w:pPr>
        <w:pStyle w:val="29"/>
        <w:snapToGrid w:val="0"/>
        <w:rPr>
          <w:rStyle w:val="21"/>
          <w:rFonts w:hAnsi="宋体" w:cs="宋体"/>
          <w:b/>
          <w:color w:val="000000" w:themeColor="text1"/>
          <w:sz w:val="24"/>
          <w:szCs w:val="24"/>
          <w14:textFill>
            <w14:solidFill>
              <w14:schemeClr w14:val="tx1"/>
            </w14:solidFill>
          </w14:textFill>
        </w:rPr>
      </w:pPr>
    </w:p>
    <w:tbl>
      <w:tblPr>
        <w:tblStyle w:val="15"/>
        <w:tblW w:w="8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0"/>
      </w:tblGrid>
      <w:tr w14:paraId="643E3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trPr>
        <w:tc>
          <w:tcPr>
            <w:tcW w:w="8160" w:type="dxa"/>
            <w:tcBorders>
              <w:top w:val="single" w:color="000000" w:sz="4" w:space="0"/>
              <w:left w:val="single" w:color="000000" w:sz="4" w:space="0"/>
              <w:bottom w:val="single" w:color="000000" w:sz="4" w:space="0"/>
              <w:right w:val="single" w:color="000000" w:sz="4" w:space="0"/>
            </w:tcBorders>
          </w:tcPr>
          <w:p w14:paraId="5FC39D90">
            <w:pPr>
              <w:shd w:val="clear" w:color="auto" w:fill="FFFFFF"/>
              <w:snapToGrid w:val="0"/>
              <w:spacing w:line="440" w:lineRule="atLeast"/>
              <w:jc w:val="left"/>
              <w:rPr>
                <w:rStyle w:val="21"/>
                <w:rFonts w:ascii="宋体" w:hAnsi="宋体" w:cs="宋体"/>
                <w:b/>
                <w:bCs/>
                <w:color w:val="000000" w:themeColor="text1"/>
                <w:kern w:val="0"/>
                <w:sz w:val="24"/>
                <w14:textFill>
                  <w14:solidFill>
                    <w14:schemeClr w14:val="tx1"/>
                  </w14:solidFill>
                </w14:textFill>
              </w:rPr>
            </w:pPr>
          </w:p>
          <w:p w14:paraId="1170561A">
            <w:pPr>
              <w:shd w:val="clear" w:color="auto" w:fill="FFFFFF"/>
              <w:snapToGrid w:val="0"/>
              <w:spacing w:line="440" w:lineRule="atLeast"/>
              <w:jc w:val="left"/>
              <w:rPr>
                <w:rStyle w:val="21"/>
                <w:rFonts w:ascii="宋体" w:hAnsi="宋体" w:cs="宋体"/>
                <w:b/>
                <w:bCs/>
                <w:color w:val="000000" w:themeColor="text1"/>
                <w:kern w:val="0"/>
                <w:sz w:val="24"/>
                <w14:textFill>
                  <w14:solidFill>
                    <w14:schemeClr w14:val="tx1"/>
                  </w14:solidFill>
                </w14:textFill>
              </w:rPr>
            </w:pPr>
          </w:p>
          <w:p w14:paraId="36B72972">
            <w:pPr>
              <w:shd w:val="clear" w:color="auto" w:fill="FFFFFF"/>
              <w:snapToGrid w:val="0"/>
              <w:spacing w:line="440" w:lineRule="atLeast"/>
              <w:jc w:val="center"/>
              <w:rPr>
                <w:rStyle w:val="21"/>
                <w:rFonts w:ascii="宋体" w:hAnsi="宋体" w:cs="宋体"/>
                <w:color w:val="000000" w:themeColor="text1"/>
                <w:kern w:val="0"/>
                <w:sz w:val="24"/>
                <w14:textFill>
                  <w14:solidFill>
                    <w14:schemeClr w14:val="tx1"/>
                  </w14:solidFill>
                </w14:textFill>
              </w:rPr>
            </w:pPr>
          </w:p>
          <w:p w14:paraId="5AA1406D">
            <w:pPr>
              <w:shd w:val="clear" w:color="auto" w:fill="FFFFFF"/>
              <w:snapToGrid w:val="0"/>
              <w:spacing w:line="440" w:lineRule="atLeast"/>
              <w:jc w:val="center"/>
              <w:rPr>
                <w:rStyle w:val="21"/>
                <w:rFonts w:ascii="宋体" w:hAnsi="宋体" w:cs="宋体"/>
                <w:b/>
                <w:bCs/>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被授权人身份证扫描件粘贴处</w:t>
            </w:r>
          </w:p>
        </w:tc>
      </w:tr>
    </w:tbl>
    <w:p w14:paraId="15E93C30">
      <w:pPr>
        <w:snapToGrid w:val="0"/>
        <w:rPr>
          <w:rStyle w:val="21"/>
          <w:rFonts w:ascii="宋体" w:hAnsi="宋体" w:cs="宋体"/>
          <w:b/>
          <w:bCs/>
          <w:color w:val="000000" w:themeColor="text1"/>
          <w:sz w:val="24"/>
          <w14:textFill>
            <w14:solidFill>
              <w14:schemeClr w14:val="tx1"/>
            </w14:solidFill>
          </w14:textFill>
        </w:rPr>
      </w:pPr>
    </w:p>
    <w:p w14:paraId="131FADF8">
      <w:pPr>
        <w:snapToGrid w:val="0"/>
        <w:jc w:val="center"/>
        <w:rPr>
          <w:rStyle w:val="21"/>
          <w:rFonts w:ascii="宋体" w:hAnsi="宋体" w:cs="宋体"/>
          <w:b/>
          <w:color w:val="000000" w:themeColor="text1"/>
          <w:sz w:val="40"/>
          <w:szCs w:val="40"/>
          <w:lang w:val="zh-CN"/>
          <w14:textFill>
            <w14:solidFill>
              <w14:schemeClr w14:val="tx1"/>
            </w14:solidFill>
          </w14:textFill>
        </w:rPr>
      </w:pPr>
    </w:p>
    <w:p w14:paraId="0A749334">
      <w:pPr>
        <w:pStyle w:val="20"/>
        <w:rPr>
          <w:rStyle w:val="21"/>
          <w:rFonts w:ascii="宋体" w:hAnsi="宋体" w:cs="宋体"/>
          <w:b/>
          <w:color w:val="000000" w:themeColor="text1"/>
          <w:sz w:val="40"/>
          <w:szCs w:val="40"/>
          <w:lang w:val="zh-CN"/>
          <w14:textFill>
            <w14:solidFill>
              <w14:schemeClr w14:val="tx1"/>
            </w14:solidFill>
          </w14:textFill>
        </w:rPr>
      </w:pPr>
    </w:p>
    <w:p w14:paraId="2D557F2D">
      <w:pPr>
        <w:rPr>
          <w:rStyle w:val="21"/>
          <w:rFonts w:ascii="宋体" w:hAnsi="宋体" w:cs="宋体"/>
          <w:b/>
          <w:color w:val="000000" w:themeColor="text1"/>
          <w:sz w:val="40"/>
          <w:szCs w:val="40"/>
          <w:lang w:val="zh-CN"/>
          <w14:textFill>
            <w14:solidFill>
              <w14:schemeClr w14:val="tx1"/>
            </w14:solidFill>
          </w14:textFill>
        </w:rPr>
      </w:pPr>
    </w:p>
    <w:p w14:paraId="7AD91D7B">
      <w:pPr>
        <w:rPr>
          <w:rStyle w:val="21"/>
          <w:rFonts w:ascii="宋体" w:hAnsi="宋体" w:cs="宋体"/>
          <w:b/>
          <w:color w:val="000000" w:themeColor="text1"/>
          <w:sz w:val="40"/>
          <w:szCs w:val="40"/>
          <w:lang w:val="zh-CN"/>
          <w14:textFill>
            <w14:solidFill>
              <w14:schemeClr w14:val="tx1"/>
            </w14:solidFill>
          </w14:textFill>
        </w:rPr>
      </w:pPr>
    </w:p>
    <w:p w14:paraId="35F666E0">
      <w:pPr>
        <w:rPr>
          <w:rStyle w:val="21"/>
          <w:rFonts w:ascii="宋体" w:hAnsi="宋体" w:cs="宋体"/>
          <w:b/>
          <w:color w:val="000000" w:themeColor="text1"/>
          <w:sz w:val="40"/>
          <w:szCs w:val="40"/>
          <w:lang w:val="zh-CN"/>
          <w14:textFill>
            <w14:solidFill>
              <w14:schemeClr w14:val="tx1"/>
            </w14:solidFill>
          </w14:textFill>
        </w:rPr>
      </w:pPr>
    </w:p>
    <w:p w14:paraId="29D9DD77">
      <w:pPr>
        <w:rPr>
          <w:rStyle w:val="21"/>
          <w:rFonts w:ascii="宋体" w:hAnsi="宋体" w:cs="宋体"/>
          <w:b/>
          <w:color w:val="000000" w:themeColor="text1"/>
          <w:sz w:val="40"/>
          <w:szCs w:val="40"/>
          <w:lang w:val="zh-CN"/>
          <w14:textFill>
            <w14:solidFill>
              <w14:schemeClr w14:val="tx1"/>
            </w14:solidFill>
          </w14:textFill>
        </w:rPr>
      </w:pPr>
    </w:p>
    <w:p w14:paraId="1F4768BF">
      <w:pPr>
        <w:rPr>
          <w:rStyle w:val="21"/>
          <w:rFonts w:ascii="宋体" w:hAnsi="宋体" w:cs="宋体"/>
          <w:b/>
          <w:color w:val="000000" w:themeColor="text1"/>
          <w:sz w:val="40"/>
          <w:szCs w:val="40"/>
          <w:lang w:val="zh-CN"/>
          <w14:textFill>
            <w14:solidFill>
              <w14:schemeClr w14:val="tx1"/>
            </w14:solidFill>
          </w14:textFill>
        </w:rPr>
      </w:pPr>
    </w:p>
    <w:p w14:paraId="73B4511B">
      <w:pPr>
        <w:shd w:val="clear" w:color="auto" w:fill="FFFFFF"/>
        <w:snapToGrid w:val="0"/>
        <w:spacing w:line="440" w:lineRule="atLeast"/>
        <w:jc w:val="left"/>
        <w:rPr>
          <w:rStyle w:val="21"/>
          <w:rFonts w:hint="eastAsia" w:ascii="宋体" w:hAnsi="宋体" w:eastAsia="宋体" w:cs="宋体"/>
          <w:b/>
          <w:bCs/>
          <w:color w:val="000000" w:themeColor="text1"/>
          <w:kern w:val="0"/>
          <w:sz w:val="24"/>
          <w:lang w:val="en-US" w:eastAsia="zh-CN"/>
          <w14:textFill>
            <w14:solidFill>
              <w14:schemeClr w14:val="tx1"/>
            </w14:solidFill>
          </w14:textFill>
        </w:rPr>
      </w:pPr>
      <w:r>
        <w:rPr>
          <w:rStyle w:val="21"/>
          <w:rFonts w:hint="eastAsia" w:ascii="宋体" w:hAnsi="宋体" w:eastAsia="宋体" w:cs="宋体"/>
          <w:b/>
          <w:bCs/>
          <w:color w:val="000000" w:themeColor="text1"/>
          <w:kern w:val="0"/>
          <w:sz w:val="24"/>
          <w:lang w:val="en-US" w:eastAsia="zh-CN"/>
          <w14:textFill>
            <w14:solidFill>
              <w14:schemeClr w14:val="tx1"/>
            </w14:solidFill>
          </w14:textFill>
        </w:rPr>
        <w:t>四、法人或者其他组织的营业执照等证明文件原件彩色扫描件</w:t>
      </w:r>
    </w:p>
    <w:p w14:paraId="13183CF0">
      <w:pPr>
        <w:shd w:val="clear" w:color="auto" w:fill="FFFFFF"/>
        <w:snapToGrid w:val="0"/>
        <w:spacing w:line="440" w:lineRule="atLeast"/>
        <w:jc w:val="left"/>
        <w:rPr>
          <w:rStyle w:val="21"/>
          <w:rFonts w:hint="eastAsia" w:ascii="宋体" w:hAnsi="宋体" w:eastAsia="宋体" w:cs="宋体"/>
          <w:b/>
          <w:bCs/>
          <w:color w:val="000000" w:themeColor="text1"/>
          <w:kern w:val="0"/>
          <w:sz w:val="24"/>
          <w:lang w:val="en-US" w:eastAsia="zh-CN"/>
          <w14:textFill>
            <w14:solidFill>
              <w14:schemeClr w14:val="tx1"/>
            </w14:solidFill>
          </w14:textFill>
        </w:rPr>
      </w:pPr>
    </w:p>
    <w:p w14:paraId="123C40AC">
      <w:pPr>
        <w:shd w:val="clear" w:color="auto" w:fill="FFFFFF"/>
        <w:snapToGrid w:val="0"/>
        <w:spacing w:line="440" w:lineRule="atLeast"/>
        <w:jc w:val="left"/>
        <w:rPr>
          <w:rStyle w:val="21"/>
          <w:rFonts w:hint="eastAsia" w:ascii="宋体" w:hAnsi="宋体" w:eastAsia="宋体" w:cs="宋体"/>
          <w:b/>
          <w:bCs/>
          <w:color w:val="000000" w:themeColor="text1"/>
          <w:kern w:val="0"/>
          <w:sz w:val="24"/>
          <w14:textFill>
            <w14:solidFill>
              <w14:schemeClr w14:val="tx1"/>
            </w14:solidFill>
          </w14:textFill>
        </w:rPr>
      </w:pPr>
      <w:r>
        <w:rPr>
          <w:rStyle w:val="21"/>
          <w:rFonts w:hint="eastAsia" w:ascii="宋体" w:hAnsi="宋体" w:eastAsia="宋体" w:cs="宋体"/>
          <w:b/>
          <w:bCs/>
          <w:color w:val="000000" w:themeColor="text1"/>
          <w:kern w:val="0"/>
          <w:sz w:val="24"/>
          <w:lang w:val="en-US" w:eastAsia="zh-CN"/>
          <w14:textFill>
            <w14:solidFill>
              <w14:schemeClr w14:val="tx1"/>
            </w14:solidFill>
          </w14:textFill>
        </w:rPr>
        <w:t>五</w:t>
      </w:r>
      <w:r>
        <w:rPr>
          <w:rStyle w:val="21"/>
          <w:rFonts w:hint="eastAsia" w:ascii="宋体" w:hAnsi="宋体" w:eastAsia="宋体" w:cs="宋体"/>
          <w:b/>
          <w:bCs/>
          <w:color w:val="000000" w:themeColor="text1"/>
          <w:kern w:val="0"/>
          <w:sz w:val="24"/>
          <w14:textFill>
            <w14:solidFill>
              <w14:schemeClr w14:val="tx1"/>
            </w14:solidFill>
          </w14:textFill>
        </w:rPr>
        <w:t>、上一年度的财务报表</w:t>
      </w:r>
      <w:r>
        <w:rPr>
          <w:rStyle w:val="21"/>
          <w:rFonts w:hint="eastAsia" w:ascii="宋体" w:hAnsi="宋体" w:eastAsia="宋体" w:cs="宋体"/>
          <w:b/>
          <w:bCs/>
          <w:color w:val="000000" w:themeColor="text1"/>
          <w:kern w:val="0"/>
          <w:sz w:val="24"/>
          <w:lang w:val="en-US" w:eastAsia="zh-CN"/>
          <w14:textFill>
            <w14:solidFill>
              <w14:schemeClr w14:val="tx1"/>
            </w14:solidFill>
          </w14:textFill>
        </w:rPr>
        <w:t>（财务报表至少应包括资产负债表、利润表、现金流量表；距离投标截止之日止，</w:t>
      </w:r>
      <w:r>
        <w:rPr>
          <w:rStyle w:val="21"/>
          <w:rFonts w:hint="eastAsia" w:ascii="宋体" w:hAnsi="宋体" w:eastAsia="宋体" w:cs="宋体"/>
          <w:b/>
          <w:bCs/>
          <w:color w:val="000000" w:themeColor="text1"/>
          <w:kern w:val="0"/>
          <w:sz w:val="24"/>
          <w14:textFill>
            <w14:solidFill>
              <w14:schemeClr w14:val="tx1"/>
            </w14:solidFill>
          </w14:textFill>
        </w:rPr>
        <w:t>成立不满一年不需提供）</w:t>
      </w:r>
    </w:p>
    <w:p w14:paraId="20B4B104">
      <w:pPr>
        <w:shd w:val="clear" w:color="auto" w:fill="FFFFFF"/>
        <w:snapToGrid w:val="0"/>
        <w:spacing w:line="440" w:lineRule="atLeast"/>
        <w:jc w:val="left"/>
        <w:rPr>
          <w:rStyle w:val="21"/>
          <w:rFonts w:hint="eastAsia" w:ascii="宋体" w:hAnsi="宋体" w:eastAsia="宋体" w:cs="宋体"/>
          <w:b/>
          <w:bCs/>
          <w:color w:val="000000" w:themeColor="text1"/>
          <w:kern w:val="0"/>
          <w:sz w:val="24"/>
          <w14:textFill>
            <w14:solidFill>
              <w14:schemeClr w14:val="tx1"/>
            </w14:solidFill>
          </w14:textFill>
        </w:rPr>
      </w:pPr>
    </w:p>
    <w:p w14:paraId="70786E50">
      <w:pPr>
        <w:shd w:val="clear" w:color="auto" w:fill="FFFFFF"/>
        <w:snapToGrid w:val="0"/>
        <w:spacing w:line="440" w:lineRule="atLeast"/>
        <w:jc w:val="left"/>
        <w:rPr>
          <w:rStyle w:val="21"/>
          <w:rFonts w:hint="eastAsia" w:ascii="宋体" w:hAnsi="宋体" w:eastAsia="宋体" w:cs="宋体"/>
          <w:b/>
          <w:bCs/>
          <w:color w:val="000000" w:themeColor="text1"/>
          <w:kern w:val="0"/>
          <w:sz w:val="24"/>
          <w14:textFill>
            <w14:solidFill>
              <w14:schemeClr w14:val="tx1"/>
            </w14:solidFill>
          </w14:textFill>
        </w:rPr>
      </w:pPr>
    </w:p>
    <w:p w14:paraId="0D032590">
      <w:pPr>
        <w:numPr>
          <w:ilvl w:val="0"/>
          <w:numId w:val="2"/>
        </w:numPr>
        <w:shd w:val="clear" w:color="auto" w:fill="FFFFFF"/>
        <w:snapToGrid w:val="0"/>
        <w:spacing w:line="440" w:lineRule="atLeast"/>
        <w:jc w:val="left"/>
        <w:rPr>
          <w:rStyle w:val="21"/>
          <w:rFonts w:hint="eastAsia" w:ascii="宋体" w:hAnsi="宋体" w:eastAsia="宋体" w:cs="宋体"/>
          <w:b/>
          <w:bCs/>
          <w:color w:val="000000" w:themeColor="text1"/>
          <w:kern w:val="0"/>
          <w:sz w:val="24"/>
          <w14:textFill>
            <w14:solidFill>
              <w14:schemeClr w14:val="tx1"/>
            </w14:solidFill>
          </w14:textFill>
        </w:rPr>
      </w:pPr>
      <w:r>
        <w:rPr>
          <w:rStyle w:val="21"/>
          <w:rFonts w:hint="eastAsia" w:ascii="宋体" w:hAnsi="宋体" w:eastAsia="宋体" w:cs="宋体"/>
          <w:b/>
          <w:bCs/>
          <w:color w:val="000000" w:themeColor="text1"/>
          <w:kern w:val="0"/>
          <w:sz w:val="24"/>
          <w14:textFill>
            <w14:solidFill>
              <w14:schemeClr w14:val="tx1"/>
            </w14:solidFill>
          </w14:textFill>
        </w:rPr>
        <w:t>依法缴纳税收和社会保障资金的相关材料</w:t>
      </w:r>
      <w:r>
        <w:rPr>
          <w:rStyle w:val="21"/>
          <w:rFonts w:hint="eastAsia" w:ascii="宋体" w:hAnsi="宋体" w:eastAsia="宋体" w:cs="宋体"/>
          <w:b/>
          <w:bCs/>
          <w:color w:val="000000" w:themeColor="text1"/>
          <w:kern w:val="0"/>
          <w:sz w:val="24"/>
          <w:lang w:eastAsia="zh-CN"/>
          <w14:textFill>
            <w14:solidFill>
              <w14:schemeClr w14:val="tx1"/>
            </w14:solidFill>
          </w14:textFill>
        </w:rPr>
        <w:t>【</w:t>
      </w:r>
      <w:r>
        <w:rPr>
          <w:rFonts w:hint="eastAsia" w:ascii="宋体" w:hAnsi="宋体" w:cs="宋体"/>
          <w:b w:val="0"/>
          <w:bCs/>
          <w:color w:val="auto"/>
          <w:sz w:val="24"/>
          <w:highlight w:val="none"/>
          <w:lang w:val="en-US" w:eastAsia="zh-CN"/>
        </w:rPr>
        <w:t>提供提交响应文件截止时间前一年内至少一个月依法缴纳税收及缴纳社会保障资金的证明材料。供应商依法享受缓缴、免缴税收、社会保障资金的提供证明材料</w:t>
      </w:r>
      <w:r>
        <w:rPr>
          <w:rStyle w:val="21"/>
          <w:rFonts w:hint="eastAsia" w:ascii="宋体" w:hAnsi="宋体" w:eastAsia="宋体" w:cs="宋体"/>
          <w:b/>
          <w:bCs/>
          <w:color w:val="000000" w:themeColor="text1"/>
          <w:kern w:val="0"/>
          <w:sz w:val="24"/>
          <w:lang w:eastAsia="zh-CN"/>
          <w14:textFill>
            <w14:solidFill>
              <w14:schemeClr w14:val="tx1"/>
            </w14:solidFill>
          </w14:textFill>
        </w:rPr>
        <w:t>】</w:t>
      </w:r>
      <w:r>
        <w:rPr>
          <w:rStyle w:val="21"/>
          <w:rFonts w:hint="eastAsia" w:ascii="宋体" w:hAnsi="宋体" w:eastAsia="宋体" w:cs="宋体"/>
          <w:b/>
          <w:bCs/>
          <w:color w:val="000000" w:themeColor="text1"/>
          <w:kern w:val="0"/>
          <w:sz w:val="24"/>
          <w14:textFill>
            <w14:solidFill>
              <w14:schemeClr w14:val="tx1"/>
            </w14:solidFill>
          </w14:textFill>
        </w:rPr>
        <w:t>；</w:t>
      </w:r>
    </w:p>
    <w:p w14:paraId="03E55D81">
      <w:pPr>
        <w:numPr>
          <w:ilvl w:val="0"/>
          <w:numId w:val="2"/>
        </w:numPr>
        <w:shd w:val="clear" w:color="auto" w:fill="FFFFFF"/>
        <w:snapToGrid w:val="0"/>
        <w:spacing w:line="440" w:lineRule="atLeast"/>
        <w:jc w:val="left"/>
        <w:rPr>
          <w:rStyle w:val="21"/>
          <w:rFonts w:hint="eastAsia" w:ascii="宋体" w:hAnsi="宋体" w:eastAsia="宋体" w:cs="宋体"/>
          <w:b/>
          <w:bCs/>
          <w:color w:val="000000" w:themeColor="text1"/>
          <w:kern w:val="0"/>
          <w:sz w:val="24"/>
          <w14:textFill>
            <w14:solidFill>
              <w14:schemeClr w14:val="tx1"/>
            </w14:solidFill>
          </w14:textFill>
        </w:rPr>
      </w:pPr>
      <w:r>
        <w:rPr>
          <w:rStyle w:val="21"/>
          <w:rFonts w:hint="eastAsia" w:ascii="宋体" w:hAnsi="宋体" w:eastAsia="宋体" w:cs="宋体"/>
          <w:b/>
          <w:bCs/>
          <w:color w:val="000000" w:themeColor="text1"/>
          <w:kern w:val="0"/>
          <w:sz w:val="24"/>
          <w14:textFill>
            <w14:solidFill>
              <w14:schemeClr w14:val="tx1"/>
            </w14:solidFill>
          </w14:textFill>
        </w:rPr>
        <w:t>具备履行合同所必需的设备和专业技术能力的书面声明；</w:t>
      </w:r>
    </w:p>
    <w:p w14:paraId="2D0D6A98">
      <w:pPr>
        <w:numPr>
          <w:ilvl w:val="0"/>
          <w:numId w:val="0"/>
        </w:numPr>
        <w:shd w:val="clear" w:color="auto" w:fill="FFFFFF"/>
        <w:snapToGrid w:val="0"/>
        <w:spacing w:line="440" w:lineRule="atLeast"/>
        <w:jc w:val="left"/>
        <w:rPr>
          <w:rStyle w:val="21"/>
          <w:rFonts w:hint="eastAsia" w:ascii="宋体" w:hAnsi="宋体" w:eastAsia="宋体" w:cs="宋体"/>
          <w:b w:val="0"/>
          <w:bCs w:val="0"/>
          <w:color w:val="000000" w:themeColor="text1"/>
          <w:kern w:val="0"/>
          <w:sz w:val="24"/>
          <w:lang w:val="en-US" w:eastAsia="zh-CN"/>
          <w14:textFill>
            <w14:solidFill>
              <w14:schemeClr w14:val="tx1"/>
            </w14:solidFill>
          </w14:textFill>
        </w:rPr>
      </w:pPr>
      <w:r>
        <w:rPr>
          <w:rStyle w:val="21"/>
          <w:rFonts w:hint="eastAsia" w:ascii="宋体" w:hAnsi="宋体" w:eastAsia="宋体" w:cs="宋体"/>
          <w:b/>
          <w:bCs/>
          <w:color w:val="000000" w:themeColor="text1"/>
          <w:kern w:val="0"/>
          <w:sz w:val="24"/>
          <w:lang w:val="en-US" w:eastAsia="zh-CN"/>
          <w14:textFill>
            <w14:solidFill>
              <w14:schemeClr w14:val="tx1"/>
            </w14:solidFill>
          </w14:textFill>
        </w:rPr>
        <w:t xml:space="preserve">      </w:t>
      </w:r>
      <w:r>
        <w:rPr>
          <w:rStyle w:val="21"/>
          <w:rFonts w:hint="eastAsia" w:ascii="宋体" w:hAnsi="宋体" w:eastAsia="宋体" w:cs="宋体"/>
          <w:b w:val="0"/>
          <w:bCs w:val="0"/>
          <w:color w:val="000000" w:themeColor="text1"/>
          <w:kern w:val="0"/>
          <w:sz w:val="24"/>
          <w:lang w:val="en-US" w:eastAsia="zh-CN"/>
          <w14:textFill>
            <w14:solidFill>
              <w14:schemeClr w14:val="tx1"/>
            </w14:solidFill>
          </w14:textFill>
        </w:rPr>
        <w:t>我单位郑重声明：我单位具备履行本项采购合同所必需的设备和专业技术能力，为履行本项采购合同我公司具备如下主要设备和主要专业技术能力：</w:t>
      </w:r>
    </w:p>
    <w:p w14:paraId="7C3A2697">
      <w:pPr>
        <w:numPr>
          <w:ilvl w:val="0"/>
          <w:numId w:val="0"/>
        </w:numPr>
        <w:shd w:val="clear" w:color="auto" w:fill="FFFFFF"/>
        <w:snapToGrid w:val="0"/>
        <w:spacing w:line="440" w:lineRule="atLeast"/>
        <w:jc w:val="left"/>
        <w:rPr>
          <w:rFonts w:hint="eastAsia" w:ascii="宋体" w:hAnsi="宋体" w:eastAsia="宋体" w:cs="宋体"/>
          <w:b w:val="0"/>
          <w:bCs w:val="0"/>
          <w:color w:val="auto"/>
          <w:sz w:val="24"/>
          <w:highlight w:val="none"/>
        </w:rPr>
      </w:pPr>
      <w:r>
        <w:rPr>
          <w:rStyle w:val="21"/>
          <w:rFonts w:hint="eastAsia" w:ascii="宋体" w:hAnsi="宋体" w:eastAsia="宋体" w:cs="宋体"/>
          <w:b w:val="0"/>
          <w:bCs w:val="0"/>
          <w:color w:val="000000" w:themeColor="text1"/>
          <w:kern w:val="0"/>
          <w:sz w:val="24"/>
          <w:lang w:val="en-US" w:eastAsia="zh-CN"/>
          <w14:textFill>
            <w14:solidFill>
              <w14:schemeClr w14:val="tx1"/>
            </w14:solidFill>
          </w14:textFill>
        </w:rPr>
        <w:t xml:space="preserve">     主要设备有</w:t>
      </w:r>
      <w:r>
        <w:rPr>
          <w:rStyle w:val="21"/>
          <w:rFonts w:hint="eastAsia" w:ascii="宋体" w:hAnsi="宋体" w:eastAsia="宋体" w:cs="宋体"/>
          <w:b w:val="0"/>
          <w:bCs w:val="0"/>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rPr>
        <w:t>；</w:t>
      </w:r>
    </w:p>
    <w:p w14:paraId="243D5A5D">
      <w:pPr>
        <w:numPr>
          <w:ilvl w:val="0"/>
          <w:numId w:val="0"/>
        </w:numPr>
        <w:shd w:val="clear" w:color="auto" w:fill="FFFFFF"/>
        <w:snapToGrid w:val="0"/>
        <w:spacing w:line="440" w:lineRule="atLeast"/>
        <w:jc w:val="left"/>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 xml:space="preserve">     主要专业技术能力有：</w:t>
      </w:r>
      <w:r>
        <w:rPr>
          <w:rStyle w:val="21"/>
          <w:rFonts w:hint="eastAsia" w:ascii="宋体" w:hAnsi="宋体" w:eastAsia="宋体" w:cs="宋体"/>
          <w:b/>
          <w:bCs/>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b w:val="0"/>
          <w:bCs/>
          <w:color w:val="auto"/>
          <w:sz w:val="24"/>
          <w:highlight w:val="none"/>
        </w:rPr>
        <w:t>；</w:t>
      </w:r>
    </w:p>
    <w:p w14:paraId="60F53A32">
      <w:pPr>
        <w:numPr>
          <w:ilvl w:val="0"/>
          <w:numId w:val="0"/>
        </w:numPr>
        <w:shd w:val="clear" w:color="auto" w:fill="FFFFFF"/>
        <w:snapToGrid w:val="0"/>
        <w:spacing w:line="440" w:lineRule="atLeast"/>
        <w:jc w:val="left"/>
        <w:rPr>
          <w:rFonts w:hint="default" w:ascii="宋体" w:hAnsi="宋体" w:eastAsia="宋体" w:cs="宋体"/>
          <w:b w:val="0"/>
          <w:bCs/>
          <w:color w:val="auto"/>
          <w:sz w:val="24"/>
          <w:highlight w:val="none"/>
          <w:lang w:val="en-US" w:eastAsia="zh-CN"/>
        </w:rPr>
      </w:pPr>
    </w:p>
    <w:p w14:paraId="1094FB5B">
      <w:pPr>
        <w:shd w:val="clear" w:color="auto" w:fill="FFFFFF"/>
        <w:snapToGrid w:val="0"/>
        <w:spacing w:line="440" w:lineRule="atLeast"/>
        <w:jc w:val="left"/>
        <w:rPr>
          <w:rStyle w:val="21"/>
          <w:rFonts w:hint="eastAsia" w:ascii="宋体" w:hAnsi="宋体" w:eastAsia="宋体" w:cs="宋体"/>
          <w:b/>
          <w:bCs/>
          <w:color w:val="000000" w:themeColor="text1"/>
          <w:kern w:val="0"/>
          <w:sz w:val="24"/>
          <w:lang w:val="en-US" w:eastAsia="zh-CN"/>
          <w14:textFill>
            <w14:solidFill>
              <w14:schemeClr w14:val="tx1"/>
            </w14:solidFill>
          </w14:textFill>
        </w:rPr>
      </w:pPr>
    </w:p>
    <w:p w14:paraId="2F372924">
      <w:pPr>
        <w:pStyle w:val="13"/>
        <w:spacing w:beforeAutospacing="0" w:afterAutospacing="0"/>
        <w:jc w:val="both"/>
        <w:rPr>
          <w:rStyle w:val="21"/>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Style w:val="21"/>
          <w:rFonts w:hint="eastAsia" w:ascii="宋体" w:hAnsi="宋体" w:eastAsia="宋体" w:cs="宋体"/>
          <w:b/>
          <w:bCs/>
          <w:color w:val="000000" w:themeColor="text1"/>
          <w:kern w:val="0"/>
          <w:sz w:val="24"/>
          <w:szCs w:val="24"/>
          <w:lang w:val="en-US" w:eastAsia="zh-CN" w:bidi="ar-SA"/>
          <w14:textFill>
            <w14:solidFill>
              <w14:schemeClr w14:val="tx1"/>
            </w14:solidFill>
          </w14:textFill>
        </w:rPr>
        <w:t>八、参加采购活动前 3 年内在经营活动中没有重大违法记录的书面声明</w:t>
      </w:r>
    </w:p>
    <w:p w14:paraId="59A60A88">
      <w:pPr>
        <w:pStyle w:val="13"/>
        <w:spacing w:beforeAutospacing="0" w:afterAutospacing="0" w:line="0" w:lineRule="atLeast"/>
        <w:jc w:val="center"/>
        <w:rPr>
          <w:highlight w:val="none"/>
        </w:rPr>
      </w:pPr>
      <w:r>
        <w:rPr>
          <w:rFonts w:hint="eastAsia" w:ascii="宋体" w:hAnsi="宋体" w:eastAsia="宋体" w:cs="宋体"/>
          <w:b/>
          <w:color w:val="000000"/>
          <w:sz w:val="44"/>
          <w:szCs w:val="44"/>
          <w:highlight w:val="none"/>
        </w:rPr>
        <w:t>声  明</w:t>
      </w:r>
    </w:p>
    <w:p w14:paraId="67DA5206">
      <w:pPr>
        <w:pStyle w:val="13"/>
        <w:spacing w:beforeAutospacing="0" w:afterAutospacing="0" w:line="0" w:lineRule="atLeast"/>
        <w:jc w:val="both"/>
        <w:rPr>
          <w:highlight w:val="none"/>
        </w:rPr>
      </w:pPr>
      <w:r>
        <w:rPr>
          <w:rFonts w:hint="eastAsia" w:ascii="宋体" w:hAnsi="宋体" w:eastAsia="宋体" w:cs="宋体"/>
          <w:b/>
          <w:color w:val="000000"/>
          <w:highlight w:val="none"/>
        </w:rPr>
        <w:t xml:space="preserve">    </w:t>
      </w:r>
      <w:r>
        <w:rPr>
          <w:rFonts w:hint="eastAsia" w:ascii="宋体" w:hAnsi="宋体" w:eastAsia="宋体" w:cs="宋体"/>
          <w:color w:val="000000"/>
          <w:highlight w:val="none"/>
        </w:rPr>
        <w:t>我单位郑重声明：参加本次采购活动前 3 年内，我单位在经营活动中没有因违法经营受到刑事处罚或者责令停产停业、吊销许可证或者执照、较大数额罚款等行政处罚。</w:t>
      </w:r>
    </w:p>
    <w:p w14:paraId="41AA5A01">
      <w:pPr>
        <w:rPr>
          <w:rStyle w:val="21"/>
          <w:rFonts w:ascii="宋体" w:hAnsi="宋体" w:cs="宋体"/>
          <w:b/>
          <w:color w:val="000000" w:themeColor="text1"/>
          <w:sz w:val="40"/>
          <w:szCs w:val="40"/>
          <w:lang w:val="zh-CN"/>
          <w14:textFill>
            <w14:solidFill>
              <w14:schemeClr w14:val="tx1"/>
            </w14:solidFill>
          </w14:textFill>
        </w:rPr>
      </w:pPr>
    </w:p>
    <w:p w14:paraId="00C1C50D">
      <w:pPr>
        <w:pStyle w:val="13"/>
        <w:spacing w:beforeAutospacing="0" w:afterAutospacing="0"/>
        <w:jc w:val="both"/>
        <w:rPr>
          <w:rStyle w:val="21"/>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Style w:val="21"/>
          <w:rFonts w:hint="eastAsia" w:ascii="宋体" w:hAnsi="宋体" w:eastAsia="宋体" w:cs="宋体"/>
          <w:b/>
          <w:bCs/>
          <w:color w:val="000000" w:themeColor="text1"/>
          <w:kern w:val="0"/>
          <w:sz w:val="24"/>
          <w:szCs w:val="24"/>
          <w:lang w:val="en-US" w:eastAsia="zh-CN" w:bidi="ar-SA"/>
          <w14:textFill>
            <w14:solidFill>
              <w14:schemeClr w14:val="tx1"/>
            </w14:solidFill>
          </w14:textFill>
        </w:rPr>
        <w:t>九、特定资格要求的证明文件</w:t>
      </w:r>
    </w:p>
    <w:p w14:paraId="22575355">
      <w:pPr>
        <w:pStyle w:val="13"/>
        <w:spacing w:beforeAutospacing="0" w:afterAutospacing="0" w:line="0" w:lineRule="atLeast"/>
        <w:jc w:val="both"/>
        <w:rPr>
          <w:rFonts w:hint="eastAsia" w:ascii="宋体" w:hAnsi="宋体" w:eastAsia="宋体" w:cs="宋体"/>
          <w:color w:val="000000"/>
          <w:highlight w:val="none"/>
        </w:rPr>
      </w:pPr>
      <w:r>
        <w:rPr>
          <w:rFonts w:hint="eastAsia" w:ascii="宋体" w:hAnsi="宋体" w:eastAsia="宋体" w:cs="宋体"/>
          <w:color w:val="000000"/>
          <w:highlight w:val="none"/>
        </w:rPr>
        <w:t>  </w:t>
      </w:r>
      <w:r>
        <w:rPr>
          <w:rStyle w:val="21"/>
          <w:rFonts w:hint="eastAsia" w:ascii="宋体" w:hAnsi="宋体" w:eastAsia="宋体" w:cs="宋体"/>
          <w:b/>
          <w:bCs/>
          <w:color w:val="000000" w:themeColor="text1"/>
          <w:kern w:val="0"/>
          <w:sz w:val="24"/>
          <w14:textFill>
            <w14:solidFill>
              <w14:schemeClr w14:val="tx1"/>
            </w14:solidFill>
          </w14:textFill>
        </w:rPr>
        <w:t>项目负责人和授权代理人</w:t>
      </w:r>
      <w:r>
        <w:rPr>
          <w:rStyle w:val="21"/>
          <w:rFonts w:hint="eastAsia" w:cs="宋体"/>
          <w:b/>
          <w:bCs/>
          <w:color w:val="000000" w:themeColor="text1"/>
          <w:kern w:val="0"/>
          <w:sz w:val="24"/>
          <w:lang w:eastAsia="zh-CN"/>
          <w14:textFill>
            <w14:solidFill>
              <w14:schemeClr w14:val="tx1"/>
            </w14:solidFill>
          </w14:textFill>
        </w:rPr>
        <w:t>（</w:t>
      </w:r>
      <w:r>
        <w:rPr>
          <w:rStyle w:val="21"/>
          <w:rFonts w:hint="eastAsia" w:cs="宋体"/>
          <w:b/>
          <w:bCs/>
          <w:color w:val="000000" w:themeColor="text1"/>
          <w:kern w:val="0"/>
          <w:sz w:val="24"/>
          <w:lang w:val="en-US" w:eastAsia="zh-CN"/>
          <w14:textFill>
            <w14:solidFill>
              <w14:schemeClr w14:val="tx1"/>
            </w14:solidFill>
          </w14:textFill>
        </w:rPr>
        <w:t>如有</w:t>
      </w:r>
      <w:r>
        <w:rPr>
          <w:rStyle w:val="21"/>
          <w:rFonts w:hint="eastAsia" w:cs="宋体"/>
          <w:b/>
          <w:bCs/>
          <w:color w:val="000000" w:themeColor="text1"/>
          <w:kern w:val="0"/>
          <w:sz w:val="24"/>
          <w:lang w:eastAsia="zh-CN"/>
          <w14:textFill>
            <w14:solidFill>
              <w14:schemeClr w14:val="tx1"/>
            </w14:solidFill>
          </w14:textFill>
        </w:rPr>
        <w:t>）</w:t>
      </w:r>
      <w:r>
        <w:rPr>
          <w:rStyle w:val="21"/>
          <w:rFonts w:hint="eastAsia" w:ascii="宋体" w:hAnsi="宋体" w:eastAsia="宋体" w:cs="宋体"/>
          <w:b/>
          <w:bCs/>
          <w:color w:val="000000" w:themeColor="text1"/>
          <w:kern w:val="0"/>
          <w:sz w:val="24"/>
          <w14:textFill>
            <w14:solidFill>
              <w14:schemeClr w14:val="tx1"/>
            </w14:solidFill>
          </w14:textFill>
        </w:rPr>
        <w:t>须提供由本单位向相关部门缴纳的社保证明（参保证明需注明缴费起止时间且加盖社保部门有效章印，否则不予认可）必须提供</w:t>
      </w:r>
      <w:r>
        <w:rPr>
          <w:rStyle w:val="21"/>
          <w:rFonts w:hint="eastAsia" w:ascii="宋体" w:hAnsi="宋体" w:eastAsia="宋体" w:cs="宋体"/>
          <w:b/>
          <w:bCs/>
          <w:color w:val="000000" w:themeColor="text1"/>
          <w:kern w:val="0"/>
          <w:sz w:val="24"/>
          <w:lang w:val="en-US" w:eastAsia="zh-CN"/>
          <w14:textFill>
            <w14:solidFill>
              <w14:schemeClr w14:val="tx1"/>
            </w14:solidFill>
          </w14:textFill>
        </w:rPr>
        <w:t>证明彩色扫描件</w:t>
      </w:r>
      <w:r>
        <w:rPr>
          <w:rStyle w:val="21"/>
          <w:rFonts w:hint="eastAsia" w:ascii="宋体" w:hAnsi="宋体" w:cs="宋体"/>
          <w:b/>
          <w:bCs/>
          <w:color w:val="000000" w:themeColor="text1"/>
          <w:kern w:val="0"/>
          <w:sz w:val="24"/>
          <w:lang w:val="en-US" w:eastAsia="zh-CN"/>
          <w14:textFill>
            <w14:solidFill>
              <w14:schemeClr w14:val="tx1"/>
            </w14:solidFill>
          </w14:textFill>
        </w:rPr>
        <w:t>，</w:t>
      </w:r>
    </w:p>
    <w:p w14:paraId="628E71D8">
      <w:pPr>
        <w:pStyle w:val="13"/>
        <w:spacing w:beforeAutospacing="0" w:afterAutospacing="0" w:line="0" w:lineRule="atLeast"/>
        <w:ind w:firstLine="480" w:firstLineChars="200"/>
        <w:jc w:val="both"/>
        <w:rPr>
          <w:rFonts w:hint="default" w:ascii="宋体" w:hAnsi="宋体" w:eastAsia="宋体" w:cs="宋体"/>
          <w:color w:val="000000"/>
          <w:highlight w:val="none"/>
          <w:lang w:val="en-US" w:eastAsia="zh-CN"/>
        </w:rPr>
      </w:pPr>
      <w:r>
        <w:rPr>
          <w:rFonts w:hint="eastAsia" w:cs="宋体"/>
          <w:color w:val="000000"/>
          <w:highlight w:val="none"/>
          <w:lang w:val="en-US" w:eastAsia="zh-CN"/>
        </w:rPr>
        <w:t>授权代理人（如有）如是退休人员，提供劳动合同和企业支付的6个月薪酬证明。</w:t>
      </w:r>
    </w:p>
    <w:p w14:paraId="4026E99D">
      <w:pPr>
        <w:pStyle w:val="13"/>
        <w:spacing w:beforeAutospacing="0" w:afterAutospacing="0" w:line="0" w:lineRule="atLeast"/>
        <w:ind w:firstLine="480" w:firstLineChars="200"/>
        <w:jc w:val="both"/>
        <w:rPr>
          <w:rFonts w:hint="default" w:eastAsia="宋体"/>
          <w:highlight w:val="none"/>
          <w:lang w:val="en-US" w:eastAsia="zh-CN"/>
        </w:rPr>
      </w:pPr>
      <w:r>
        <w:rPr>
          <w:rFonts w:hint="eastAsia" w:cs="宋体"/>
          <w:color w:val="000000"/>
          <w:highlight w:val="none"/>
          <w:lang w:val="en-US" w:eastAsia="zh-CN"/>
        </w:rPr>
        <w:t>信用中国网站查询截图加盖单位公章彩色扫描件</w:t>
      </w:r>
    </w:p>
    <w:p w14:paraId="599321A7">
      <w:pPr>
        <w:rPr>
          <w:rStyle w:val="21"/>
          <w:rFonts w:ascii="宋体" w:hAnsi="宋体" w:cs="宋体"/>
          <w:b/>
          <w:color w:val="000000" w:themeColor="text1"/>
          <w:sz w:val="40"/>
          <w:szCs w:val="40"/>
          <w:lang w:val="zh-CN"/>
          <w14:textFill>
            <w14:solidFill>
              <w14:schemeClr w14:val="tx1"/>
            </w14:solidFill>
          </w14:textFill>
        </w:rPr>
      </w:pPr>
    </w:p>
    <w:p w14:paraId="7634EB60">
      <w:pPr>
        <w:rPr>
          <w:rStyle w:val="21"/>
          <w:rFonts w:ascii="宋体" w:hAnsi="宋体" w:cs="宋体"/>
          <w:b/>
          <w:color w:val="000000" w:themeColor="text1"/>
          <w:sz w:val="40"/>
          <w:szCs w:val="40"/>
          <w:lang w:val="zh-CN"/>
          <w14:textFill>
            <w14:solidFill>
              <w14:schemeClr w14:val="tx1"/>
            </w14:solidFill>
          </w14:textFill>
        </w:rPr>
      </w:pPr>
    </w:p>
    <w:p w14:paraId="2084CDC2">
      <w:pPr>
        <w:rPr>
          <w:rStyle w:val="21"/>
          <w:rFonts w:ascii="宋体" w:hAnsi="宋体" w:cs="宋体"/>
          <w:b/>
          <w:color w:val="000000" w:themeColor="text1"/>
          <w:sz w:val="40"/>
          <w:szCs w:val="40"/>
          <w:lang w:val="zh-CN"/>
          <w14:textFill>
            <w14:solidFill>
              <w14:schemeClr w14:val="tx1"/>
            </w14:solidFill>
          </w14:textFill>
        </w:rPr>
      </w:pPr>
    </w:p>
    <w:p w14:paraId="48501C44">
      <w:pPr>
        <w:rPr>
          <w:rStyle w:val="21"/>
          <w:rFonts w:ascii="宋体" w:hAnsi="宋体" w:cs="宋体"/>
          <w:b/>
          <w:color w:val="000000" w:themeColor="text1"/>
          <w:sz w:val="40"/>
          <w:szCs w:val="40"/>
          <w:lang w:val="zh-CN"/>
          <w14:textFill>
            <w14:solidFill>
              <w14:schemeClr w14:val="tx1"/>
            </w14:solidFill>
          </w14:textFill>
        </w:rPr>
      </w:pPr>
    </w:p>
    <w:p w14:paraId="6C77B540">
      <w:pPr>
        <w:rPr>
          <w:rStyle w:val="21"/>
          <w:rFonts w:ascii="宋体" w:hAnsi="宋体" w:cs="宋体"/>
          <w:b/>
          <w:color w:val="000000" w:themeColor="text1"/>
          <w:sz w:val="40"/>
          <w:szCs w:val="40"/>
          <w:lang w:val="zh-CN"/>
          <w14:textFill>
            <w14:solidFill>
              <w14:schemeClr w14:val="tx1"/>
            </w14:solidFill>
          </w14:textFill>
        </w:rPr>
      </w:pPr>
    </w:p>
    <w:p w14:paraId="66C8F152">
      <w:pPr>
        <w:keepNext w:val="0"/>
        <w:keepLines w:val="0"/>
        <w:numPr>
          <w:ilvl w:val="0"/>
          <w:numId w:val="0"/>
        </w:numPr>
        <w:kinsoku/>
        <w:overflowPunct/>
        <w:topLinePunct w:val="0"/>
        <w:bidi w:val="0"/>
        <w:spacing w:beforeAutospacing="0" w:afterAutospacing="0"/>
        <w:jc w:val="both"/>
        <w:textAlignment w:val="auto"/>
        <w:outlineLvl w:val="1"/>
        <w:rPr>
          <w:rFonts w:hint="default" w:ascii="宋体" w:hAnsi="宋体" w:eastAsia="宋体" w:cs="宋体"/>
          <w:color w:val="auto"/>
          <w:sz w:val="36"/>
          <w:szCs w:val="36"/>
          <w:highlight w:val="none"/>
          <w:lang w:val="en-US" w:eastAsia="zh-CN"/>
        </w:rPr>
        <w:sectPr>
          <w:pgSz w:w="11905" w:h="16838"/>
          <w:pgMar w:top="896" w:right="1009" w:bottom="828" w:left="1009" w:header="0" w:footer="0" w:gutter="0"/>
          <w:cols w:space="0" w:num="1"/>
          <w:rtlGutter w:val="0"/>
          <w:docGrid w:linePitch="421" w:charSpace="0"/>
        </w:sectPr>
      </w:pPr>
      <w:r>
        <w:rPr>
          <w:rFonts w:hint="eastAsia" w:ascii="宋体" w:hAnsi="宋体" w:cs="宋体"/>
          <w:color w:val="auto"/>
          <w:sz w:val="36"/>
          <w:szCs w:val="36"/>
          <w:highlight w:val="none"/>
          <w:lang w:val="en-US" w:eastAsia="zh-CN"/>
        </w:rPr>
        <w:t xml:space="preserve"> </w:t>
      </w:r>
    </w:p>
    <w:p w14:paraId="7E8412F8">
      <w:pPr>
        <w:keepNext w:val="0"/>
        <w:keepLines w:val="0"/>
        <w:numPr>
          <w:ilvl w:val="0"/>
          <w:numId w:val="0"/>
        </w:numPr>
        <w:kinsoku/>
        <w:overflowPunct/>
        <w:topLinePunct w:val="0"/>
        <w:bidi w:val="0"/>
        <w:spacing w:beforeAutospacing="0" w:afterAutospacing="0"/>
        <w:ind w:firstLine="5400" w:firstLineChars="1500"/>
        <w:jc w:val="both"/>
        <w:textAlignment w:val="auto"/>
        <w:outlineLvl w:val="1"/>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十、清单报价明细表</w:t>
      </w:r>
    </w:p>
    <w:p w14:paraId="6D2B5EA1">
      <w:pPr>
        <w:spacing w:before="127" w:line="226" w:lineRule="auto"/>
        <w:ind w:left="2622" w:firstLine="1897" w:firstLineChars="500"/>
        <w:outlineLvl w:val="0"/>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b/>
          <w:bCs/>
          <w:spacing w:val="9"/>
          <w:sz w:val="36"/>
          <w:szCs w:val="36"/>
          <w:highlight w:val="none"/>
        </w:rPr>
        <w:t>响水工业经济区绿化养护</w:t>
      </w:r>
      <w:r>
        <w:rPr>
          <w:rFonts w:hint="eastAsia" w:asciiTheme="majorEastAsia" w:hAnsiTheme="majorEastAsia" w:eastAsiaTheme="majorEastAsia" w:cstheme="majorEastAsia"/>
          <w:b/>
          <w:bCs/>
          <w:spacing w:val="9"/>
          <w:sz w:val="36"/>
          <w:szCs w:val="36"/>
          <w:highlight w:val="none"/>
          <w:lang w:val="en-US" w:eastAsia="zh-CN"/>
        </w:rPr>
        <w:t>服务</w:t>
      </w:r>
      <w:r>
        <w:rPr>
          <w:rFonts w:hint="eastAsia" w:asciiTheme="majorEastAsia" w:hAnsiTheme="majorEastAsia" w:eastAsiaTheme="majorEastAsia" w:cstheme="majorEastAsia"/>
          <w:b/>
          <w:bCs/>
          <w:spacing w:val="9"/>
          <w:sz w:val="36"/>
          <w:szCs w:val="36"/>
          <w:highlight w:val="none"/>
        </w:rPr>
        <w:t>费用</w:t>
      </w:r>
      <w:r>
        <w:rPr>
          <w:rFonts w:hint="eastAsia" w:asciiTheme="majorEastAsia" w:hAnsiTheme="majorEastAsia" w:eastAsiaTheme="majorEastAsia" w:cstheme="majorEastAsia"/>
          <w:b/>
          <w:bCs/>
          <w:spacing w:val="9"/>
          <w:sz w:val="36"/>
          <w:szCs w:val="36"/>
          <w:highlight w:val="none"/>
          <w:lang w:val="en-US" w:eastAsia="zh-CN"/>
        </w:rPr>
        <w:t>报价</w:t>
      </w:r>
      <w:r>
        <w:rPr>
          <w:rFonts w:hint="eastAsia" w:asciiTheme="majorEastAsia" w:hAnsiTheme="majorEastAsia" w:eastAsiaTheme="majorEastAsia" w:cstheme="majorEastAsia"/>
          <w:b/>
          <w:bCs/>
          <w:spacing w:val="9"/>
          <w:sz w:val="36"/>
          <w:szCs w:val="36"/>
          <w:highlight w:val="none"/>
        </w:rPr>
        <w:t>表</w:t>
      </w:r>
    </w:p>
    <w:p w14:paraId="7F1AE956">
      <w:pPr>
        <w:spacing w:line="173" w:lineRule="exact"/>
        <w:rPr>
          <w:rFonts w:hint="eastAsia" w:asciiTheme="majorEastAsia" w:hAnsiTheme="majorEastAsia" w:eastAsiaTheme="majorEastAsia" w:cstheme="majorEastAsia"/>
          <w:sz w:val="20"/>
          <w:szCs w:val="22"/>
        </w:rPr>
      </w:pPr>
    </w:p>
    <w:tbl>
      <w:tblPr>
        <w:tblStyle w:val="37"/>
        <w:tblW w:w="153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2"/>
        <w:gridCol w:w="1965"/>
        <w:gridCol w:w="1575"/>
        <w:gridCol w:w="1770"/>
        <w:gridCol w:w="1785"/>
        <w:gridCol w:w="2265"/>
        <w:gridCol w:w="1770"/>
        <w:gridCol w:w="3180"/>
      </w:tblGrid>
      <w:tr w14:paraId="46DE4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052" w:type="dxa"/>
            <w:noWrap w:val="0"/>
            <w:vAlign w:val="top"/>
          </w:tcPr>
          <w:p w14:paraId="7A57E8FF">
            <w:pPr>
              <w:widowControl w:val="0"/>
              <w:autoSpaceDE w:val="0"/>
              <w:autoSpaceDN w:val="0"/>
              <w:spacing w:before="350" w:line="203" w:lineRule="auto"/>
              <w:ind w:firstLine="227" w:firstLineChars="100"/>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1965" w:type="dxa"/>
            <w:noWrap w:val="0"/>
            <w:vAlign w:val="top"/>
          </w:tcPr>
          <w:p w14:paraId="42FC0BB7">
            <w:pPr>
              <w:widowControl w:val="0"/>
              <w:autoSpaceDE w:val="0"/>
              <w:autoSpaceDN w:val="0"/>
              <w:spacing w:before="351" w:line="202" w:lineRule="auto"/>
              <w:ind w:firstLine="207" w:firstLineChars="100"/>
              <w:rPr>
                <w:rFonts w:hint="eastAsia" w:ascii="宋体" w:hAnsi="宋体" w:eastAsia="宋体" w:cs="宋体"/>
                <w:sz w:val="24"/>
                <w:szCs w:val="24"/>
              </w:rPr>
            </w:pPr>
            <w:r>
              <w:rPr>
                <w:rFonts w:hint="eastAsia" w:ascii="宋体" w:hAnsi="宋体" w:eastAsia="宋体" w:cs="宋体"/>
                <w:b/>
                <w:bCs/>
                <w:spacing w:val="-17"/>
                <w:sz w:val="24"/>
                <w:szCs w:val="24"/>
              </w:rPr>
              <w:t>项</w:t>
            </w:r>
            <w:r>
              <w:rPr>
                <w:rFonts w:hint="eastAsia" w:ascii="宋体" w:hAnsi="宋体" w:eastAsia="宋体" w:cs="宋体"/>
                <w:b/>
                <w:bCs/>
                <w:spacing w:val="-17"/>
                <w:sz w:val="24"/>
                <w:szCs w:val="24"/>
                <w:lang w:val="en-US" w:eastAsia="zh-CN"/>
              </w:rPr>
              <w:t xml:space="preserve"> </w:t>
            </w:r>
            <w:r>
              <w:rPr>
                <w:rFonts w:hint="eastAsia" w:ascii="宋体" w:hAnsi="宋体" w:eastAsia="宋体" w:cs="宋体"/>
                <w:b/>
                <w:bCs/>
                <w:spacing w:val="-17"/>
                <w:sz w:val="24"/>
                <w:szCs w:val="24"/>
              </w:rPr>
              <w:t>目</w:t>
            </w:r>
            <w:r>
              <w:rPr>
                <w:rFonts w:hint="eastAsia" w:ascii="宋体" w:hAnsi="宋体" w:eastAsia="宋体" w:cs="宋体"/>
                <w:b/>
                <w:bCs/>
                <w:spacing w:val="-17"/>
                <w:sz w:val="24"/>
                <w:szCs w:val="24"/>
                <w:lang w:val="en-US" w:eastAsia="zh-CN"/>
              </w:rPr>
              <w:t xml:space="preserve"> </w:t>
            </w:r>
            <w:r>
              <w:rPr>
                <w:rFonts w:hint="eastAsia" w:ascii="宋体" w:hAnsi="宋体" w:eastAsia="宋体" w:cs="宋体"/>
                <w:b/>
                <w:bCs/>
                <w:spacing w:val="-17"/>
                <w:sz w:val="24"/>
                <w:szCs w:val="24"/>
              </w:rPr>
              <w:t>名</w:t>
            </w:r>
            <w:r>
              <w:rPr>
                <w:rFonts w:hint="eastAsia" w:ascii="宋体" w:hAnsi="宋体" w:eastAsia="宋体" w:cs="宋体"/>
                <w:b/>
                <w:bCs/>
                <w:spacing w:val="-17"/>
                <w:sz w:val="24"/>
                <w:szCs w:val="24"/>
                <w:lang w:val="en-US" w:eastAsia="zh-CN"/>
              </w:rPr>
              <w:t xml:space="preserve"> </w:t>
            </w:r>
            <w:r>
              <w:rPr>
                <w:rFonts w:hint="eastAsia" w:ascii="宋体" w:hAnsi="宋体" w:eastAsia="宋体" w:cs="宋体"/>
                <w:b/>
                <w:bCs/>
                <w:spacing w:val="-17"/>
                <w:sz w:val="24"/>
                <w:szCs w:val="24"/>
              </w:rPr>
              <w:t>称</w:t>
            </w:r>
          </w:p>
        </w:tc>
        <w:tc>
          <w:tcPr>
            <w:tcW w:w="1575" w:type="dxa"/>
            <w:noWrap w:val="0"/>
            <w:vAlign w:val="top"/>
          </w:tcPr>
          <w:p w14:paraId="3A2F8936">
            <w:pPr>
              <w:widowControl w:val="0"/>
              <w:autoSpaceDE w:val="0"/>
              <w:autoSpaceDN w:val="0"/>
              <w:spacing w:before="350" w:line="198" w:lineRule="auto"/>
              <w:ind w:left="159"/>
              <w:rPr>
                <w:rFonts w:hint="eastAsia" w:ascii="宋体" w:hAnsi="宋体" w:eastAsia="宋体" w:cs="宋体"/>
                <w:sz w:val="24"/>
                <w:szCs w:val="24"/>
              </w:rPr>
            </w:pPr>
            <w:r>
              <w:rPr>
                <w:rFonts w:hint="eastAsia" w:ascii="宋体" w:hAnsi="宋体" w:eastAsia="宋体" w:cs="宋体"/>
                <w:b/>
                <w:bCs/>
                <w:spacing w:val="1"/>
                <w:sz w:val="24"/>
                <w:szCs w:val="24"/>
              </w:rPr>
              <w:t>数量（人）</w:t>
            </w:r>
          </w:p>
        </w:tc>
        <w:tc>
          <w:tcPr>
            <w:tcW w:w="1770" w:type="dxa"/>
            <w:noWrap w:val="0"/>
            <w:vAlign w:val="top"/>
          </w:tcPr>
          <w:p w14:paraId="3F66BAF4">
            <w:pPr>
              <w:widowControl w:val="0"/>
              <w:autoSpaceDE w:val="0"/>
              <w:autoSpaceDN w:val="0"/>
              <w:spacing w:before="1" w:line="197" w:lineRule="auto"/>
              <w:ind w:left="125"/>
              <w:rPr>
                <w:rFonts w:hint="eastAsia" w:ascii="宋体" w:hAnsi="宋体" w:eastAsia="宋体" w:cs="宋体"/>
                <w:b/>
                <w:bCs/>
                <w:spacing w:val="-4"/>
                <w:sz w:val="24"/>
                <w:szCs w:val="24"/>
              </w:rPr>
            </w:pPr>
          </w:p>
          <w:p w14:paraId="33F61333">
            <w:pPr>
              <w:widowControl w:val="0"/>
              <w:autoSpaceDE w:val="0"/>
              <w:autoSpaceDN w:val="0"/>
              <w:spacing w:before="1" w:line="197" w:lineRule="auto"/>
              <w:ind w:left="125" w:firstLine="233" w:firstLineChars="100"/>
              <w:rPr>
                <w:rFonts w:hint="eastAsia" w:ascii="宋体" w:hAnsi="宋体" w:eastAsia="宋体" w:cs="宋体"/>
                <w:sz w:val="24"/>
                <w:szCs w:val="24"/>
              </w:rPr>
            </w:pPr>
            <w:r>
              <w:rPr>
                <w:rFonts w:hint="eastAsia" w:ascii="宋体" w:hAnsi="宋体" w:eastAsia="宋体" w:cs="宋体"/>
                <w:b/>
                <w:bCs/>
                <w:spacing w:val="-4"/>
                <w:sz w:val="24"/>
                <w:szCs w:val="24"/>
              </w:rPr>
              <w:t>需求天数</w:t>
            </w:r>
          </w:p>
        </w:tc>
        <w:tc>
          <w:tcPr>
            <w:tcW w:w="1785" w:type="dxa"/>
            <w:noWrap w:val="0"/>
            <w:vAlign w:val="top"/>
          </w:tcPr>
          <w:p w14:paraId="45EECA9B">
            <w:pPr>
              <w:widowControl w:val="0"/>
              <w:autoSpaceDE w:val="0"/>
              <w:autoSpaceDN w:val="0"/>
              <w:spacing w:before="186" w:line="165" w:lineRule="auto"/>
              <w:ind w:firstLine="450" w:firstLineChars="200"/>
              <w:rPr>
                <w:rFonts w:hint="eastAsia" w:ascii="宋体" w:hAnsi="宋体" w:eastAsia="宋体" w:cs="宋体"/>
                <w:b/>
                <w:bCs/>
                <w:spacing w:val="-8"/>
                <w:sz w:val="24"/>
                <w:szCs w:val="24"/>
              </w:rPr>
            </w:pPr>
            <w:r>
              <w:rPr>
                <w:rFonts w:hint="eastAsia" w:ascii="宋体" w:hAnsi="宋体" w:eastAsia="宋体" w:cs="宋体"/>
                <w:b/>
                <w:bCs/>
                <w:spacing w:val="-8"/>
                <w:sz w:val="24"/>
                <w:szCs w:val="24"/>
              </w:rPr>
              <w:t>单价</w:t>
            </w:r>
          </w:p>
          <w:p w14:paraId="29920A6B">
            <w:pPr>
              <w:widowControl w:val="0"/>
              <w:autoSpaceDE w:val="0"/>
              <w:autoSpaceDN w:val="0"/>
              <w:spacing w:before="186" w:line="165" w:lineRule="auto"/>
              <w:rPr>
                <w:rFonts w:hint="eastAsia" w:ascii="宋体" w:hAnsi="宋体" w:eastAsia="宋体" w:cs="宋体"/>
                <w:sz w:val="24"/>
                <w:szCs w:val="24"/>
              </w:rPr>
            </w:pPr>
            <w:r>
              <w:rPr>
                <w:rFonts w:hint="eastAsia" w:ascii="宋体" w:hAnsi="宋体" w:eastAsia="宋体" w:cs="宋体"/>
                <w:b/>
                <w:bCs/>
                <w:spacing w:val="-15"/>
                <w:w w:val="98"/>
                <w:sz w:val="24"/>
                <w:szCs w:val="24"/>
              </w:rPr>
              <w:t>（ 元/天/人）</w:t>
            </w:r>
          </w:p>
        </w:tc>
        <w:tc>
          <w:tcPr>
            <w:tcW w:w="2265" w:type="dxa"/>
            <w:noWrap w:val="0"/>
            <w:vAlign w:val="top"/>
          </w:tcPr>
          <w:p w14:paraId="3F4B4D6B">
            <w:pPr>
              <w:widowControl w:val="0"/>
              <w:autoSpaceDE w:val="0"/>
              <w:autoSpaceDN w:val="0"/>
              <w:spacing w:before="351" w:line="202" w:lineRule="auto"/>
              <w:ind w:left="594"/>
              <w:rPr>
                <w:rFonts w:hint="eastAsia" w:ascii="宋体" w:hAnsi="宋体" w:eastAsia="宋体" w:cs="宋体"/>
                <w:sz w:val="24"/>
                <w:szCs w:val="24"/>
              </w:rPr>
            </w:pPr>
            <w:r>
              <w:rPr>
                <w:rFonts w:hint="eastAsia" w:ascii="宋体" w:hAnsi="宋体" w:eastAsia="宋体" w:cs="宋体"/>
                <w:b/>
                <w:bCs/>
                <w:spacing w:val="-1"/>
                <w:sz w:val="24"/>
                <w:szCs w:val="24"/>
              </w:rPr>
              <w:t>计算公式</w:t>
            </w:r>
          </w:p>
        </w:tc>
        <w:tc>
          <w:tcPr>
            <w:tcW w:w="1770" w:type="dxa"/>
            <w:noWrap w:val="0"/>
            <w:vAlign w:val="top"/>
          </w:tcPr>
          <w:p w14:paraId="43A183EC">
            <w:pPr>
              <w:widowControl w:val="0"/>
              <w:autoSpaceDE w:val="0"/>
              <w:autoSpaceDN w:val="0"/>
              <w:spacing w:before="183" w:line="182" w:lineRule="auto"/>
              <w:ind w:right="155" w:firstLine="229" w:firstLineChars="100"/>
              <w:rPr>
                <w:rFonts w:hint="eastAsia" w:ascii="宋体" w:hAnsi="宋体" w:eastAsia="宋体" w:cs="宋体"/>
                <w:sz w:val="24"/>
                <w:szCs w:val="24"/>
              </w:rPr>
            </w:pPr>
            <w:r>
              <w:rPr>
                <w:rFonts w:hint="eastAsia" w:ascii="宋体" w:hAnsi="宋体" w:eastAsia="宋体" w:cs="宋体"/>
                <w:b/>
                <w:bCs/>
                <w:color w:val="FF0000"/>
                <w:spacing w:val="-6"/>
                <w:sz w:val="24"/>
                <w:szCs w:val="24"/>
                <w:lang w:val="en-US" w:eastAsia="zh-CN"/>
              </w:rPr>
              <w:t>小</w:t>
            </w:r>
            <w:r>
              <w:rPr>
                <w:rFonts w:hint="eastAsia" w:ascii="宋体" w:hAnsi="宋体" w:eastAsia="宋体" w:cs="宋体"/>
                <w:b/>
                <w:bCs/>
                <w:color w:val="FF0000"/>
                <w:spacing w:val="-6"/>
                <w:sz w:val="24"/>
                <w:szCs w:val="24"/>
              </w:rPr>
              <w:t>计</w:t>
            </w:r>
            <w:r>
              <w:rPr>
                <w:rFonts w:hint="eastAsia" w:ascii="宋体" w:hAnsi="宋体" w:eastAsia="宋体" w:cs="宋体"/>
                <w:b/>
                <w:bCs/>
                <w:color w:val="FF0000"/>
                <w:spacing w:val="-19"/>
                <w:w w:val="95"/>
                <w:sz w:val="24"/>
                <w:szCs w:val="24"/>
              </w:rPr>
              <w:t>（</w:t>
            </w:r>
            <w:r>
              <w:rPr>
                <w:rFonts w:hint="eastAsia" w:ascii="宋体" w:hAnsi="宋体" w:eastAsia="宋体" w:cs="宋体"/>
                <w:b/>
                <w:bCs/>
                <w:color w:val="FF0000"/>
                <w:spacing w:val="11"/>
                <w:sz w:val="24"/>
                <w:szCs w:val="24"/>
              </w:rPr>
              <w:t xml:space="preserve"> </w:t>
            </w:r>
            <w:r>
              <w:rPr>
                <w:rFonts w:hint="eastAsia" w:ascii="宋体" w:hAnsi="宋体" w:eastAsia="宋体" w:cs="宋体"/>
                <w:b/>
                <w:bCs/>
                <w:color w:val="FF0000"/>
                <w:spacing w:val="-19"/>
                <w:w w:val="95"/>
                <w:sz w:val="24"/>
                <w:szCs w:val="24"/>
              </w:rPr>
              <w:t>元</w:t>
            </w:r>
            <w:r>
              <w:rPr>
                <w:rFonts w:hint="eastAsia" w:ascii="宋体" w:hAnsi="宋体" w:eastAsia="宋体" w:cs="宋体"/>
                <w:b/>
                <w:bCs/>
                <w:color w:val="FF0000"/>
                <w:spacing w:val="-17"/>
                <w:sz w:val="24"/>
                <w:szCs w:val="24"/>
              </w:rPr>
              <w:t xml:space="preserve"> </w:t>
            </w:r>
            <w:r>
              <w:rPr>
                <w:rFonts w:hint="eastAsia" w:ascii="宋体" w:hAnsi="宋体" w:eastAsia="宋体" w:cs="宋体"/>
                <w:b/>
                <w:bCs/>
                <w:color w:val="FF0000"/>
                <w:spacing w:val="-19"/>
                <w:w w:val="95"/>
                <w:sz w:val="24"/>
                <w:szCs w:val="24"/>
              </w:rPr>
              <w:t>）</w:t>
            </w:r>
          </w:p>
        </w:tc>
        <w:tc>
          <w:tcPr>
            <w:tcW w:w="3180" w:type="dxa"/>
            <w:noWrap w:val="0"/>
            <w:vAlign w:val="top"/>
          </w:tcPr>
          <w:p w14:paraId="038AE338">
            <w:pPr>
              <w:widowControl w:val="0"/>
              <w:autoSpaceDE w:val="0"/>
              <w:autoSpaceDN w:val="0"/>
              <w:spacing w:before="352" w:line="203" w:lineRule="auto"/>
              <w:ind w:left="570"/>
              <w:rPr>
                <w:rFonts w:hint="eastAsia" w:ascii="宋体" w:hAnsi="宋体" w:eastAsia="宋体" w:cs="宋体"/>
                <w:sz w:val="24"/>
                <w:szCs w:val="24"/>
              </w:rPr>
            </w:pPr>
            <w:r>
              <w:rPr>
                <w:rFonts w:hint="eastAsia" w:ascii="宋体" w:hAnsi="宋体" w:eastAsia="宋体" w:cs="宋体"/>
                <w:b/>
                <w:bCs/>
                <w:spacing w:val="-5"/>
                <w:sz w:val="24"/>
                <w:szCs w:val="24"/>
              </w:rPr>
              <w:t>备注</w:t>
            </w:r>
          </w:p>
        </w:tc>
      </w:tr>
      <w:tr w14:paraId="63CB4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atLeast"/>
        </w:trPr>
        <w:tc>
          <w:tcPr>
            <w:tcW w:w="1052" w:type="dxa"/>
            <w:noWrap w:val="0"/>
            <w:vAlign w:val="top"/>
          </w:tcPr>
          <w:p w14:paraId="5FF440CC">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61E25DBD">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c>
          <w:tcPr>
            <w:tcW w:w="1965" w:type="dxa"/>
            <w:noWrap w:val="0"/>
            <w:vAlign w:val="top"/>
          </w:tcPr>
          <w:p w14:paraId="39160774">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0A74DEF8">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修剪工人工费</w:t>
            </w:r>
          </w:p>
        </w:tc>
        <w:tc>
          <w:tcPr>
            <w:tcW w:w="1575" w:type="dxa"/>
            <w:noWrap w:val="0"/>
            <w:vAlign w:val="top"/>
          </w:tcPr>
          <w:p w14:paraId="0876BE1C">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22D73A52">
            <w:pPr>
              <w:widowControl w:val="0"/>
              <w:numPr>
                <w:ilvl w:val="0"/>
                <w:numId w:val="0"/>
              </w:numPr>
              <w:autoSpaceDE w:val="0"/>
              <w:autoSpaceDN w:val="0"/>
              <w:spacing w:line="48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55</w:t>
            </w:r>
          </w:p>
        </w:tc>
        <w:tc>
          <w:tcPr>
            <w:tcW w:w="1770" w:type="dxa"/>
            <w:noWrap w:val="0"/>
            <w:vAlign w:val="top"/>
          </w:tcPr>
          <w:p w14:paraId="4F4B6EFF">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444AC91C">
            <w:pPr>
              <w:widowControl w:val="0"/>
              <w:numPr>
                <w:ilvl w:val="0"/>
                <w:numId w:val="0"/>
              </w:numPr>
              <w:autoSpaceDE w:val="0"/>
              <w:autoSpaceDN w:val="0"/>
              <w:spacing w:line="48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120</w:t>
            </w:r>
          </w:p>
        </w:tc>
        <w:tc>
          <w:tcPr>
            <w:tcW w:w="1785" w:type="dxa"/>
            <w:noWrap w:val="0"/>
            <w:vAlign w:val="top"/>
          </w:tcPr>
          <w:p w14:paraId="6395D2F4">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tc>
        <w:tc>
          <w:tcPr>
            <w:tcW w:w="2265" w:type="dxa"/>
            <w:noWrap w:val="0"/>
            <w:vAlign w:val="top"/>
          </w:tcPr>
          <w:p w14:paraId="7B37E6BA">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351DA3B5">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数量*单价*天数</w:t>
            </w:r>
          </w:p>
        </w:tc>
        <w:tc>
          <w:tcPr>
            <w:tcW w:w="1770" w:type="dxa"/>
            <w:noWrap w:val="0"/>
            <w:vAlign w:val="top"/>
          </w:tcPr>
          <w:p w14:paraId="1E20B1EB">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tc>
        <w:tc>
          <w:tcPr>
            <w:tcW w:w="3180" w:type="dxa"/>
            <w:noWrap w:val="0"/>
            <w:vAlign w:val="top"/>
          </w:tcPr>
          <w:p w14:paraId="433DAB15">
            <w:pPr>
              <w:widowControl w:val="0"/>
              <w:numPr>
                <w:ilvl w:val="0"/>
                <w:numId w:val="0"/>
              </w:numPr>
              <w:autoSpaceDE w:val="0"/>
              <w:autoSpaceDN w:val="0"/>
              <w:spacing w:line="480" w:lineRule="auto"/>
              <w:jc w:val="both"/>
              <w:rPr>
                <w:rFonts w:hint="eastAsia" w:ascii="Times New Roman" w:hAnsi="Times New Roman" w:eastAsia="宋体" w:cs="Times New Roman"/>
                <w:sz w:val="24"/>
                <w:szCs w:val="24"/>
                <w:lang w:val="en-US" w:eastAsia="zh-CN"/>
              </w:rPr>
            </w:pPr>
          </w:p>
          <w:p w14:paraId="3A9DB957">
            <w:pPr>
              <w:widowControl w:val="0"/>
              <w:numPr>
                <w:ilvl w:val="0"/>
                <w:numId w:val="0"/>
              </w:numPr>
              <w:autoSpaceDE w:val="0"/>
              <w:autoSpaceDN w:val="0"/>
              <w:spacing w:line="480" w:lineRule="auto"/>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包括机械打草 、修剪等</w:t>
            </w:r>
          </w:p>
        </w:tc>
      </w:tr>
      <w:tr w14:paraId="0A743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2" w:hRule="atLeast"/>
        </w:trPr>
        <w:tc>
          <w:tcPr>
            <w:tcW w:w="1052" w:type="dxa"/>
            <w:noWrap w:val="0"/>
            <w:vAlign w:val="top"/>
          </w:tcPr>
          <w:p w14:paraId="4AEE1E32">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4ED35869">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c>
          <w:tcPr>
            <w:tcW w:w="1965" w:type="dxa"/>
            <w:noWrap w:val="0"/>
            <w:vAlign w:val="top"/>
          </w:tcPr>
          <w:p w14:paraId="301DAEED">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4B911BAF">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杂工人工费</w:t>
            </w:r>
          </w:p>
        </w:tc>
        <w:tc>
          <w:tcPr>
            <w:tcW w:w="1575" w:type="dxa"/>
            <w:noWrap w:val="0"/>
            <w:vAlign w:val="top"/>
          </w:tcPr>
          <w:p w14:paraId="24336E66">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02DD950D">
            <w:pPr>
              <w:widowControl w:val="0"/>
              <w:numPr>
                <w:ilvl w:val="0"/>
                <w:numId w:val="0"/>
              </w:numPr>
              <w:autoSpaceDE w:val="0"/>
              <w:autoSpaceDN w:val="0"/>
              <w:spacing w:line="48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65</w:t>
            </w:r>
          </w:p>
        </w:tc>
        <w:tc>
          <w:tcPr>
            <w:tcW w:w="1770" w:type="dxa"/>
            <w:noWrap w:val="0"/>
            <w:vAlign w:val="top"/>
          </w:tcPr>
          <w:p w14:paraId="70D8A7BC">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6AC95666">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180</w:t>
            </w:r>
          </w:p>
        </w:tc>
        <w:tc>
          <w:tcPr>
            <w:tcW w:w="1785" w:type="dxa"/>
            <w:noWrap w:val="0"/>
            <w:vAlign w:val="top"/>
          </w:tcPr>
          <w:p w14:paraId="456B42D7">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tc>
        <w:tc>
          <w:tcPr>
            <w:tcW w:w="2265" w:type="dxa"/>
            <w:noWrap w:val="0"/>
            <w:vAlign w:val="top"/>
          </w:tcPr>
          <w:p w14:paraId="05D46C2F">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356E9F77">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数量*单价*天数</w:t>
            </w:r>
          </w:p>
        </w:tc>
        <w:tc>
          <w:tcPr>
            <w:tcW w:w="1770" w:type="dxa"/>
            <w:noWrap w:val="0"/>
            <w:vAlign w:val="top"/>
          </w:tcPr>
          <w:p w14:paraId="6A9100A3">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48347504">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tc>
        <w:tc>
          <w:tcPr>
            <w:tcW w:w="3180" w:type="dxa"/>
            <w:noWrap w:val="0"/>
            <w:vAlign w:val="top"/>
          </w:tcPr>
          <w:p w14:paraId="484E44ED">
            <w:pPr>
              <w:widowControl w:val="0"/>
              <w:numPr>
                <w:ilvl w:val="0"/>
                <w:numId w:val="0"/>
              </w:numPr>
              <w:autoSpaceDE w:val="0"/>
              <w:autoSpaceDN w:val="0"/>
              <w:spacing w:line="480" w:lineRule="auto"/>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包括除草、打药、浇水、运草等</w:t>
            </w:r>
          </w:p>
        </w:tc>
      </w:tr>
      <w:tr w14:paraId="01D2F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1052" w:type="dxa"/>
            <w:noWrap w:val="0"/>
            <w:vAlign w:val="top"/>
          </w:tcPr>
          <w:p w14:paraId="410E72F8">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30C0FB2B">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c>
        <w:tc>
          <w:tcPr>
            <w:tcW w:w="9360" w:type="dxa"/>
            <w:gridSpan w:val="5"/>
            <w:noWrap w:val="0"/>
            <w:vAlign w:val="top"/>
          </w:tcPr>
          <w:p w14:paraId="545A3BF0">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58803A9C">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1770" w:type="dxa"/>
            <w:noWrap w:val="0"/>
            <w:vAlign w:val="top"/>
          </w:tcPr>
          <w:p w14:paraId="77311638">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p w14:paraId="59CC4C34">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tc>
        <w:tc>
          <w:tcPr>
            <w:tcW w:w="3180" w:type="dxa"/>
            <w:noWrap w:val="0"/>
            <w:vAlign w:val="top"/>
          </w:tcPr>
          <w:p w14:paraId="025E20C2">
            <w:pPr>
              <w:widowControl w:val="0"/>
              <w:numPr>
                <w:ilvl w:val="0"/>
                <w:numId w:val="0"/>
              </w:numPr>
              <w:autoSpaceDE w:val="0"/>
              <w:autoSpaceDN w:val="0"/>
              <w:spacing w:line="480" w:lineRule="auto"/>
              <w:jc w:val="center"/>
              <w:rPr>
                <w:rFonts w:hint="eastAsia" w:ascii="Times New Roman" w:hAnsi="Times New Roman" w:eastAsia="宋体" w:cs="Times New Roman"/>
                <w:sz w:val="24"/>
                <w:szCs w:val="24"/>
                <w:lang w:val="en-US" w:eastAsia="zh-CN"/>
              </w:rPr>
            </w:pPr>
          </w:p>
        </w:tc>
      </w:tr>
    </w:tbl>
    <w:p w14:paraId="269B3E26">
      <w:pPr>
        <w:spacing w:before="88" w:line="222" w:lineRule="auto"/>
        <w:rPr>
          <w:rFonts w:ascii="仿宋" w:hAnsi="仿宋" w:eastAsia="仿宋" w:cs="仿宋"/>
          <w:spacing w:val="-1"/>
          <w:sz w:val="24"/>
          <w:szCs w:val="24"/>
        </w:rPr>
      </w:pPr>
    </w:p>
    <w:p w14:paraId="691DD520">
      <w:pPr>
        <w:widowControl w:val="0"/>
        <w:numPr>
          <w:ilvl w:val="0"/>
          <w:numId w:val="0"/>
        </w:numPr>
        <w:spacing w:line="480" w:lineRule="auto"/>
        <w:jc w:val="both"/>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注：1、拟投入的总人数为120人，其中修剪工人数55人，杂工人数65人；</w:t>
      </w:r>
    </w:p>
    <w:p w14:paraId="0CA92414">
      <w:pPr>
        <w:widowControl w:val="0"/>
        <w:numPr>
          <w:ilvl w:val="0"/>
          <w:numId w:val="0"/>
        </w:numPr>
        <w:spacing w:line="480" w:lineRule="auto"/>
        <w:jc w:val="both"/>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w:t>
      </w:r>
      <w:r>
        <w:rPr>
          <w:rFonts w:hint="eastAsia" w:ascii="Times New Roman" w:hAnsi="Times New Roman" w:eastAsia="宋体" w:cs="Times New Roman"/>
          <w:sz w:val="24"/>
          <w:szCs w:val="24"/>
          <w:lang w:val="en-US" w:eastAsia="zh-CN"/>
        </w:rPr>
        <w:t>、一年内工作频次要求：草坪修剪6次；色块灌木修剪6次；人工除草6次；打药4次；树木刷白1次；草花种植4次；抗旱灌水1次。</w:t>
      </w:r>
    </w:p>
    <w:p w14:paraId="36AA76C0">
      <w:pPr>
        <w:widowControl w:val="0"/>
        <w:numPr>
          <w:ilvl w:val="0"/>
          <w:numId w:val="0"/>
        </w:numPr>
        <w:spacing w:line="480" w:lineRule="auto"/>
        <w:jc w:val="both"/>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3</w:t>
      </w:r>
      <w:r>
        <w:rPr>
          <w:rFonts w:hint="eastAsia" w:ascii="Times New Roman" w:hAnsi="Times New Roman" w:eastAsia="宋体" w:cs="Times New Roman"/>
          <w:sz w:val="24"/>
          <w:szCs w:val="24"/>
          <w:lang w:val="en-US" w:eastAsia="zh-CN"/>
        </w:rPr>
        <w:t>、以上费用包含：人员工资、福利、社保、意外险费用；绿化机械、车辆、工具及燃油费；利润；税金等一切费用。</w:t>
      </w:r>
    </w:p>
    <w:p w14:paraId="698C5AEF">
      <w:pPr>
        <w:widowControl w:val="0"/>
        <w:numPr>
          <w:ilvl w:val="0"/>
          <w:numId w:val="0"/>
        </w:numPr>
        <w:spacing w:line="480" w:lineRule="auto"/>
        <w:jc w:val="both"/>
        <w:rPr>
          <w:rFonts w:hint="eastAsia" w:ascii="Times New Roman" w:hAnsi="Times New Roman" w:eastAsia="宋体" w:cs="Times New Roman"/>
          <w:sz w:val="24"/>
          <w:szCs w:val="24"/>
          <w:lang w:val="en-US" w:eastAsia="zh-CN"/>
        </w:rPr>
      </w:pPr>
    </w:p>
    <w:p w14:paraId="311932BC">
      <w:pPr>
        <w:widowControl w:val="0"/>
        <w:numPr>
          <w:ilvl w:val="0"/>
          <w:numId w:val="0"/>
        </w:numPr>
        <w:spacing w:line="480" w:lineRule="auto"/>
        <w:jc w:val="both"/>
        <w:rPr>
          <w:rFonts w:hint="eastAsia" w:ascii="Times New Roman" w:hAnsi="Times New Roman" w:eastAsia="宋体" w:cs="Times New Roman"/>
          <w:sz w:val="24"/>
          <w:szCs w:val="24"/>
          <w:lang w:val="en-US" w:eastAsia="zh-CN"/>
        </w:rPr>
      </w:pPr>
    </w:p>
    <w:p w14:paraId="6DA2188A">
      <w:pPr>
        <w:widowControl w:val="0"/>
        <w:numPr>
          <w:ilvl w:val="0"/>
          <w:numId w:val="0"/>
        </w:numPr>
        <w:spacing w:line="480" w:lineRule="auto"/>
        <w:jc w:val="both"/>
        <w:rPr>
          <w:rFonts w:hint="eastAsia" w:ascii="Times New Roman" w:hAnsi="Times New Roman" w:eastAsia="宋体" w:cs="Times New Roman"/>
          <w:sz w:val="24"/>
          <w:szCs w:val="24"/>
          <w:lang w:val="en-US" w:eastAsia="zh-CN"/>
        </w:rPr>
      </w:pPr>
    </w:p>
    <w:p w14:paraId="76FC20EC">
      <w:pPr>
        <w:widowControl w:val="0"/>
        <w:numPr>
          <w:ilvl w:val="0"/>
          <w:numId w:val="0"/>
        </w:numPr>
        <w:spacing w:line="480" w:lineRule="auto"/>
        <w:jc w:val="both"/>
        <w:rPr>
          <w:rFonts w:hint="eastAsia" w:ascii="Times New Roman" w:hAnsi="Times New Roman" w:eastAsia="宋体" w:cs="Times New Roman"/>
          <w:sz w:val="24"/>
          <w:szCs w:val="24"/>
          <w:lang w:val="en-US" w:eastAsia="zh-CN"/>
        </w:rPr>
        <w:sectPr>
          <w:pgSz w:w="16838" w:h="11905" w:orient="landscape"/>
          <w:pgMar w:top="1009" w:right="896" w:bottom="1009" w:left="828" w:header="0" w:footer="0" w:gutter="0"/>
          <w:cols w:space="0" w:num="1"/>
          <w:rtlGutter w:val="0"/>
          <w:docGrid w:linePitch="421" w:charSpace="0"/>
        </w:sectPr>
      </w:pPr>
    </w:p>
    <w:p w14:paraId="78975E3D">
      <w:pPr>
        <w:widowControl w:val="0"/>
        <w:numPr>
          <w:ilvl w:val="0"/>
          <w:numId w:val="0"/>
        </w:numPr>
        <w:spacing w:line="480" w:lineRule="auto"/>
        <w:jc w:val="both"/>
        <w:rPr>
          <w:rFonts w:hint="eastAsia" w:ascii="Times New Roman" w:hAnsi="Times New Roman" w:eastAsia="宋体" w:cs="Times New Roman"/>
          <w:sz w:val="24"/>
          <w:szCs w:val="24"/>
          <w:lang w:val="en-US" w:eastAsia="zh-CN"/>
        </w:rPr>
      </w:pPr>
    </w:p>
    <w:p w14:paraId="22D120AB">
      <w:pPr>
        <w:pStyle w:val="14"/>
        <w:keepNext w:val="0"/>
        <w:keepLines w:val="0"/>
        <w:numPr>
          <w:ilvl w:val="0"/>
          <w:numId w:val="0"/>
        </w:numPr>
        <w:kinsoku/>
        <w:overflowPunct/>
        <w:topLinePunct w:val="0"/>
        <w:bidi w:val="0"/>
        <w:spacing w:beforeAutospacing="0" w:after="0" w:afterAutospacing="0"/>
        <w:ind w:leftChars="0" w:firstLine="3935" w:firstLineChars="1400"/>
        <w:jc w:val="both"/>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十一、承诺函</w:t>
      </w:r>
    </w:p>
    <w:p w14:paraId="4D38E55F">
      <w:pPr>
        <w:widowControl w:val="0"/>
        <w:numPr>
          <w:ilvl w:val="0"/>
          <w:numId w:val="0"/>
        </w:numPr>
        <w:jc w:val="both"/>
        <w:rPr>
          <w:rFonts w:hint="eastAsia"/>
          <w:lang w:val="en-US" w:eastAsia="zh-CN"/>
        </w:rPr>
      </w:pPr>
      <w:r>
        <w:rPr>
          <w:rFonts w:hint="eastAsia"/>
          <w:lang w:val="en-US" w:eastAsia="zh-CN"/>
        </w:rPr>
        <w:t xml:space="preserve"> </w:t>
      </w:r>
    </w:p>
    <w:p w14:paraId="08E4BFD2">
      <w:pPr>
        <w:widowControl w:val="0"/>
        <w:numPr>
          <w:ilvl w:val="0"/>
          <w:numId w:val="0"/>
        </w:numPr>
        <w:jc w:val="both"/>
        <w:rPr>
          <w:rFonts w:hint="eastAsia"/>
          <w:sz w:val="32"/>
          <w:szCs w:val="40"/>
          <w:lang w:val="en-US" w:eastAsia="zh-CN"/>
        </w:rPr>
      </w:pPr>
    </w:p>
    <w:p w14:paraId="50D16BFB">
      <w:pPr>
        <w:widowControl w:val="0"/>
        <w:numPr>
          <w:ilvl w:val="0"/>
          <w:numId w:val="0"/>
        </w:numPr>
        <w:jc w:val="both"/>
        <w:rPr>
          <w:rFonts w:hint="eastAsia"/>
          <w:sz w:val="32"/>
          <w:szCs w:val="40"/>
          <w:lang w:val="en-US" w:eastAsia="zh-CN"/>
        </w:rPr>
      </w:pPr>
      <w:r>
        <w:rPr>
          <w:rFonts w:hint="eastAsia"/>
          <w:sz w:val="32"/>
          <w:szCs w:val="40"/>
          <w:lang w:val="en-US" w:eastAsia="zh-CN"/>
        </w:rPr>
        <w:t>致：采购人</w:t>
      </w:r>
    </w:p>
    <w:p w14:paraId="2CD7B01B">
      <w:pPr>
        <w:widowControl w:val="0"/>
        <w:numPr>
          <w:ilvl w:val="0"/>
          <w:numId w:val="0"/>
        </w:numPr>
        <w:jc w:val="both"/>
        <w:rPr>
          <w:rFonts w:hint="eastAsia"/>
          <w:sz w:val="32"/>
          <w:szCs w:val="40"/>
          <w:lang w:val="en-US" w:eastAsia="zh-CN"/>
        </w:rPr>
      </w:pPr>
    </w:p>
    <w:p w14:paraId="3688C878">
      <w:pPr>
        <w:widowControl w:val="0"/>
        <w:numPr>
          <w:ilvl w:val="0"/>
          <w:numId w:val="0"/>
        </w:numPr>
        <w:jc w:val="both"/>
        <w:rPr>
          <w:rFonts w:hint="eastAsia"/>
          <w:sz w:val="32"/>
          <w:szCs w:val="40"/>
          <w:lang w:val="en-US" w:eastAsia="zh-CN"/>
        </w:rPr>
      </w:pPr>
    </w:p>
    <w:p w14:paraId="4403D3A6">
      <w:pPr>
        <w:widowControl w:val="0"/>
        <w:numPr>
          <w:ilvl w:val="0"/>
          <w:numId w:val="0"/>
        </w:numPr>
        <w:jc w:val="both"/>
        <w:rPr>
          <w:rFonts w:hint="eastAsia"/>
          <w:sz w:val="32"/>
          <w:szCs w:val="40"/>
          <w:lang w:val="en-US" w:eastAsia="zh-CN"/>
        </w:rPr>
      </w:pPr>
      <w:r>
        <w:rPr>
          <w:rFonts w:hint="eastAsia"/>
          <w:sz w:val="32"/>
          <w:szCs w:val="40"/>
          <w:lang w:val="en-US" w:eastAsia="zh-CN"/>
        </w:rPr>
        <w:t xml:space="preserve">      我单位参与贵单位组织的</w:t>
      </w:r>
      <w:r>
        <w:rPr>
          <w:rFonts w:hint="eastAsia"/>
          <w:sz w:val="32"/>
          <w:szCs w:val="40"/>
          <w:u w:val="single"/>
          <w:lang w:val="en-US" w:eastAsia="zh-CN"/>
        </w:rPr>
        <w:t xml:space="preserve">              （项目编号：         ）</w:t>
      </w:r>
      <w:r>
        <w:rPr>
          <w:rFonts w:hint="eastAsia"/>
          <w:sz w:val="32"/>
          <w:szCs w:val="40"/>
          <w:lang w:val="en-US" w:eastAsia="zh-CN"/>
        </w:rPr>
        <w:t>的投标，已经认真仔细阅读招标文件，并承诺按照项目采购需求提供人员及设备服务，并无条件服从采购人的安排，达到采购人要求的服务标准。</w:t>
      </w:r>
    </w:p>
    <w:p w14:paraId="102A4A12">
      <w:pPr>
        <w:widowControl w:val="0"/>
        <w:numPr>
          <w:ilvl w:val="0"/>
          <w:numId w:val="0"/>
        </w:numPr>
        <w:jc w:val="both"/>
        <w:rPr>
          <w:rFonts w:hint="default"/>
          <w:sz w:val="32"/>
          <w:szCs w:val="40"/>
          <w:lang w:val="en-US" w:eastAsia="zh-CN"/>
        </w:rPr>
      </w:pPr>
      <w:r>
        <w:rPr>
          <w:rFonts w:hint="eastAsia"/>
          <w:sz w:val="32"/>
          <w:szCs w:val="40"/>
          <w:lang w:val="en-US" w:eastAsia="zh-CN"/>
        </w:rPr>
        <w:t xml:space="preserve"> 如有违反，一切后果本公司无条件承担。</w:t>
      </w:r>
    </w:p>
    <w:p w14:paraId="289F4A22">
      <w:pPr>
        <w:pStyle w:val="14"/>
        <w:keepNext w:val="0"/>
        <w:keepLines w:val="0"/>
        <w:kinsoku/>
        <w:overflowPunct/>
        <w:topLinePunct w:val="0"/>
        <w:bidi w:val="0"/>
        <w:spacing w:beforeAutospacing="0" w:after="0" w:afterAutospacing="0"/>
        <w:ind w:left="0" w:leftChars="0" w:firstLine="0" w:firstLineChars="0"/>
        <w:jc w:val="center"/>
        <w:textAlignment w:val="auto"/>
        <w:rPr>
          <w:rFonts w:hint="eastAsia" w:ascii="宋体" w:hAnsi="宋体" w:eastAsia="宋体" w:cs="宋体"/>
          <w:b/>
          <w:color w:val="auto"/>
          <w:sz w:val="28"/>
          <w:szCs w:val="28"/>
          <w:highlight w:val="none"/>
          <w:lang w:val="en-US" w:eastAsia="zh-CN"/>
        </w:rPr>
      </w:pPr>
    </w:p>
    <w:p w14:paraId="50EC4B35">
      <w:pPr>
        <w:pStyle w:val="14"/>
        <w:keepNext w:val="0"/>
        <w:keepLines w:val="0"/>
        <w:kinsoku/>
        <w:overflowPunct/>
        <w:topLinePunct w:val="0"/>
        <w:bidi w:val="0"/>
        <w:spacing w:beforeAutospacing="0" w:after="0" w:afterAutospacing="0"/>
        <w:ind w:left="0" w:leftChars="0" w:firstLine="0" w:firstLineChars="0"/>
        <w:jc w:val="center"/>
        <w:textAlignment w:val="auto"/>
        <w:rPr>
          <w:rFonts w:hint="eastAsia" w:ascii="宋体" w:hAnsi="宋体" w:eastAsia="宋体" w:cs="宋体"/>
          <w:b/>
          <w:color w:val="auto"/>
          <w:sz w:val="28"/>
          <w:szCs w:val="28"/>
          <w:highlight w:val="none"/>
          <w:lang w:val="en-US" w:eastAsia="zh-CN"/>
        </w:rPr>
      </w:pPr>
    </w:p>
    <w:p w14:paraId="25189CD2">
      <w:pPr>
        <w:rPr>
          <w:rFonts w:hint="eastAsia" w:ascii="宋体" w:hAnsi="宋体" w:eastAsia="宋体" w:cs="宋体"/>
          <w:b/>
          <w:color w:val="auto"/>
          <w:sz w:val="28"/>
          <w:szCs w:val="28"/>
          <w:highlight w:val="none"/>
          <w:lang w:val="en-US" w:eastAsia="zh-CN"/>
        </w:rPr>
      </w:pPr>
    </w:p>
    <w:p w14:paraId="6D092043">
      <w:pPr>
        <w:pStyle w:val="33"/>
        <w:rPr>
          <w:rFonts w:hint="eastAsia" w:ascii="宋体" w:hAnsi="宋体" w:eastAsia="宋体" w:cs="宋体"/>
          <w:b/>
          <w:color w:val="auto"/>
          <w:sz w:val="28"/>
          <w:szCs w:val="28"/>
          <w:highlight w:val="none"/>
          <w:lang w:val="en-US" w:eastAsia="zh-CN"/>
        </w:rPr>
      </w:pPr>
    </w:p>
    <w:p w14:paraId="6ADDF87D">
      <w:pPr>
        <w:rPr>
          <w:rFonts w:hint="eastAsia" w:ascii="宋体" w:hAnsi="宋体" w:eastAsia="宋体" w:cs="宋体"/>
          <w:b/>
          <w:color w:val="auto"/>
          <w:sz w:val="28"/>
          <w:szCs w:val="28"/>
          <w:highlight w:val="none"/>
          <w:lang w:val="en-US" w:eastAsia="zh-CN"/>
        </w:rPr>
      </w:pPr>
    </w:p>
    <w:p w14:paraId="0A310B9C">
      <w:pPr>
        <w:pStyle w:val="33"/>
        <w:rPr>
          <w:rFonts w:hint="eastAsia" w:ascii="宋体" w:hAnsi="宋体" w:eastAsia="宋体" w:cs="宋体"/>
          <w:b/>
          <w:color w:val="auto"/>
          <w:sz w:val="28"/>
          <w:szCs w:val="28"/>
          <w:highlight w:val="none"/>
          <w:lang w:val="en-US" w:eastAsia="zh-CN"/>
        </w:rPr>
      </w:pPr>
    </w:p>
    <w:p w14:paraId="206059F3">
      <w:pPr>
        <w:rPr>
          <w:rFonts w:hint="eastAsia" w:ascii="宋体" w:hAnsi="宋体" w:eastAsia="宋体" w:cs="宋体"/>
          <w:b/>
          <w:color w:val="auto"/>
          <w:sz w:val="28"/>
          <w:szCs w:val="28"/>
          <w:highlight w:val="none"/>
          <w:lang w:val="en-US" w:eastAsia="zh-CN"/>
        </w:rPr>
      </w:pPr>
    </w:p>
    <w:p w14:paraId="3BA150D6">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firstLine="4320" w:firstLineChars="18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供应商(盖章)：</w:t>
      </w:r>
    </w:p>
    <w:p w14:paraId="0BECF2BA">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firstLine="480" w:firstLineChars="200"/>
        <w:textAlignment w:val="auto"/>
        <w:rPr>
          <w:rFonts w:hint="eastAsia" w:ascii="宋体" w:hAnsi="宋体" w:eastAsia="宋体" w:cs="宋体"/>
          <w:color w:val="auto"/>
          <w:sz w:val="24"/>
          <w:highlight w:val="none"/>
          <w:lang w:val="zh-CN"/>
        </w:rPr>
      </w:pPr>
    </w:p>
    <w:p w14:paraId="483C865F">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firstLine="3360" w:firstLineChars="14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法定代表人或其授权代表(签字或盖章)：</w:t>
      </w:r>
    </w:p>
    <w:p w14:paraId="5F934B8C">
      <w:pPr>
        <w:pStyle w:val="33"/>
        <w:rPr>
          <w:rFonts w:hint="eastAsia" w:cs="宋体"/>
          <w:b/>
          <w:color w:val="auto"/>
          <w:sz w:val="28"/>
          <w:szCs w:val="28"/>
          <w:highlight w:val="none"/>
          <w:lang w:val="en-US" w:eastAsia="zh-CN"/>
        </w:rPr>
      </w:pPr>
      <w:r>
        <w:rPr>
          <w:rFonts w:hint="eastAsia" w:cs="宋体"/>
          <w:b/>
          <w:color w:val="auto"/>
          <w:sz w:val="28"/>
          <w:szCs w:val="28"/>
          <w:highlight w:val="none"/>
          <w:lang w:val="en-US" w:eastAsia="zh-CN"/>
        </w:rPr>
        <w:t xml:space="preserve">                     </w:t>
      </w:r>
    </w:p>
    <w:p w14:paraId="084D4B77">
      <w:pPr>
        <w:pStyle w:val="33"/>
        <w:ind w:firstLine="4216" w:firstLineChars="1500"/>
        <w:rPr>
          <w:rFonts w:hint="default" w:ascii="宋体" w:hAnsi="宋体" w:eastAsia="宋体" w:cs="宋体"/>
          <w:b/>
          <w:color w:val="auto"/>
          <w:sz w:val="28"/>
          <w:szCs w:val="28"/>
          <w:highlight w:val="none"/>
          <w:lang w:val="en-US" w:eastAsia="zh-CN"/>
        </w:rPr>
      </w:pPr>
      <w:r>
        <w:rPr>
          <w:rFonts w:hint="eastAsia" w:cs="宋体"/>
          <w:b/>
          <w:color w:val="auto"/>
          <w:sz w:val="28"/>
          <w:szCs w:val="28"/>
          <w:highlight w:val="none"/>
          <w:lang w:val="en-US" w:eastAsia="zh-CN"/>
        </w:rPr>
        <w:t xml:space="preserve">  年     月    日</w:t>
      </w:r>
    </w:p>
    <w:p w14:paraId="05F62BAE">
      <w:pPr>
        <w:rPr>
          <w:rFonts w:hint="eastAsia" w:ascii="宋体" w:hAnsi="宋体" w:eastAsia="宋体" w:cs="宋体"/>
          <w:b/>
          <w:color w:val="auto"/>
          <w:sz w:val="28"/>
          <w:szCs w:val="28"/>
          <w:highlight w:val="none"/>
          <w:lang w:val="en-US" w:eastAsia="zh-CN"/>
        </w:rPr>
      </w:pPr>
    </w:p>
    <w:p w14:paraId="46429447">
      <w:pPr>
        <w:snapToGrid w:val="0"/>
        <w:spacing w:line="460" w:lineRule="exact"/>
        <w:ind w:firstLine="560" w:firstLineChars="200"/>
        <w:rPr>
          <w:rStyle w:val="21"/>
          <w:rFonts w:ascii="宋体" w:hAnsi="宋体" w:cs="宋体"/>
          <w:color w:val="000000"/>
          <w:kern w:val="0"/>
          <w:sz w:val="28"/>
          <w:szCs w:val="28"/>
        </w:rPr>
      </w:pPr>
    </w:p>
    <w:p w14:paraId="197096C4">
      <w:pPr>
        <w:snapToGrid w:val="0"/>
        <w:spacing w:line="460" w:lineRule="exact"/>
        <w:ind w:firstLine="2520" w:firstLineChars="1050"/>
        <w:rPr>
          <w:rStyle w:val="21"/>
          <w:rFonts w:ascii="宋体" w:hAnsi="宋体" w:cs="宋体"/>
          <w:color w:val="000000"/>
          <w:kern w:val="0"/>
          <w:sz w:val="24"/>
        </w:rPr>
      </w:pPr>
    </w:p>
    <w:p w14:paraId="3576B6A5">
      <w:pPr>
        <w:spacing w:line="440" w:lineRule="exact"/>
        <w:jc w:val="center"/>
        <w:rPr>
          <w:rFonts w:ascii="宋体" w:hAnsi="宋体" w:cs="宋体"/>
          <w:b/>
          <w:color w:val="000000" w:themeColor="text1"/>
          <w:sz w:val="32"/>
          <w:szCs w:val="32"/>
          <w:lang w:val="zh-CN"/>
          <w14:textFill>
            <w14:solidFill>
              <w14:schemeClr w14:val="tx1"/>
            </w14:solidFill>
          </w14:textFill>
        </w:rPr>
      </w:pPr>
    </w:p>
    <w:p w14:paraId="3624F243">
      <w:pPr>
        <w:spacing w:line="440" w:lineRule="exact"/>
        <w:jc w:val="center"/>
        <w:rPr>
          <w:rFonts w:ascii="宋体" w:hAnsi="宋体" w:cs="宋体"/>
          <w:b/>
          <w:color w:val="000000" w:themeColor="text1"/>
          <w:sz w:val="32"/>
          <w:szCs w:val="32"/>
          <w:lang w:val="zh-CN"/>
          <w14:textFill>
            <w14:solidFill>
              <w14:schemeClr w14:val="tx1"/>
            </w14:solidFill>
          </w14:textFill>
        </w:rPr>
      </w:pPr>
    </w:p>
    <w:p w14:paraId="54A67DAB">
      <w:pPr>
        <w:spacing w:line="440" w:lineRule="exact"/>
        <w:jc w:val="center"/>
        <w:rPr>
          <w:rFonts w:ascii="宋体" w:hAnsi="宋体" w:cs="宋体"/>
          <w:b/>
          <w:color w:val="000000" w:themeColor="text1"/>
          <w:sz w:val="32"/>
          <w:szCs w:val="32"/>
          <w:lang w:val="zh-CN"/>
          <w14:textFill>
            <w14:solidFill>
              <w14:schemeClr w14:val="tx1"/>
            </w14:solidFill>
          </w14:textFill>
        </w:rPr>
      </w:pPr>
    </w:p>
    <w:p w14:paraId="2E3B021C">
      <w:pPr>
        <w:spacing w:line="440" w:lineRule="exact"/>
        <w:jc w:val="center"/>
        <w:rPr>
          <w:rFonts w:ascii="宋体" w:hAnsi="宋体" w:cs="宋体"/>
          <w:b/>
          <w:color w:val="000000" w:themeColor="text1"/>
          <w:sz w:val="32"/>
          <w:szCs w:val="32"/>
          <w:lang w:val="zh-CN"/>
          <w14:textFill>
            <w14:solidFill>
              <w14:schemeClr w14:val="tx1"/>
            </w14:solidFill>
          </w14:textFill>
        </w:rPr>
      </w:pPr>
    </w:p>
    <w:p w14:paraId="784E7A1F">
      <w:pPr>
        <w:spacing w:line="440" w:lineRule="exact"/>
        <w:jc w:val="center"/>
        <w:rPr>
          <w:rFonts w:ascii="宋体" w:hAnsi="宋体" w:cs="宋体"/>
          <w:b/>
          <w:color w:val="000000" w:themeColor="text1"/>
          <w:sz w:val="32"/>
          <w:szCs w:val="32"/>
          <w:lang w:val="zh-CN"/>
          <w14:textFill>
            <w14:solidFill>
              <w14:schemeClr w14:val="tx1"/>
            </w14:solidFill>
          </w14:textFill>
        </w:rPr>
      </w:pPr>
    </w:p>
    <w:p w14:paraId="55CB977E">
      <w:pPr>
        <w:spacing w:line="440" w:lineRule="exact"/>
        <w:jc w:val="center"/>
        <w:rPr>
          <w:rFonts w:ascii="宋体" w:hAnsi="宋体" w:cs="宋体"/>
          <w:b/>
          <w:color w:val="000000" w:themeColor="text1"/>
          <w:sz w:val="32"/>
          <w:szCs w:val="32"/>
          <w:lang w:val="zh-CN"/>
          <w14:textFill>
            <w14:solidFill>
              <w14:schemeClr w14:val="tx1"/>
            </w14:solidFill>
          </w14:textFill>
        </w:rPr>
      </w:pPr>
    </w:p>
    <w:p w14:paraId="7C6658BB">
      <w:pPr>
        <w:spacing w:line="440" w:lineRule="exact"/>
        <w:jc w:val="center"/>
        <w:rPr>
          <w:rFonts w:ascii="宋体" w:hAnsi="宋体" w:cs="宋体"/>
          <w:b/>
          <w:color w:val="000000" w:themeColor="text1"/>
          <w:sz w:val="32"/>
          <w:szCs w:val="32"/>
          <w:lang w:val="zh-CN"/>
          <w14:textFill>
            <w14:solidFill>
              <w14:schemeClr w14:val="tx1"/>
            </w14:solidFill>
          </w14:textFill>
        </w:rPr>
      </w:pPr>
    </w:p>
    <w:p w14:paraId="41ED67F9">
      <w:pPr>
        <w:spacing w:line="440" w:lineRule="exact"/>
        <w:jc w:val="center"/>
        <w:rPr>
          <w:rFonts w:ascii="宋体" w:hAnsi="宋体" w:cs="宋体"/>
          <w:b/>
          <w:color w:val="000000" w:themeColor="text1"/>
          <w:sz w:val="32"/>
          <w:szCs w:val="32"/>
          <w:lang w:val="zh-CN"/>
          <w14:textFill>
            <w14:solidFill>
              <w14:schemeClr w14:val="tx1"/>
            </w14:solidFill>
          </w14:textFill>
        </w:rPr>
      </w:pPr>
    </w:p>
    <w:p w14:paraId="410090DC">
      <w:pPr>
        <w:spacing w:line="440" w:lineRule="exact"/>
        <w:jc w:val="center"/>
        <w:rPr>
          <w:rFonts w:ascii="宋体" w:hAnsi="宋体" w:cs="宋体"/>
          <w:b/>
          <w:color w:val="000000" w:themeColor="text1"/>
          <w:sz w:val="32"/>
          <w:szCs w:val="32"/>
          <w:lang w:val="zh-CN"/>
          <w14:textFill>
            <w14:solidFill>
              <w14:schemeClr w14:val="tx1"/>
            </w14:solidFill>
          </w14:textFill>
        </w:rPr>
      </w:pPr>
    </w:p>
    <w:p w14:paraId="1505A3A2">
      <w:pPr>
        <w:spacing w:line="360" w:lineRule="auto"/>
        <w:rPr>
          <w:rFonts w:ascii="宋体" w:hAnsi="宋体" w:cs="宋体"/>
          <w:b/>
          <w:color w:val="000000" w:themeColor="text1"/>
          <w:sz w:val="28"/>
          <w:szCs w:val="28"/>
          <w14:textFill>
            <w14:solidFill>
              <w14:schemeClr w14:val="tx1"/>
            </w14:solidFill>
          </w14:textFill>
        </w:rPr>
      </w:pPr>
    </w:p>
    <w:p w14:paraId="7CA929F1">
      <w:pPr>
        <w:spacing w:beforeLines="25" w:afterLines="25"/>
        <w:jc w:val="center"/>
        <w:outlineLvl w:val="1"/>
        <w:rPr>
          <w:rFonts w:ascii="宋体" w:hAnsi="宋体" w:cs="宋体"/>
          <w:b/>
          <w:color w:val="000000" w:themeColor="text1"/>
          <w:sz w:val="28"/>
          <w:szCs w:val="28"/>
          <w14:textFill>
            <w14:solidFill>
              <w14:schemeClr w14:val="tx1"/>
            </w14:solidFill>
          </w14:textFill>
        </w:rPr>
      </w:pPr>
    </w:p>
    <w:p w14:paraId="062E7ECF">
      <w:pPr>
        <w:snapToGrid w:val="0"/>
        <w:spacing w:line="480" w:lineRule="auto"/>
        <w:jc w:val="center"/>
        <w:rPr>
          <w:rStyle w:val="21"/>
          <w:rFonts w:ascii="宋体" w:hAnsi="宋体" w:cs="宋体"/>
          <w:b/>
          <w:color w:val="000000" w:themeColor="text1"/>
          <w:sz w:val="36"/>
          <w:szCs w:val="36"/>
          <w:lang w:val="zh-CN"/>
          <w14:textFill>
            <w14:solidFill>
              <w14:schemeClr w14:val="tx1"/>
            </w14:solidFill>
          </w14:textFill>
        </w:rPr>
      </w:pPr>
      <w:r>
        <w:rPr>
          <w:rStyle w:val="21"/>
          <w:rFonts w:hint="eastAsia" w:ascii="宋体" w:hAnsi="宋体" w:cs="宋体"/>
          <w:b/>
          <w:color w:val="000000" w:themeColor="text1"/>
          <w:sz w:val="36"/>
          <w:szCs w:val="36"/>
          <w:lang w:val="en-US" w:eastAsia="zh-CN"/>
          <w14:textFill>
            <w14:solidFill>
              <w14:schemeClr w14:val="tx1"/>
            </w14:solidFill>
          </w14:textFill>
        </w:rPr>
        <w:t>十二</w:t>
      </w:r>
      <w:r>
        <w:rPr>
          <w:rStyle w:val="21"/>
          <w:rFonts w:hint="eastAsia" w:ascii="宋体" w:hAnsi="宋体" w:cs="宋体"/>
          <w:b/>
          <w:color w:val="000000" w:themeColor="text1"/>
          <w:sz w:val="36"/>
          <w:szCs w:val="36"/>
          <w:lang w:val="zh-CN"/>
          <w14:textFill>
            <w14:solidFill>
              <w14:schemeClr w14:val="tx1"/>
            </w14:solidFill>
          </w14:textFill>
        </w:rPr>
        <w:t>、竞争性谈判文件要求及供应商认为有必要提供并说明的其它资料</w:t>
      </w:r>
    </w:p>
    <w:p w14:paraId="620101A6">
      <w:pPr>
        <w:snapToGrid w:val="0"/>
        <w:spacing w:before="105" w:after="105"/>
        <w:jc w:val="center"/>
        <w:rPr>
          <w:rFonts w:ascii="宋体" w:hAnsi="宋体" w:cs="宋体"/>
          <w:b/>
          <w:color w:val="000000" w:themeColor="text1"/>
          <w:kern w:val="0"/>
          <w:sz w:val="32"/>
          <w:szCs w:val="32"/>
          <w:shd w:val="clear" w:color="auto" w:fill="FFFFFF"/>
          <w14:textFill>
            <w14:solidFill>
              <w14:schemeClr w14:val="tx1"/>
            </w14:solidFill>
          </w14:textFill>
        </w:rPr>
      </w:pPr>
      <w:r>
        <w:rPr>
          <w:rStyle w:val="21"/>
          <w:rFonts w:hint="eastAsia" w:ascii="宋体" w:hAnsi="宋体" w:cs="宋体"/>
          <w:b/>
          <w:color w:val="000000" w:themeColor="text1"/>
          <w:sz w:val="24"/>
          <w14:textFill>
            <w14:solidFill>
              <w14:schemeClr w14:val="tx1"/>
            </w14:solidFill>
          </w14:textFill>
        </w:rPr>
        <w:br w:type="page"/>
      </w:r>
    </w:p>
    <w:p w14:paraId="642F6A12">
      <w:pPr>
        <w:snapToGrid w:val="0"/>
        <w:spacing w:line="540" w:lineRule="exact"/>
        <w:rPr>
          <w:rStyle w:val="21"/>
          <w:rFonts w:ascii="宋体" w:hAnsi="宋体" w:cs="宋体"/>
          <w:b/>
          <w:color w:val="000000" w:themeColor="text1"/>
          <w:sz w:val="30"/>
          <w:szCs w:val="30"/>
          <w:lang w:val="zh-CN"/>
          <w14:textFill>
            <w14:solidFill>
              <w14:schemeClr w14:val="tx1"/>
            </w14:solidFill>
          </w14:textFill>
        </w:rPr>
      </w:pPr>
    </w:p>
    <w:p w14:paraId="6A84DE13">
      <w:pPr>
        <w:snapToGrid w:val="0"/>
        <w:jc w:val="center"/>
        <w:rPr>
          <w:rStyle w:val="21"/>
          <w:rFonts w:ascii="宋体" w:hAnsi="宋体" w:cs="宋体"/>
          <w:b/>
          <w:color w:val="000000" w:themeColor="text1"/>
          <w:sz w:val="40"/>
          <w:szCs w:val="40"/>
          <w14:textFill>
            <w14:solidFill>
              <w14:schemeClr w14:val="tx1"/>
            </w14:solidFill>
          </w14:textFill>
        </w:rPr>
      </w:pPr>
      <w:r>
        <w:rPr>
          <w:rStyle w:val="21"/>
          <w:rFonts w:hint="eastAsia" w:ascii="宋体" w:hAnsi="宋体" w:cs="宋体"/>
          <w:b/>
          <w:color w:val="000000" w:themeColor="text1"/>
          <w:sz w:val="40"/>
          <w:szCs w:val="40"/>
          <w14:textFill>
            <w14:solidFill>
              <w14:schemeClr w14:val="tx1"/>
            </w14:solidFill>
          </w14:textFill>
        </w:rPr>
        <w:t xml:space="preserve"> </w:t>
      </w:r>
      <w:r>
        <w:rPr>
          <w:rStyle w:val="21"/>
          <w:rFonts w:hint="eastAsia" w:ascii="宋体" w:hAnsi="宋体" w:cs="宋体"/>
          <w:b/>
          <w:color w:val="000000" w:themeColor="text1"/>
          <w:sz w:val="40"/>
          <w:szCs w:val="40"/>
          <w:lang w:val="en-US" w:eastAsia="zh-CN"/>
          <w14:textFill>
            <w14:solidFill>
              <w14:schemeClr w14:val="tx1"/>
            </w14:solidFill>
          </w14:textFill>
        </w:rPr>
        <w:t>十三</w:t>
      </w:r>
      <w:r>
        <w:rPr>
          <w:rStyle w:val="21"/>
          <w:rFonts w:hint="eastAsia" w:ascii="宋体" w:hAnsi="宋体" w:cs="宋体"/>
          <w:b/>
          <w:color w:val="000000" w:themeColor="text1"/>
          <w:sz w:val="40"/>
          <w:szCs w:val="40"/>
          <w14:textFill>
            <w14:solidFill>
              <w14:schemeClr w14:val="tx1"/>
            </w14:solidFill>
          </w14:textFill>
        </w:rPr>
        <w:t>、</w:t>
      </w:r>
      <w:r>
        <w:rPr>
          <w:rStyle w:val="21"/>
          <w:rFonts w:hint="eastAsia" w:ascii="宋体" w:hAnsi="宋体" w:cs="宋体"/>
          <w:b/>
          <w:color w:val="000000" w:themeColor="text1"/>
          <w:sz w:val="40"/>
          <w:szCs w:val="40"/>
          <w:lang w:val="zh-CN"/>
          <w14:textFill>
            <w14:solidFill>
              <w14:schemeClr w14:val="tx1"/>
            </w14:solidFill>
          </w14:textFill>
        </w:rPr>
        <w:t>第</w:t>
      </w:r>
      <w:r>
        <w:rPr>
          <w:rStyle w:val="21"/>
          <w:rFonts w:hint="eastAsia" w:ascii="宋体" w:hAnsi="宋体" w:cs="宋体"/>
          <w:b/>
          <w:color w:val="000000" w:themeColor="text1"/>
          <w:sz w:val="40"/>
          <w:szCs w:val="40"/>
          <w:u w:val="single"/>
          <w:lang w:val="en-US" w:eastAsia="zh-CN"/>
          <w14:textFill>
            <w14:solidFill>
              <w14:schemeClr w14:val="tx1"/>
            </w14:solidFill>
          </w14:textFill>
        </w:rPr>
        <w:t xml:space="preserve">   </w:t>
      </w:r>
      <w:r>
        <w:rPr>
          <w:rStyle w:val="21"/>
          <w:rFonts w:hint="eastAsia" w:ascii="宋体" w:hAnsi="宋体" w:cs="宋体"/>
          <w:b/>
          <w:color w:val="000000" w:themeColor="text1"/>
          <w:sz w:val="40"/>
          <w:szCs w:val="40"/>
          <w:lang w:val="zh-CN"/>
          <w14:textFill>
            <w14:solidFill>
              <w14:schemeClr w14:val="tx1"/>
            </w14:solidFill>
          </w14:textFill>
        </w:rPr>
        <w:t>轮谈判报价</w:t>
      </w:r>
      <w:r>
        <w:rPr>
          <w:rStyle w:val="21"/>
          <w:rFonts w:hint="eastAsia" w:ascii="宋体" w:hAnsi="宋体" w:cs="宋体"/>
          <w:b/>
          <w:color w:val="000000" w:themeColor="text1"/>
          <w:sz w:val="40"/>
          <w:szCs w:val="40"/>
          <w14:textFill>
            <w14:solidFill>
              <w14:schemeClr w14:val="tx1"/>
            </w14:solidFill>
          </w14:textFill>
        </w:rPr>
        <w:t>表</w:t>
      </w:r>
    </w:p>
    <w:p w14:paraId="15AC1243">
      <w:pPr>
        <w:snapToGrid w:val="0"/>
        <w:spacing w:line="300" w:lineRule="auto"/>
        <w:jc w:val="center"/>
        <w:rPr>
          <w:rStyle w:val="21"/>
          <w:rFonts w:ascii="宋体" w:hAnsi="宋体" w:cs="宋体"/>
          <w:color w:val="000000" w:themeColor="text1"/>
          <w:sz w:val="24"/>
          <w14:textFill>
            <w14:solidFill>
              <w14:schemeClr w14:val="tx1"/>
            </w14:solidFill>
          </w14:textFill>
        </w:rPr>
      </w:pPr>
    </w:p>
    <w:p w14:paraId="375375F0">
      <w:pPr>
        <w:snapToGrid w:val="0"/>
        <w:spacing w:line="300" w:lineRule="auto"/>
        <w:jc w:val="center"/>
        <w:rPr>
          <w:rStyle w:val="21"/>
          <w:rFonts w:ascii="宋体" w:hAnsi="宋体" w:cs="宋体"/>
          <w:color w:val="000000" w:themeColor="text1"/>
          <w:sz w:val="24"/>
          <w14:textFill>
            <w14:solidFill>
              <w14:schemeClr w14:val="tx1"/>
            </w14:solidFill>
          </w14:textFill>
        </w:rPr>
      </w:pPr>
    </w:p>
    <w:p w14:paraId="7C61B9B4">
      <w:pPr>
        <w:snapToGrid w:val="0"/>
        <w:spacing w:line="300" w:lineRule="auto"/>
        <w:ind w:firstLine="698" w:firstLineChars="291"/>
        <w:rPr>
          <w:rStyle w:val="21"/>
          <w:rFonts w:hint="eastAsia" w:ascii="宋体" w:hAnsi="宋体" w:eastAsia="宋体" w:cs="宋体"/>
          <w:bCs/>
          <w:color w:val="000000" w:themeColor="text1"/>
          <w:sz w:val="24"/>
          <w:u w:val="single" w:color="000000"/>
          <w:lang w:eastAsia="zh-CN"/>
          <w14:textFill>
            <w14:solidFill>
              <w14:schemeClr w14:val="tx1"/>
            </w14:solidFill>
          </w14:textFill>
        </w:rPr>
      </w:pPr>
      <w:r>
        <w:rPr>
          <w:rStyle w:val="21"/>
          <w:rFonts w:hint="eastAsia" w:ascii="宋体" w:hAnsi="宋体" w:cs="宋体"/>
          <w:bCs/>
          <w:color w:val="000000" w:themeColor="text1"/>
          <w:sz w:val="24"/>
          <w14:textFill>
            <w14:solidFill>
              <w14:schemeClr w14:val="tx1"/>
            </w14:solidFill>
          </w14:textFill>
        </w:rPr>
        <w:t>采 购 人：</w:t>
      </w:r>
      <w:r>
        <w:rPr>
          <w:rStyle w:val="21"/>
          <w:rFonts w:hint="eastAsia" w:ascii="宋体" w:hAnsi="宋体" w:cs="宋体"/>
          <w:bCs/>
          <w:color w:val="000000" w:themeColor="text1"/>
          <w:sz w:val="24"/>
          <w:lang w:eastAsia="zh-CN"/>
          <w14:textFill>
            <w14:solidFill>
              <w14:schemeClr w14:val="tx1"/>
            </w14:solidFill>
          </w14:textFill>
        </w:rPr>
        <w:t>响水县兴港物业管理有限公司</w:t>
      </w:r>
    </w:p>
    <w:p w14:paraId="365540B2">
      <w:pPr>
        <w:snapToGrid w:val="0"/>
        <w:spacing w:line="300" w:lineRule="auto"/>
        <w:ind w:firstLine="698" w:firstLineChars="291"/>
        <w:rPr>
          <w:rStyle w:val="21"/>
          <w:rFonts w:hint="eastAsia" w:ascii="宋体" w:hAnsi="宋体" w:eastAsia="宋体" w:cs="宋体"/>
          <w:color w:val="000000" w:themeColor="text1"/>
          <w:sz w:val="24"/>
          <w:lang w:eastAsia="zh-CN"/>
          <w14:textFill>
            <w14:solidFill>
              <w14:schemeClr w14:val="tx1"/>
            </w14:solidFill>
          </w14:textFill>
        </w:rPr>
      </w:pPr>
      <w:r>
        <w:rPr>
          <w:rStyle w:val="21"/>
          <w:rFonts w:hint="eastAsia" w:ascii="宋体" w:hAnsi="宋体" w:cs="宋体"/>
          <w:bCs/>
          <w:color w:val="000000" w:themeColor="text1"/>
          <w:sz w:val="24"/>
          <w14:textFill>
            <w14:solidFill>
              <w14:schemeClr w14:val="tx1"/>
            </w14:solidFill>
          </w14:textFill>
        </w:rPr>
        <w:t>项目名称：</w:t>
      </w:r>
      <w:r>
        <w:rPr>
          <w:rStyle w:val="21"/>
          <w:rFonts w:hint="eastAsia" w:ascii="宋体" w:hAnsi="宋体" w:cs="宋体"/>
          <w:bCs/>
          <w:color w:val="000000" w:themeColor="text1"/>
          <w:sz w:val="24"/>
          <w:lang w:eastAsia="zh-CN"/>
          <w14:textFill>
            <w14:solidFill>
              <w14:schemeClr w14:val="tx1"/>
            </w14:solidFill>
          </w14:textFill>
        </w:rPr>
        <w:t>响水工业经济区绿化养护服务项目</w:t>
      </w:r>
    </w:p>
    <w:p w14:paraId="51931780">
      <w:pPr>
        <w:pStyle w:val="4"/>
        <w:rPr>
          <w:rFonts w:ascii="宋体" w:hAnsi="宋体" w:cs="宋体"/>
          <w:color w:val="000000" w:themeColor="text1"/>
          <w:sz w:val="24"/>
          <w14:textFill>
            <w14:solidFill>
              <w14:schemeClr w14:val="tx1"/>
            </w14:solidFill>
          </w14:textFill>
        </w:rPr>
      </w:pPr>
    </w:p>
    <w:tbl>
      <w:tblPr>
        <w:tblStyle w:val="15"/>
        <w:tblW w:w="8500" w:type="dxa"/>
        <w:jc w:val="center"/>
        <w:tblLayout w:type="fixed"/>
        <w:tblCellMar>
          <w:top w:w="0" w:type="dxa"/>
          <w:left w:w="108" w:type="dxa"/>
          <w:bottom w:w="0" w:type="dxa"/>
          <w:right w:w="108" w:type="dxa"/>
        </w:tblCellMar>
      </w:tblPr>
      <w:tblGrid>
        <w:gridCol w:w="2630"/>
        <w:gridCol w:w="5870"/>
      </w:tblGrid>
      <w:tr w14:paraId="5B5A17AA">
        <w:tblPrEx>
          <w:tblCellMar>
            <w:top w:w="0" w:type="dxa"/>
            <w:left w:w="108" w:type="dxa"/>
            <w:bottom w:w="0" w:type="dxa"/>
            <w:right w:w="108" w:type="dxa"/>
          </w:tblCellMar>
        </w:tblPrEx>
        <w:trPr>
          <w:trHeight w:val="1031"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64DA1279">
            <w:pPr>
              <w:snapToGrid w:val="0"/>
              <w:spacing w:line="300" w:lineRule="auto"/>
              <w:ind w:firstLine="698" w:firstLineChars="291"/>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 xml:space="preserve"> 项目名称</w:t>
            </w:r>
          </w:p>
        </w:tc>
        <w:tc>
          <w:tcPr>
            <w:tcW w:w="5870" w:type="dxa"/>
            <w:tcBorders>
              <w:top w:val="single" w:color="000000" w:sz="4" w:space="0"/>
              <w:left w:val="single" w:color="auto" w:sz="4" w:space="0"/>
              <w:bottom w:val="single" w:color="000000" w:sz="4" w:space="0"/>
              <w:right w:val="single" w:color="000000" w:sz="4" w:space="0"/>
            </w:tcBorders>
            <w:vAlign w:val="center"/>
          </w:tcPr>
          <w:p w14:paraId="57EC47C7">
            <w:pPr>
              <w:snapToGrid w:val="0"/>
              <w:spacing w:line="300" w:lineRule="auto"/>
              <w:rPr>
                <w:rStyle w:val="21"/>
                <w:rFonts w:hint="eastAsia" w:ascii="宋体" w:hAnsi="宋体" w:eastAsia="宋体" w:cs="宋体"/>
                <w:color w:val="000000" w:themeColor="text1"/>
                <w:kern w:val="0"/>
                <w:sz w:val="24"/>
                <w:lang w:eastAsia="zh-CN"/>
                <w14:textFill>
                  <w14:solidFill>
                    <w14:schemeClr w14:val="tx1"/>
                  </w14:solidFill>
                </w14:textFill>
              </w:rPr>
            </w:pPr>
            <w:r>
              <w:rPr>
                <w:rStyle w:val="21"/>
                <w:rFonts w:hint="eastAsia" w:ascii="宋体" w:hAnsi="宋体" w:cs="宋体"/>
                <w:color w:val="000000" w:themeColor="text1"/>
                <w:kern w:val="0"/>
                <w:sz w:val="24"/>
                <w:lang w:eastAsia="zh-CN"/>
                <w14:textFill>
                  <w14:solidFill>
                    <w14:schemeClr w14:val="tx1"/>
                  </w14:solidFill>
                </w14:textFill>
              </w:rPr>
              <w:t>响水工业经济区绿化养护服务项目</w:t>
            </w:r>
          </w:p>
        </w:tc>
      </w:tr>
      <w:tr w14:paraId="35E6634B">
        <w:tblPrEx>
          <w:tblCellMar>
            <w:top w:w="0" w:type="dxa"/>
            <w:left w:w="108" w:type="dxa"/>
            <w:bottom w:w="0" w:type="dxa"/>
            <w:right w:w="108" w:type="dxa"/>
          </w:tblCellMar>
        </w:tblPrEx>
        <w:trPr>
          <w:trHeight w:val="1617"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4F3E63D1">
            <w:pPr>
              <w:snapToGrid w:val="0"/>
              <w:spacing w:line="300" w:lineRule="auto"/>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lang w:val="zh-CN"/>
                <w14:textFill>
                  <w14:solidFill>
                    <w14:schemeClr w14:val="tx1"/>
                  </w14:solidFill>
                </w14:textFill>
              </w:rPr>
              <w:t>第</w:t>
            </w:r>
            <w:r>
              <w:rPr>
                <w:rStyle w:val="21"/>
                <w:rFonts w:hint="eastAsia" w:ascii="宋体" w:hAnsi="宋体" w:cs="宋体"/>
                <w:color w:val="000000" w:themeColor="text1"/>
                <w:kern w:val="0"/>
                <w:sz w:val="24"/>
                <w:u w:val="single"/>
                <w:lang w:val="zh-CN"/>
                <w14:textFill>
                  <w14:solidFill>
                    <w14:schemeClr w14:val="tx1"/>
                  </w14:solidFill>
                </w14:textFill>
              </w:rPr>
              <w:t xml:space="preserve"> </w:t>
            </w:r>
            <w:r>
              <w:rPr>
                <w:rStyle w:val="21"/>
                <w:rFonts w:hint="eastAsia" w:ascii="宋体" w:hAnsi="宋体" w:cs="宋体"/>
                <w:color w:val="000000" w:themeColor="text1"/>
                <w:kern w:val="0"/>
                <w:sz w:val="24"/>
                <w:u w:val="single"/>
                <w:lang w:val="en-US" w:eastAsia="zh-CN"/>
                <w14:textFill>
                  <w14:solidFill>
                    <w14:schemeClr w14:val="tx1"/>
                  </w14:solidFill>
                </w14:textFill>
              </w:rPr>
              <w:t xml:space="preserve">   </w:t>
            </w:r>
            <w:r>
              <w:rPr>
                <w:rStyle w:val="21"/>
                <w:rFonts w:hint="eastAsia" w:ascii="宋体" w:hAnsi="宋体" w:cs="宋体"/>
                <w:color w:val="000000" w:themeColor="text1"/>
                <w:kern w:val="0"/>
                <w:sz w:val="24"/>
                <w:lang w:val="zh-CN"/>
                <w14:textFill>
                  <w14:solidFill>
                    <w14:schemeClr w14:val="tx1"/>
                  </w14:solidFill>
                </w14:textFill>
              </w:rPr>
              <w:t>轮谈判报价</w:t>
            </w:r>
          </w:p>
        </w:tc>
        <w:tc>
          <w:tcPr>
            <w:tcW w:w="5870" w:type="dxa"/>
            <w:tcBorders>
              <w:top w:val="single" w:color="000000" w:sz="4" w:space="0"/>
              <w:left w:val="single" w:color="auto" w:sz="4" w:space="0"/>
              <w:bottom w:val="single" w:color="000000" w:sz="4" w:space="0"/>
              <w:right w:val="single" w:color="000000" w:sz="4" w:space="0"/>
            </w:tcBorders>
            <w:vAlign w:val="center"/>
          </w:tcPr>
          <w:p w14:paraId="73DC7DCD">
            <w:pPr>
              <w:snapToGrid w:val="0"/>
              <w:spacing w:line="300" w:lineRule="auto"/>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（小写）￥：</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 xml:space="preserve">                        </w:t>
            </w:r>
          </w:p>
          <w:p w14:paraId="1CAE7FA0">
            <w:pPr>
              <w:snapToGrid w:val="0"/>
              <w:spacing w:line="300" w:lineRule="auto"/>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color w:val="000000" w:themeColor="text1"/>
                <w:kern w:val="0"/>
                <w:sz w:val="24"/>
                <w14:textFill>
                  <w14:solidFill>
                    <w14:schemeClr w14:val="tx1"/>
                  </w14:solidFill>
                </w14:textFill>
              </w:rPr>
              <w:t>人民币（大写）：</w:t>
            </w:r>
            <w:r>
              <w:rPr>
                <w:rStyle w:val="21"/>
                <w:rFonts w:hint="eastAsia" w:ascii="宋体" w:hAnsi="宋体" w:cs="宋体"/>
                <w:color w:val="000000" w:themeColor="text1"/>
                <w:sz w:val="24"/>
                <w:u w:val="single"/>
                <w:lang w:val="en-US" w:eastAsia="zh-CN"/>
                <w14:textFill>
                  <w14:solidFill>
                    <w14:schemeClr w14:val="tx1"/>
                  </w14:solidFill>
                </w14:textFill>
              </w:rPr>
              <w:t xml:space="preserve">                </w:t>
            </w:r>
            <w:r>
              <w:rPr>
                <w:rStyle w:val="21"/>
                <w:rFonts w:hint="eastAsia" w:ascii="宋体" w:hAnsi="宋体" w:cs="宋体"/>
                <w:color w:val="000000" w:themeColor="text1"/>
                <w:kern w:val="0"/>
                <w:sz w:val="24"/>
                <w14:textFill>
                  <w14:solidFill>
                    <w14:schemeClr w14:val="tx1"/>
                  </w14:solidFill>
                </w14:textFill>
              </w:rPr>
              <w:t xml:space="preserve">                    </w:t>
            </w:r>
          </w:p>
        </w:tc>
      </w:tr>
      <w:tr w14:paraId="7C5E8FB5">
        <w:tblPrEx>
          <w:tblCellMar>
            <w:top w:w="0" w:type="dxa"/>
            <w:left w:w="108" w:type="dxa"/>
            <w:bottom w:w="0" w:type="dxa"/>
            <w:right w:w="108" w:type="dxa"/>
          </w:tblCellMar>
        </w:tblPrEx>
        <w:trPr>
          <w:trHeight w:val="106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7C4BC480">
            <w:pPr>
              <w:snapToGrid w:val="0"/>
              <w:spacing w:line="300" w:lineRule="auto"/>
              <w:ind w:firstLine="698" w:firstLineChars="291"/>
              <w:rPr>
                <w:rStyle w:val="21"/>
                <w:rFonts w:ascii="宋体" w:hAnsi="宋体" w:cs="宋体"/>
                <w:color w:val="000000" w:themeColor="text1"/>
                <w:kern w:val="0"/>
                <w:sz w:val="24"/>
                <w14:textFill>
                  <w14:solidFill>
                    <w14:schemeClr w14:val="tx1"/>
                  </w14:solidFill>
                </w14:textFill>
              </w:rPr>
            </w:pPr>
            <w:r>
              <w:rPr>
                <w:rStyle w:val="21"/>
                <w:rFonts w:hint="eastAsia" w:ascii="宋体" w:hAnsi="宋体" w:cs="宋体" w:eastAsiaTheme="minorEastAsia"/>
                <w:color w:val="000000" w:themeColor="text1"/>
                <w:kern w:val="0"/>
                <w:sz w:val="24"/>
                <w14:textFill>
                  <w14:solidFill>
                    <w14:schemeClr w14:val="tx1"/>
                  </w14:solidFill>
                </w14:textFill>
              </w:rPr>
              <w:t>合同履约期</w:t>
            </w:r>
          </w:p>
        </w:tc>
        <w:tc>
          <w:tcPr>
            <w:tcW w:w="5870" w:type="dxa"/>
            <w:tcBorders>
              <w:top w:val="single" w:color="000000" w:sz="4" w:space="0"/>
              <w:left w:val="single" w:color="auto" w:sz="4" w:space="0"/>
              <w:bottom w:val="single" w:color="000000" w:sz="4" w:space="0"/>
              <w:right w:val="single" w:color="000000" w:sz="4" w:space="0"/>
            </w:tcBorders>
            <w:vAlign w:val="center"/>
          </w:tcPr>
          <w:p w14:paraId="1AE07E40">
            <w:pPr>
              <w:snapToGrid w:val="0"/>
              <w:spacing w:line="300" w:lineRule="auto"/>
              <w:rPr>
                <w:rStyle w:val="21"/>
                <w:rFonts w:ascii="宋体" w:hAnsi="宋体" w:cs="宋体"/>
                <w:color w:val="000000" w:themeColor="text1"/>
                <w:kern w:val="0"/>
                <w:sz w:val="24"/>
                <w14:textFill>
                  <w14:solidFill>
                    <w14:schemeClr w14:val="tx1"/>
                  </w14:solidFill>
                </w14:textFill>
              </w:rPr>
            </w:pPr>
          </w:p>
          <w:p w14:paraId="0F2F0192">
            <w:pPr>
              <w:pStyle w:val="3"/>
              <w:rPr>
                <w:rStyle w:val="21"/>
                <w:rFonts w:hint="eastAsia" w:ascii="宋体" w:hAnsi="宋体" w:eastAsia="宋体" w:cs="宋体"/>
                <w:color w:val="000000" w:themeColor="text1"/>
                <w:kern w:val="0"/>
                <w:sz w:val="24"/>
                <w:lang w:eastAsia="zh-CN"/>
                <w14:textFill>
                  <w14:solidFill>
                    <w14:schemeClr w14:val="tx1"/>
                  </w14:solidFill>
                </w14:textFill>
              </w:rPr>
            </w:pPr>
            <w:r>
              <w:rPr>
                <w:rStyle w:val="21"/>
                <w:rFonts w:hint="eastAsia" w:ascii="宋体" w:hAnsi="宋体" w:cs="宋体"/>
                <w:color w:val="000000" w:themeColor="text1"/>
                <w:kern w:val="0"/>
                <w:sz w:val="24"/>
                <w:lang w:val="en-US" w:eastAsia="zh-CN"/>
                <w14:textFill>
                  <w14:solidFill>
                    <w14:schemeClr w14:val="tx1"/>
                  </w14:solidFill>
                </w14:textFill>
              </w:rPr>
              <w:t>一年</w:t>
            </w:r>
          </w:p>
        </w:tc>
      </w:tr>
      <w:tr w14:paraId="1AF7BAF5">
        <w:tblPrEx>
          <w:tblCellMar>
            <w:top w:w="0" w:type="dxa"/>
            <w:left w:w="108" w:type="dxa"/>
            <w:bottom w:w="0" w:type="dxa"/>
            <w:right w:w="108" w:type="dxa"/>
          </w:tblCellMar>
        </w:tblPrEx>
        <w:trPr>
          <w:trHeight w:val="1066" w:hRule="atLeast"/>
          <w:jc w:val="center"/>
        </w:trPr>
        <w:tc>
          <w:tcPr>
            <w:tcW w:w="2630" w:type="dxa"/>
            <w:tcBorders>
              <w:top w:val="single" w:color="auto" w:sz="4" w:space="0"/>
              <w:left w:val="single" w:color="auto" w:sz="4" w:space="0"/>
              <w:bottom w:val="single" w:color="auto" w:sz="4" w:space="0"/>
              <w:right w:val="single" w:color="auto" w:sz="4" w:space="0"/>
            </w:tcBorders>
            <w:vAlign w:val="center"/>
          </w:tcPr>
          <w:p w14:paraId="6E7BF936">
            <w:pPr>
              <w:snapToGrid w:val="0"/>
              <w:spacing w:line="300" w:lineRule="auto"/>
              <w:ind w:firstLine="698" w:firstLineChars="291"/>
              <w:rPr>
                <w:rStyle w:val="21"/>
                <w:rFonts w:hint="eastAsia" w:ascii="宋体" w:hAnsi="宋体" w:cs="宋体" w:eastAsiaTheme="minorEastAsia"/>
                <w:color w:val="000000" w:themeColor="text1"/>
                <w:kern w:val="0"/>
                <w:sz w:val="24"/>
                <w:lang w:val="en-US" w:eastAsia="zh-CN"/>
                <w14:textFill>
                  <w14:solidFill>
                    <w14:schemeClr w14:val="tx1"/>
                  </w14:solidFill>
                </w14:textFill>
              </w:rPr>
            </w:pPr>
            <w:r>
              <w:rPr>
                <w:rStyle w:val="21"/>
                <w:rFonts w:hint="eastAsia" w:ascii="宋体" w:hAnsi="宋体" w:cs="宋体" w:eastAsiaTheme="minorEastAsia"/>
                <w:color w:val="000000" w:themeColor="text1"/>
                <w:kern w:val="0"/>
                <w:sz w:val="24"/>
                <w:lang w:val="en-US" w:eastAsia="zh-CN"/>
                <w14:textFill>
                  <w14:solidFill>
                    <w14:schemeClr w14:val="tx1"/>
                  </w14:solidFill>
                </w14:textFill>
              </w:rPr>
              <w:t>项目负责人</w:t>
            </w:r>
          </w:p>
        </w:tc>
        <w:tc>
          <w:tcPr>
            <w:tcW w:w="5870" w:type="dxa"/>
            <w:tcBorders>
              <w:top w:val="single" w:color="000000" w:sz="4" w:space="0"/>
              <w:left w:val="single" w:color="auto" w:sz="4" w:space="0"/>
              <w:bottom w:val="single" w:color="000000" w:sz="4" w:space="0"/>
              <w:right w:val="single" w:color="000000" w:sz="4" w:space="0"/>
            </w:tcBorders>
            <w:vAlign w:val="center"/>
          </w:tcPr>
          <w:p w14:paraId="32BEFBA9">
            <w:pPr>
              <w:pStyle w:val="3"/>
              <w:rPr>
                <w:rStyle w:val="21"/>
                <w:rFonts w:hint="eastAsia" w:ascii="宋体" w:hAnsi="宋体" w:cs="宋体"/>
                <w:color w:val="000000" w:themeColor="text1"/>
                <w:kern w:val="0"/>
                <w:sz w:val="24"/>
                <w:lang w:val="en-US" w:eastAsia="zh-CN"/>
                <w14:textFill>
                  <w14:solidFill>
                    <w14:schemeClr w14:val="tx1"/>
                  </w14:solidFill>
                </w14:textFill>
              </w:rPr>
            </w:pPr>
          </w:p>
        </w:tc>
      </w:tr>
    </w:tbl>
    <w:p w14:paraId="271FF137">
      <w:pPr>
        <w:snapToGrid w:val="0"/>
        <w:spacing w:line="300" w:lineRule="auto"/>
        <w:rPr>
          <w:rStyle w:val="21"/>
          <w:rFonts w:ascii="宋体" w:hAnsi="宋体" w:cs="宋体"/>
          <w:color w:val="000000" w:themeColor="text1"/>
          <w:sz w:val="24"/>
          <w14:textFill>
            <w14:solidFill>
              <w14:schemeClr w14:val="tx1"/>
            </w14:solidFill>
          </w14:textFill>
        </w:rPr>
      </w:pPr>
    </w:p>
    <w:p w14:paraId="4A09CDCE">
      <w:pPr>
        <w:snapToGrid w:val="0"/>
        <w:spacing w:line="300" w:lineRule="auto"/>
        <w:ind w:firstLine="940" w:firstLineChars="392"/>
        <w:rPr>
          <w:rStyle w:val="21"/>
          <w:rFonts w:ascii="宋体" w:hAnsi="宋体" w:cs="宋体"/>
          <w:color w:val="000000" w:themeColor="text1"/>
          <w:sz w:val="24"/>
          <w14:textFill>
            <w14:solidFill>
              <w14:schemeClr w14:val="tx1"/>
            </w14:solidFill>
          </w14:textFill>
        </w:rPr>
      </w:pPr>
      <w:r>
        <w:rPr>
          <w:rStyle w:val="21"/>
          <w:rFonts w:hint="eastAsia" w:ascii="宋体" w:hAnsi="宋体" w:cs="宋体"/>
          <w:color w:val="000000" w:themeColor="text1"/>
          <w:sz w:val="24"/>
          <w14:textFill>
            <w14:solidFill>
              <w14:schemeClr w14:val="tx1"/>
            </w14:solidFill>
          </w14:textFill>
        </w:rPr>
        <w:t>如放弃应在总价相应栏目打“×”或不填写。</w:t>
      </w:r>
    </w:p>
    <w:p w14:paraId="2D467A51">
      <w:pPr>
        <w:snapToGrid w:val="0"/>
        <w:spacing w:line="300" w:lineRule="auto"/>
        <w:ind w:firstLine="3166" w:firstLineChars="1131"/>
        <w:rPr>
          <w:rStyle w:val="21"/>
          <w:rFonts w:ascii="宋体" w:hAnsi="宋体" w:cs="宋体"/>
          <w:color w:val="000000" w:themeColor="text1"/>
          <w:sz w:val="28"/>
          <w:szCs w:val="28"/>
          <w14:textFill>
            <w14:solidFill>
              <w14:schemeClr w14:val="tx1"/>
            </w14:solidFill>
          </w14:textFill>
        </w:rPr>
      </w:pPr>
    </w:p>
    <w:p w14:paraId="68F5C8F8">
      <w:pPr>
        <w:snapToGrid w:val="0"/>
        <w:spacing w:line="300" w:lineRule="auto"/>
        <w:ind w:firstLine="3166" w:firstLineChars="1131"/>
        <w:rPr>
          <w:rStyle w:val="21"/>
          <w:rFonts w:ascii="宋体" w:hAnsi="宋体" w:cs="宋体"/>
          <w:color w:val="000000" w:themeColor="text1"/>
          <w:sz w:val="28"/>
          <w:szCs w:val="28"/>
          <w14:textFill>
            <w14:solidFill>
              <w14:schemeClr w14:val="tx1"/>
            </w14:solidFill>
          </w14:textFill>
        </w:rPr>
      </w:pPr>
    </w:p>
    <w:p w14:paraId="2346B331">
      <w:pPr>
        <w:snapToGrid w:val="0"/>
        <w:spacing w:line="300" w:lineRule="auto"/>
        <w:ind w:firstLine="3166" w:firstLineChars="1131"/>
        <w:rPr>
          <w:rStyle w:val="21"/>
          <w:rFonts w:ascii="宋体" w:hAnsi="宋体" w:cs="宋体"/>
          <w:color w:val="000000" w:themeColor="text1"/>
          <w:sz w:val="28"/>
          <w:szCs w:val="28"/>
          <w14:textFill>
            <w14:solidFill>
              <w14:schemeClr w14:val="tx1"/>
            </w14:solidFill>
          </w14:textFill>
        </w:rPr>
      </w:pPr>
    </w:p>
    <w:p w14:paraId="68BA9F67">
      <w:pPr>
        <w:snapToGrid w:val="0"/>
        <w:spacing w:line="300" w:lineRule="auto"/>
        <w:ind w:firstLine="3166" w:firstLineChars="1131"/>
        <w:rPr>
          <w:rStyle w:val="21"/>
          <w:rFonts w:ascii="宋体" w:hAnsi="宋体" w:cs="宋体"/>
          <w:color w:val="000000" w:themeColor="text1"/>
          <w:sz w:val="28"/>
          <w:szCs w:val="28"/>
          <w14:textFill>
            <w14:solidFill>
              <w14:schemeClr w14:val="tx1"/>
            </w14:solidFill>
          </w14:textFill>
        </w:rPr>
      </w:pPr>
      <w:r>
        <w:rPr>
          <w:rStyle w:val="21"/>
          <w:rFonts w:hint="eastAsia" w:ascii="宋体" w:hAnsi="宋体" w:cs="宋体"/>
          <w:color w:val="000000" w:themeColor="text1"/>
          <w:sz w:val="28"/>
          <w:szCs w:val="28"/>
          <w14:textFill>
            <w14:solidFill>
              <w14:schemeClr w14:val="tx1"/>
            </w14:solidFill>
          </w14:textFill>
        </w:rPr>
        <w:t>供应商：(盖单位公章)</w:t>
      </w:r>
    </w:p>
    <w:p w14:paraId="5D95745F">
      <w:pPr>
        <w:snapToGrid w:val="0"/>
        <w:spacing w:line="300" w:lineRule="auto"/>
        <w:ind w:firstLine="964" w:firstLineChars="294"/>
        <w:rPr>
          <w:rStyle w:val="21"/>
          <w:rFonts w:ascii="宋体" w:hAnsi="宋体" w:cs="宋体"/>
          <w:color w:val="000000" w:themeColor="text1"/>
          <w:spacing w:val="24"/>
          <w:sz w:val="28"/>
          <w:szCs w:val="28"/>
          <w14:textFill>
            <w14:solidFill>
              <w14:schemeClr w14:val="tx1"/>
            </w14:solidFill>
          </w14:textFill>
        </w:rPr>
      </w:pPr>
    </w:p>
    <w:p w14:paraId="5507EF39">
      <w:pPr>
        <w:snapToGrid w:val="0"/>
        <w:spacing w:line="300" w:lineRule="auto"/>
        <w:ind w:firstLine="3214" w:firstLineChars="980"/>
        <w:rPr>
          <w:rStyle w:val="21"/>
          <w:rFonts w:ascii="宋体" w:hAnsi="宋体" w:cs="宋体"/>
          <w:color w:val="000000" w:themeColor="text1"/>
          <w:sz w:val="28"/>
          <w:szCs w:val="28"/>
          <w14:textFill>
            <w14:solidFill>
              <w14:schemeClr w14:val="tx1"/>
            </w14:solidFill>
          </w14:textFill>
        </w:rPr>
      </w:pPr>
      <w:r>
        <w:rPr>
          <w:rStyle w:val="21"/>
          <w:rFonts w:hint="eastAsia" w:ascii="宋体" w:hAnsi="宋体" w:cs="宋体"/>
          <w:color w:val="000000" w:themeColor="text1"/>
          <w:spacing w:val="24"/>
          <w:sz w:val="28"/>
          <w:szCs w:val="28"/>
          <w14:textFill>
            <w14:solidFill>
              <w14:schemeClr w14:val="tx1"/>
            </w14:solidFill>
          </w14:textFill>
        </w:rPr>
        <w:t>法定代表人</w:t>
      </w:r>
      <w:r>
        <w:rPr>
          <w:rStyle w:val="21"/>
          <w:rFonts w:hint="eastAsia" w:ascii="宋体" w:hAnsi="宋体" w:cs="宋体"/>
          <w:color w:val="000000" w:themeColor="text1"/>
          <w:sz w:val="28"/>
          <w:szCs w:val="28"/>
          <w14:textFill>
            <w14:solidFill>
              <w14:schemeClr w14:val="tx1"/>
            </w14:solidFill>
          </w14:textFill>
        </w:rPr>
        <w:t>或</w:t>
      </w:r>
      <w:r>
        <w:rPr>
          <w:rStyle w:val="21"/>
          <w:rFonts w:hint="eastAsia" w:ascii="宋体" w:hAnsi="宋体" w:cs="宋体"/>
          <w:color w:val="000000" w:themeColor="text1"/>
          <w:kern w:val="0"/>
          <w:sz w:val="28"/>
          <w:szCs w:val="28"/>
          <w14:textFill>
            <w14:solidFill>
              <w14:schemeClr w14:val="tx1"/>
            </w14:solidFill>
          </w14:textFill>
        </w:rPr>
        <w:t>授权委托人</w:t>
      </w:r>
      <w:r>
        <w:rPr>
          <w:rStyle w:val="21"/>
          <w:rFonts w:hint="eastAsia" w:ascii="宋体" w:hAnsi="宋体" w:cs="宋体"/>
          <w:color w:val="000000" w:themeColor="text1"/>
          <w:sz w:val="28"/>
          <w:szCs w:val="28"/>
          <w14:textFill>
            <w14:solidFill>
              <w14:schemeClr w14:val="tx1"/>
            </w14:solidFill>
          </w14:textFill>
        </w:rPr>
        <w:t xml:space="preserve"> (签字或盖章)</w:t>
      </w:r>
    </w:p>
    <w:p w14:paraId="103BF4C9">
      <w:pPr>
        <w:snapToGrid w:val="0"/>
        <w:spacing w:line="300" w:lineRule="auto"/>
        <w:ind w:left="-1" w:leftChars="-1" w:hanging="1"/>
        <w:rPr>
          <w:rStyle w:val="21"/>
          <w:rFonts w:ascii="宋体" w:hAnsi="宋体" w:cs="宋体"/>
          <w:color w:val="000000" w:themeColor="text1"/>
          <w:sz w:val="28"/>
          <w:szCs w:val="28"/>
          <w14:textFill>
            <w14:solidFill>
              <w14:schemeClr w14:val="tx1"/>
            </w14:solidFill>
          </w14:textFill>
        </w:rPr>
      </w:pPr>
    </w:p>
    <w:p w14:paraId="5D334CFE">
      <w:pPr>
        <w:snapToGrid w:val="0"/>
        <w:spacing w:line="540" w:lineRule="exact"/>
        <w:jc w:val="center"/>
        <w:rPr>
          <w:rStyle w:val="21"/>
          <w:rFonts w:ascii="宋体" w:hAnsi="宋体" w:cs="宋体"/>
          <w:color w:val="000000" w:themeColor="text1"/>
          <w:sz w:val="28"/>
          <w:szCs w:val="28"/>
          <w14:textFill>
            <w14:solidFill>
              <w14:schemeClr w14:val="tx1"/>
            </w14:solidFill>
          </w14:textFill>
        </w:rPr>
      </w:pPr>
      <w:r>
        <w:rPr>
          <w:rStyle w:val="21"/>
          <w:rFonts w:hint="eastAsia" w:ascii="宋体" w:hAnsi="宋体" w:cs="宋体"/>
          <w:color w:val="000000" w:themeColor="text1"/>
          <w:sz w:val="28"/>
          <w:szCs w:val="28"/>
          <w14:textFill>
            <w14:solidFill>
              <w14:schemeClr w14:val="tx1"/>
            </w14:solidFill>
          </w14:textFill>
        </w:rPr>
        <w:t xml:space="preserve">                年    月     日</w:t>
      </w:r>
    </w:p>
    <w:p w14:paraId="2ECF2F74">
      <w:pPr>
        <w:snapToGrid w:val="0"/>
        <w:spacing w:line="440" w:lineRule="exact"/>
        <w:rPr>
          <w:rStyle w:val="21"/>
          <w:rFonts w:ascii="宋体" w:hAnsi="宋体" w:cs="宋体"/>
          <w:color w:val="000000" w:themeColor="text1"/>
          <w:sz w:val="24"/>
          <w14:textFill>
            <w14:solidFill>
              <w14:schemeClr w14:val="tx1"/>
            </w14:solidFill>
          </w14:textFill>
        </w:rPr>
      </w:pPr>
    </w:p>
    <w:p w14:paraId="52DF462D">
      <w:pPr>
        <w:snapToGrid w:val="0"/>
        <w:spacing w:line="440" w:lineRule="exact"/>
        <w:rPr>
          <w:rStyle w:val="21"/>
          <w:rFonts w:ascii="宋体" w:hAnsi="宋体" w:cs="宋体"/>
          <w:b/>
          <w:bCs/>
          <w:color w:val="000000" w:themeColor="text1"/>
          <w:sz w:val="28"/>
          <w:szCs w:val="28"/>
          <w14:textFill>
            <w14:solidFill>
              <w14:schemeClr w14:val="tx1"/>
            </w14:solidFill>
          </w14:textFill>
        </w:rPr>
      </w:pPr>
    </w:p>
    <w:p w14:paraId="0BCC2502">
      <w:pPr>
        <w:rPr>
          <w:color w:val="000000" w:themeColor="text1"/>
          <w14:textFill>
            <w14:solidFill>
              <w14:schemeClr w14:val="tx1"/>
            </w14:solidFill>
          </w14:textFill>
        </w:rPr>
      </w:pPr>
    </w:p>
    <w:sectPr>
      <w:pgSz w:w="11905" w:h="16838"/>
      <w:pgMar w:top="896" w:right="1009" w:bottom="828" w:left="1009" w:header="0" w:footer="0" w:gutter="0"/>
      <w:cols w:space="0" w:num="1"/>
      <w:rtlGutter w:val="0"/>
      <w:docGrid w:linePitch="4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仿宋_GB2312">
    <w:altName w:val="仿宋"/>
    <w:panose1 w:val="02000000000000000000"/>
    <w:charset w:val="7A"/>
    <w:family w:val="auto"/>
    <w:pitch w:val="default"/>
    <w:sig w:usb0="00000000" w:usb1="00000000" w:usb2="00000012"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8CD7C">
    <w:pPr>
      <w:pStyle w:val="10"/>
      <w:ind w:right="360"/>
      <w:rPr>
        <w:rStyle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E10E9C">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4AE10E9C">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90C30">
    <w:pPr>
      <w:pStyle w:val="10"/>
      <w:rPr>
        <w:rStyle w:val="3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91F56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OIvo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044i+jICAABjBAAADgAAAAAAAAABACAAAAAfAQAAZHJzL2Uyb0RvYy54bWxQSwUG&#10;AAAAAAYABgBZAQAAwwUAAAAA&#10;">
              <v:fill on="f" focussize="0,0"/>
              <v:stroke on="f" weight="0.5pt"/>
              <v:imagedata o:title=""/>
              <o:lock v:ext="edit" aspectratio="f"/>
              <v:textbox inset="0mm,0mm,0mm,0mm" style="mso-fit-shape-to-text:t;">
                <w:txbxContent>
                  <w:p w14:paraId="4A91F563">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2029E66B">
    <w:pPr>
      <w:pStyle w:val="10"/>
      <w:rPr>
        <w:rStyle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CD573">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90A53F">
                          <w:pPr>
                            <w:pStyle w:val="10"/>
                            <w:rPr>
                              <w:rStyle w:val="18"/>
                            </w:rPr>
                          </w:pPr>
                          <w:r>
                            <w:fldChar w:fldCharType="begin"/>
                          </w:r>
                          <w:r>
                            <w:rPr>
                              <w:rStyle w:val="18"/>
                            </w:rPr>
                            <w:instrText xml:space="preserve">PAGE  </w:instrText>
                          </w:r>
                          <w:r>
                            <w:fldChar w:fldCharType="separate"/>
                          </w:r>
                          <w:r>
                            <w:rPr>
                              <w:rStyle w:val="18"/>
                            </w:rPr>
                            <w:t>- 1 -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LMpMkBAACZ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YsykyQEAAJkDAAAOAAAAAAAAAAEAIAAAAB4BAABkcnMvZTJvRG9j&#10;LnhtbFBLBQYAAAAABgAGAFkBAABZBQAAAAA=&#10;">
              <v:fill on="f" focussize="0,0"/>
              <v:stroke on="f"/>
              <v:imagedata o:title=""/>
              <o:lock v:ext="edit" aspectratio="f"/>
              <v:textbox inset="0mm,0mm,0mm,0mm" style="mso-fit-shape-to-text:t;">
                <w:txbxContent>
                  <w:p w14:paraId="5E90A53F">
                    <w:pPr>
                      <w:pStyle w:val="10"/>
                      <w:rPr>
                        <w:rStyle w:val="18"/>
                      </w:rPr>
                    </w:pPr>
                    <w:r>
                      <w:fldChar w:fldCharType="begin"/>
                    </w:r>
                    <w:r>
                      <w:rPr>
                        <w:rStyle w:val="18"/>
                      </w:rPr>
                      <w:instrText xml:space="preserve">PAGE  </w:instrText>
                    </w:r>
                    <w:r>
                      <w:fldChar w:fldCharType="separate"/>
                    </w:r>
                    <w:r>
                      <w:rPr>
                        <w:rStyle w:val="18"/>
                      </w:rP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F76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5E778">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5BA5E778">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76A86"/>
    <w:multiLevelType w:val="singleLevel"/>
    <w:tmpl w:val="FE576A86"/>
    <w:lvl w:ilvl="0" w:tentative="0">
      <w:start w:val="6"/>
      <w:numFmt w:val="chineseCounting"/>
      <w:suff w:val="nothing"/>
      <w:lvlText w:val="%1、"/>
      <w:lvlJc w:val="left"/>
      <w:rPr>
        <w:rFonts w:hint="eastAsia"/>
      </w:rPr>
    </w:lvl>
  </w:abstractNum>
  <w:abstractNum w:abstractNumId="1">
    <w:nsid w:val="7A11F2B4"/>
    <w:multiLevelType w:val="singleLevel"/>
    <w:tmpl w:val="7A11F2B4"/>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MTg3NTYyZTNmNDc1MzgyMWJkOGI5NDQ5N2EyZDAifQ=="/>
    <w:docVar w:name="KSO_WPS_MARK_KEY" w:val="fbe7ab3b-e2e8-4fa9-9240-4fd1707875f7"/>
  </w:docVars>
  <w:rsids>
    <w:rsidRoot w:val="00203E7B"/>
    <w:rsid w:val="00203E7B"/>
    <w:rsid w:val="002C6D45"/>
    <w:rsid w:val="00453F5A"/>
    <w:rsid w:val="00795C3B"/>
    <w:rsid w:val="00DA59FA"/>
    <w:rsid w:val="00FC206D"/>
    <w:rsid w:val="012C6EBE"/>
    <w:rsid w:val="014C5B58"/>
    <w:rsid w:val="015D7222"/>
    <w:rsid w:val="01CB1301"/>
    <w:rsid w:val="027B6ADA"/>
    <w:rsid w:val="036B5288"/>
    <w:rsid w:val="03ED32F8"/>
    <w:rsid w:val="043A5387"/>
    <w:rsid w:val="04821EF4"/>
    <w:rsid w:val="058C22B2"/>
    <w:rsid w:val="05F35E5D"/>
    <w:rsid w:val="07551F35"/>
    <w:rsid w:val="07707311"/>
    <w:rsid w:val="078B3DE6"/>
    <w:rsid w:val="07E4379C"/>
    <w:rsid w:val="08BA7DC4"/>
    <w:rsid w:val="08DE04B9"/>
    <w:rsid w:val="090E5677"/>
    <w:rsid w:val="09B07E99"/>
    <w:rsid w:val="0A99092D"/>
    <w:rsid w:val="0D924C16"/>
    <w:rsid w:val="0DB467DB"/>
    <w:rsid w:val="0F2F1860"/>
    <w:rsid w:val="11880C7C"/>
    <w:rsid w:val="125F245C"/>
    <w:rsid w:val="13076D7C"/>
    <w:rsid w:val="137361BF"/>
    <w:rsid w:val="15966A1F"/>
    <w:rsid w:val="19EC0E51"/>
    <w:rsid w:val="1B890609"/>
    <w:rsid w:val="1D9477D1"/>
    <w:rsid w:val="1EDF48E2"/>
    <w:rsid w:val="20931C74"/>
    <w:rsid w:val="21611D4D"/>
    <w:rsid w:val="21CB5FB7"/>
    <w:rsid w:val="22024184"/>
    <w:rsid w:val="221F7512"/>
    <w:rsid w:val="25D93658"/>
    <w:rsid w:val="267127BC"/>
    <w:rsid w:val="27552357"/>
    <w:rsid w:val="2A0C47AC"/>
    <w:rsid w:val="2B0471A2"/>
    <w:rsid w:val="2E8C0E0F"/>
    <w:rsid w:val="3161596C"/>
    <w:rsid w:val="332A412D"/>
    <w:rsid w:val="344B5346"/>
    <w:rsid w:val="35306EDE"/>
    <w:rsid w:val="36EB7E6B"/>
    <w:rsid w:val="372B53A0"/>
    <w:rsid w:val="379A1EF7"/>
    <w:rsid w:val="3BB17BF5"/>
    <w:rsid w:val="3BCB49BB"/>
    <w:rsid w:val="3FB53538"/>
    <w:rsid w:val="40E73A51"/>
    <w:rsid w:val="424006A9"/>
    <w:rsid w:val="42C83582"/>
    <w:rsid w:val="42E66BBC"/>
    <w:rsid w:val="432033BE"/>
    <w:rsid w:val="44200198"/>
    <w:rsid w:val="44640865"/>
    <w:rsid w:val="45154356"/>
    <w:rsid w:val="4542472B"/>
    <w:rsid w:val="472B5AC7"/>
    <w:rsid w:val="47B02D71"/>
    <w:rsid w:val="4CA76BCF"/>
    <w:rsid w:val="4CC34056"/>
    <w:rsid w:val="4E1B709E"/>
    <w:rsid w:val="4E9E10EE"/>
    <w:rsid w:val="4EB04298"/>
    <w:rsid w:val="4FA3611A"/>
    <w:rsid w:val="5353391C"/>
    <w:rsid w:val="53E35E12"/>
    <w:rsid w:val="558A0B6B"/>
    <w:rsid w:val="568F653E"/>
    <w:rsid w:val="569818B2"/>
    <w:rsid w:val="58D85EC0"/>
    <w:rsid w:val="59780666"/>
    <w:rsid w:val="5A6E2809"/>
    <w:rsid w:val="5B8B056D"/>
    <w:rsid w:val="5BB27227"/>
    <w:rsid w:val="5C40335F"/>
    <w:rsid w:val="5EB95C34"/>
    <w:rsid w:val="5EBB34FA"/>
    <w:rsid w:val="5F56294B"/>
    <w:rsid w:val="5FCA219D"/>
    <w:rsid w:val="5FD56E87"/>
    <w:rsid w:val="607D37A6"/>
    <w:rsid w:val="60C72C73"/>
    <w:rsid w:val="61E5544E"/>
    <w:rsid w:val="63810815"/>
    <w:rsid w:val="64375C37"/>
    <w:rsid w:val="66AA2E1B"/>
    <w:rsid w:val="68757459"/>
    <w:rsid w:val="69450435"/>
    <w:rsid w:val="6B7A4B3A"/>
    <w:rsid w:val="6B7B0FA5"/>
    <w:rsid w:val="6C5A32BD"/>
    <w:rsid w:val="6F97567B"/>
    <w:rsid w:val="7118232A"/>
    <w:rsid w:val="736425A4"/>
    <w:rsid w:val="73770C2B"/>
    <w:rsid w:val="74722DEA"/>
    <w:rsid w:val="7623601A"/>
    <w:rsid w:val="782E47A4"/>
    <w:rsid w:val="78DC761B"/>
    <w:rsid w:val="793C229D"/>
    <w:rsid w:val="79970592"/>
    <w:rsid w:val="7D937D0D"/>
    <w:rsid w:val="7E4A6B83"/>
    <w:rsid w:val="7F7B31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cs="Arial"/>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eastAsia="宋体" w:cs="Times New Roman"/>
    </w:rPr>
  </w:style>
  <w:style w:type="paragraph" w:styleId="7">
    <w:name w:val="Plain Text"/>
    <w:basedOn w:val="1"/>
    <w:next w:val="8"/>
    <w:qFormat/>
    <w:uiPriority w:val="0"/>
    <w:rPr>
      <w:rFonts w:ascii="宋体" w:hAnsi="Courier New" w:cs="Courier New"/>
    </w:rPr>
  </w:style>
  <w:style w:type="paragraph" w:styleId="8">
    <w:name w:val="toc 2"/>
    <w:basedOn w:val="1"/>
    <w:next w:val="1"/>
    <w:qFormat/>
    <w:uiPriority w:val="0"/>
    <w:pPr>
      <w:ind w:left="210"/>
      <w:jc w:val="left"/>
    </w:pPr>
    <w:rPr>
      <w:smallCaps/>
      <w:sz w:val="20"/>
      <w:szCs w:val="20"/>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2">
    <w:name w:val="index 9"/>
    <w:basedOn w:val="1"/>
    <w:next w:val="1"/>
    <w:qFormat/>
    <w:uiPriority w:val="0"/>
    <w:pPr>
      <w:ind w:left="1890" w:hanging="210"/>
      <w:jc w:val="left"/>
    </w:pPr>
  </w:style>
  <w:style w:type="paragraph" w:styleId="13">
    <w:name w:val="Normal (Web)"/>
    <w:basedOn w:val="1"/>
    <w:qFormat/>
    <w:uiPriority w:val="0"/>
    <w:pPr>
      <w:spacing w:before="100" w:beforeAutospacing="1" w:after="100" w:afterAutospacing="1"/>
      <w:jc w:val="left"/>
    </w:pPr>
    <w:rPr>
      <w:rFonts w:ascii="宋体" w:hAnsi="宋体" w:cs="宋体"/>
      <w:kern w:val="0"/>
      <w:sz w:val="24"/>
    </w:rPr>
  </w:style>
  <w:style w:type="paragraph" w:styleId="14">
    <w:name w:val="Body Text First Indent 2"/>
    <w:basedOn w:val="5"/>
    <w:next w:val="1"/>
    <w:qFormat/>
    <w:uiPriority w:val="0"/>
    <w:pPr>
      <w:ind w:firstLine="420"/>
    </w:pPr>
    <w:rPr>
      <w:rFonts w:ascii="Times New Roman" w:hAnsi="Times New Roman"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rPr>
      <w:rFonts w:ascii="Times New Roman" w:hAnsi="Times New Roman" w:eastAsia="宋体" w:cs="Times New Roman"/>
    </w:rPr>
  </w:style>
  <w:style w:type="character" w:styleId="19">
    <w:name w:val="Hyperlink"/>
    <w:qFormat/>
    <w:uiPriority w:val="0"/>
    <w:rPr>
      <w:color w:val="0000FF"/>
      <w:u w:val="single"/>
    </w:rPr>
  </w:style>
  <w:style w:type="paragraph" w:customStyle="1" w:styleId="20">
    <w:name w:val="引文目录1"/>
    <w:basedOn w:val="1"/>
    <w:next w:val="1"/>
    <w:qFormat/>
    <w:uiPriority w:val="0"/>
    <w:pPr>
      <w:ind w:left="420" w:leftChars="200"/>
    </w:pPr>
  </w:style>
  <w:style w:type="character" w:customStyle="1" w:styleId="21">
    <w:name w:val="NormalCharacter"/>
    <w:semiHidden/>
    <w:qFormat/>
    <w:uiPriority w:val="0"/>
  </w:style>
  <w:style w:type="paragraph" w:customStyle="1" w:styleId="22">
    <w:name w:val="TOC1"/>
    <w:basedOn w:val="1"/>
    <w:next w:val="1"/>
    <w:qFormat/>
    <w:uiPriority w:val="0"/>
    <w:pPr>
      <w:spacing w:before="120" w:after="120"/>
      <w:jc w:val="left"/>
    </w:pPr>
    <w:rPr>
      <w:rFonts w:cs="Calibri"/>
      <w:b/>
      <w:bCs/>
      <w:caps/>
      <w:sz w:val="20"/>
    </w:rPr>
  </w:style>
  <w:style w:type="paragraph" w:customStyle="1" w:styleId="23">
    <w:name w:val="TOC2"/>
    <w:basedOn w:val="1"/>
    <w:next w:val="1"/>
    <w:qFormat/>
    <w:uiPriority w:val="0"/>
    <w:pPr>
      <w:ind w:left="210"/>
      <w:jc w:val="left"/>
    </w:pPr>
    <w:rPr>
      <w:smallCaps/>
      <w:sz w:val="20"/>
    </w:rPr>
  </w:style>
  <w:style w:type="paragraph" w:customStyle="1" w:styleId="24">
    <w:name w:val="BodyTextIndent"/>
    <w:basedOn w:val="1"/>
    <w:next w:val="25"/>
    <w:qFormat/>
    <w:uiPriority w:val="0"/>
    <w:pPr>
      <w:spacing w:after="120"/>
      <w:ind w:left="420" w:leftChars="200"/>
    </w:pPr>
  </w:style>
  <w:style w:type="paragraph" w:customStyle="1" w:styleId="25">
    <w:name w:val="EnvelopeReturn"/>
    <w:basedOn w:val="1"/>
    <w:qFormat/>
    <w:uiPriority w:val="0"/>
    <w:pPr>
      <w:snapToGrid w:val="0"/>
      <w:spacing w:line="360" w:lineRule="auto"/>
      <w:ind w:firstLine="200" w:firstLineChars="200"/>
    </w:pPr>
    <w:rPr>
      <w:rFonts w:ascii="Arial" w:hAnsi="Arial" w:eastAsia="仿宋_GB2312"/>
      <w:sz w:val="24"/>
    </w:rPr>
  </w:style>
  <w:style w:type="character" w:customStyle="1" w:styleId="26">
    <w:name w:val="无"/>
    <w:qFormat/>
    <w:uiPriority w:val="0"/>
  </w:style>
  <w:style w:type="paragraph" w:customStyle="1" w:styleId="27">
    <w:name w:val="HtmlNormal"/>
    <w:basedOn w:val="1"/>
    <w:qFormat/>
    <w:uiPriority w:val="0"/>
    <w:pPr>
      <w:jc w:val="left"/>
    </w:pPr>
    <w:rPr>
      <w:rFonts w:ascii="ˎ̥" w:hAnsi="ˎ̥"/>
      <w:kern w:val="0"/>
      <w:sz w:val="24"/>
    </w:rPr>
  </w:style>
  <w:style w:type="paragraph" w:styleId="28">
    <w:name w:val="List Paragraph"/>
    <w:basedOn w:val="1"/>
    <w:qFormat/>
    <w:uiPriority w:val="34"/>
    <w:pPr>
      <w:ind w:firstLine="420" w:firstLineChars="200"/>
    </w:pPr>
  </w:style>
  <w:style w:type="paragraph" w:customStyle="1" w:styleId="29">
    <w:name w:val="PlainText"/>
    <w:basedOn w:val="1"/>
    <w:qFormat/>
    <w:uiPriority w:val="0"/>
    <w:rPr>
      <w:rFonts w:ascii="宋体" w:hAnsi="Courier New"/>
      <w:szCs w:val="20"/>
    </w:rPr>
  </w:style>
  <w:style w:type="paragraph" w:customStyle="1" w:styleId="30">
    <w:name w:val="UserStyle_12"/>
    <w:basedOn w:val="1"/>
    <w:qFormat/>
    <w:uiPriority w:val="0"/>
    <w:pPr>
      <w:spacing w:before="100" w:beforeAutospacing="1" w:after="100" w:afterAutospacing="1" w:line="375" w:lineRule="atLeast"/>
      <w:jc w:val="left"/>
    </w:pPr>
    <w:rPr>
      <w:rFonts w:ascii="ˎ̥" w:hAnsi="ˎ̥"/>
      <w:kern w:val="0"/>
      <w:sz w:val="24"/>
    </w:rPr>
  </w:style>
  <w:style w:type="character" w:customStyle="1" w:styleId="31">
    <w:name w:val="PageNumber"/>
    <w:basedOn w:val="21"/>
    <w:qFormat/>
    <w:uiPriority w:val="0"/>
  </w:style>
  <w:style w:type="paragraph" w:customStyle="1" w:styleId="32">
    <w:name w:val="首行缩进"/>
    <w:basedOn w:val="1"/>
    <w:qFormat/>
    <w:uiPriority w:val="0"/>
    <w:pPr>
      <w:spacing w:line="360" w:lineRule="auto"/>
      <w:ind w:firstLine="480" w:firstLineChars="200"/>
      <w:jc w:val="left"/>
    </w:pPr>
    <w:rPr>
      <w:rFonts w:ascii="宋体" w:hAnsi="宋体" w:eastAsia="等线"/>
      <w:sz w:val="24"/>
      <w:szCs w:val="22"/>
    </w:rPr>
  </w:style>
  <w:style w:type="paragraph" w:customStyle="1" w:styleId="33">
    <w:name w:val="正文1"/>
    <w:basedOn w:val="1"/>
    <w:next w:val="1"/>
    <w:qFormat/>
    <w:uiPriority w:val="0"/>
    <w:pPr>
      <w:spacing w:line="360" w:lineRule="auto"/>
      <w:ind w:firstLine="566" w:firstLineChars="202"/>
    </w:pPr>
    <w:rPr>
      <w:rFonts w:ascii="仿宋_GB2312" w:hAnsi="宋体" w:eastAsia="仿宋_GB2312"/>
      <w:kern w:val="0"/>
      <w:sz w:val="28"/>
      <w:szCs w:val="20"/>
    </w:rPr>
  </w:style>
  <w:style w:type="paragraph" w:customStyle="1" w:styleId="34">
    <w:name w:val="普通(Web)4"/>
    <w:basedOn w:val="1"/>
    <w:autoRedefine/>
    <w:qFormat/>
    <w:uiPriority w:val="0"/>
    <w:pPr>
      <w:spacing w:before="100" w:beforeAutospacing="1" w:after="100" w:afterAutospacing="1" w:line="375" w:lineRule="atLeast"/>
      <w:jc w:val="left"/>
    </w:pPr>
    <w:rPr>
      <w:rFonts w:ascii="ˎ̥" w:hAnsi="ˎ̥"/>
      <w:kern w:val="0"/>
      <w:sz w:val="24"/>
    </w:rPr>
  </w:style>
  <w:style w:type="character" w:customStyle="1" w:styleId="35">
    <w:name w:val="页眉 Char"/>
    <w:basedOn w:val="17"/>
    <w:link w:val="11"/>
    <w:qFormat/>
    <w:uiPriority w:val="0"/>
    <w:rPr>
      <w:rFonts w:ascii="Calibri" w:hAnsi="Calibri" w:cstheme="minorBidi"/>
      <w:kern w:val="2"/>
      <w:sz w:val="18"/>
      <w:szCs w:val="18"/>
    </w:rPr>
  </w:style>
  <w:style w:type="paragraph" w:customStyle="1" w:styleId="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customStyle="1" w:styleId="37">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25157</Words>
  <Characters>27409</Characters>
  <Lines>116</Lines>
  <Paragraphs>32</Paragraphs>
  <TotalTime>4</TotalTime>
  <ScaleCrop>false</ScaleCrop>
  <LinksUpToDate>false</LinksUpToDate>
  <CharactersWithSpaces>28366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2023-08-30T06:30:00Z</dcterms:created>
  <dc:creator>Administrator</dc:creator>
  <cp:lastModifiedBy>怡然</cp:lastModifiedBy>
  <dcterms:modified xsi:type="dcterms:W3CDTF">2024-09-18T02:05:57Z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7FDFB394AE014D0F8F28DF32FF50747D_13</vt:lpwstr>
  </property>
</Properties>
</file>