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2A021">
      <w:pPr>
        <w:pStyle w:val="12"/>
        <w:spacing w:before="120" w:beforeAutospacing="0" w:after="120" w:afterAutospacing="0" w:line="360" w:lineRule="auto"/>
        <w:rPr>
          <w:highlight w:val="none"/>
        </w:rPr>
      </w:pPr>
      <w:bookmarkStart w:id="251" w:name="_GoBack"/>
      <w:bookmarkEnd w:id="251"/>
      <w:r>
        <w:t> </w:t>
      </w:r>
      <w:r>
        <w:rPr>
          <w:highlight w:val="none"/>
        </w:rPr>
        <w:br w:type="textWrapping"/>
      </w:r>
      <w:r>
        <w:rPr>
          <w:highlight w:val="none"/>
        </w:rPr>
        <w:br w:type="textWrapping"/>
      </w:r>
      <w:r>
        <w:rPr>
          <w:highlight w:val="none"/>
        </w:rPr>
        <w:br w:type="textWrapping"/>
      </w:r>
    </w:p>
    <w:p w14:paraId="586D27FD">
      <w:pPr>
        <w:pStyle w:val="12"/>
        <w:spacing w:before="120" w:beforeAutospacing="0" w:after="120" w:afterAutospacing="0" w:line="360" w:lineRule="auto"/>
        <w:jc w:val="center"/>
        <w:rPr>
          <w:highlight w:val="none"/>
        </w:rPr>
      </w:pPr>
      <w:r>
        <w:rPr>
          <w:rFonts w:ascii="Arial" w:hAnsi="Arial" w:cs="Arial"/>
          <w:b/>
          <w:color w:val="000000"/>
          <w:sz w:val="84"/>
          <w:szCs w:val="84"/>
          <w:highlight w:val="none"/>
        </w:rPr>
        <w:t>招 标 文 件</w:t>
      </w:r>
    </w:p>
    <w:p w14:paraId="3F0BFA5F">
      <w:pPr>
        <w:pStyle w:val="12"/>
        <w:spacing w:before="120" w:beforeAutospacing="0" w:after="120" w:afterAutospacing="0" w:line="360" w:lineRule="auto"/>
        <w:ind w:firstLine="964" w:firstLineChars="300"/>
        <w:rPr>
          <w:rFonts w:hint="eastAsia" w:ascii="Arial" w:hAnsi="Arial" w:cs="Arial"/>
          <w:b/>
          <w:color w:val="000000"/>
          <w:sz w:val="32"/>
          <w:szCs w:val="32"/>
          <w:highlight w:val="none"/>
          <w:lang w:eastAsia="zh-CN"/>
        </w:rPr>
      </w:pPr>
      <w:r>
        <w:rPr>
          <w:rFonts w:ascii="Arial" w:hAnsi="Arial" w:cs="Arial"/>
          <w:b/>
          <w:color w:val="000000"/>
          <w:sz w:val="32"/>
          <w:szCs w:val="32"/>
          <w:highlight w:val="none"/>
        </w:rPr>
        <w:t>项目名称：</w:t>
      </w:r>
      <w:r>
        <w:rPr>
          <w:rFonts w:hint="eastAsia" w:ascii="Arial" w:hAnsi="Arial" w:cs="Arial"/>
          <w:b/>
          <w:color w:val="000000"/>
          <w:sz w:val="32"/>
          <w:szCs w:val="32"/>
          <w:highlight w:val="none"/>
          <w:lang w:eastAsia="zh-CN"/>
        </w:rPr>
        <w:t>响水经济开发区空气站运维项目</w:t>
      </w:r>
    </w:p>
    <w:p w14:paraId="0069F3C4">
      <w:pPr>
        <w:pStyle w:val="12"/>
        <w:spacing w:beforeAutospacing="0" w:afterAutospacing="0"/>
        <w:ind w:firstLine="964" w:firstLineChars="300"/>
        <w:jc w:val="both"/>
        <w:rPr>
          <w:highlight w:val="none"/>
        </w:rPr>
      </w:pPr>
      <w:r>
        <w:rPr>
          <w:rFonts w:ascii="Times New Roman" w:hAnsi="Times New Roman"/>
          <w:b/>
          <w:color w:val="000000"/>
          <w:sz w:val="32"/>
          <w:szCs w:val="32"/>
          <w:highlight w:val="none"/>
        </w:rPr>
        <w:t>项目编号：JSZC-320921-YCJH-G2024-0002</w:t>
      </w:r>
    </w:p>
    <w:p w14:paraId="72011919">
      <w:pPr>
        <w:pStyle w:val="12"/>
        <w:spacing w:beforeAutospacing="0" w:afterAutospacing="0" w:line="360" w:lineRule="auto"/>
        <w:rPr>
          <w:highlight w:val="none"/>
        </w:rPr>
      </w:pPr>
      <w:r>
        <w:rPr>
          <w:highlight w:val="none"/>
        </w:rPr>
        <w:t> </w:t>
      </w:r>
    </w:p>
    <w:p w14:paraId="017D8430">
      <w:pPr>
        <w:pStyle w:val="12"/>
        <w:spacing w:beforeAutospacing="0" w:afterAutospacing="0" w:line="360" w:lineRule="auto"/>
        <w:rPr>
          <w:highlight w:val="none"/>
        </w:rPr>
      </w:pPr>
      <w:r>
        <w:rPr>
          <w:highlight w:val="none"/>
        </w:rPr>
        <w:t> </w:t>
      </w:r>
    </w:p>
    <w:p w14:paraId="6844955E">
      <w:pPr>
        <w:pStyle w:val="12"/>
        <w:spacing w:beforeAutospacing="0" w:afterAutospacing="0" w:line="360" w:lineRule="auto"/>
        <w:rPr>
          <w:highlight w:val="none"/>
        </w:rPr>
      </w:pPr>
      <w:r>
        <w:rPr>
          <w:highlight w:val="none"/>
        </w:rPr>
        <w:t> </w:t>
      </w:r>
    </w:p>
    <w:p w14:paraId="493CCE2E">
      <w:pPr>
        <w:pStyle w:val="12"/>
        <w:spacing w:beforeAutospacing="0" w:afterAutospacing="0" w:line="360" w:lineRule="auto"/>
        <w:rPr>
          <w:highlight w:val="none"/>
        </w:rPr>
      </w:pPr>
      <w:r>
        <w:rPr>
          <w:highlight w:val="none"/>
        </w:rPr>
        <w:t> </w:t>
      </w:r>
    </w:p>
    <w:p w14:paraId="6C11B02F">
      <w:pPr>
        <w:pStyle w:val="12"/>
        <w:spacing w:beforeAutospacing="0" w:afterAutospacing="0" w:line="360" w:lineRule="auto"/>
        <w:rPr>
          <w:highlight w:val="none"/>
        </w:rPr>
      </w:pPr>
      <w:r>
        <w:rPr>
          <w:highlight w:val="none"/>
        </w:rPr>
        <w:t> </w:t>
      </w:r>
    </w:p>
    <w:p w14:paraId="0B8F2C4B">
      <w:pPr>
        <w:pStyle w:val="12"/>
        <w:spacing w:beforeAutospacing="0" w:afterAutospacing="0" w:line="360" w:lineRule="auto"/>
        <w:rPr>
          <w:highlight w:val="none"/>
        </w:rPr>
      </w:pPr>
      <w:r>
        <w:rPr>
          <w:highlight w:val="none"/>
        </w:rPr>
        <w:t> </w:t>
      </w:r>
    </w:p>
    <w:p w14:paraId="72C50135">
      <w:pPr>
        <w:pStyle w:val="12"/>
        <w:spacing w:beforeAutospacing="0" w:afterAutospacing="0" w:line="360" w:lineRule="auto"/>
        <w:rPr>
          <w:highlight w:val="none"/>
        </w:rPr>
      </w:pPr>
      <w:r>
        <w:rPr>
          <w:highlight w:val="none"/>
        </w:rPr>
        <w:t> </w:t>
      </w:r>
    </w:p>
    <w:p w14:paraId="3B6940F6">
      <w:pPr>
        <w:pStyle w:val="12"/>
        <w:spacing w:before="120" w:beforeAutospacing="0" w:after="120" w:afterAutospacing="0" w:line="360" w:lineRule="auto"/>
        <w:jc w:val="center"/>
        <w:rPr>
          <w:rFonts w:ascii="Arial" w:hAnsi="Arial" w:cs="Arial"/>
          <w:b/>
          <w:color w:val="000000"/>
          <w:sz w:val="32"/>
          <w:szCs w:val="32"/>
          <w:highlight w:val="none"/>
        </w:rPr>
      </w:pPr>
      <w:r>
        <w:rPr>
          <w:rFonts w:hint="eastAsia" w:ascii="Arial" w:hAnsi="Arial" w:cs="Arial"/>
          <w:b/>
          <w:color w:val="000000"/>
          <w:sz w:val="32"/>
          <w:szCs w:val="32"/>
          <w:highlight w:val="none"/>
          <w:lang w:val="en-US" w:eastAsia="zh-CN"/>
        </w:rPr>
        <w:t>江</w:t>
      </w:r>
      <w:r>
        <w:rPr>
          <w:rFonts w:hint="eastAsia" w:ascii="Arial" w:hAnsi="Arial" w:cs="Arial"/>
          <w:b/>
          <w:color w:val="000000"/>
          <w:sz w:val="32"/>
          <w:szCs w:val="32"/>
          <w:highlight w:val="none"/>
        </w:rPr>
        <w:t>苏响水经济开发区管理委员会</w:t>
      </w:r>
    </w:p>
    <w:p w14:paraId="4094A0B4">
      <w:pPr>
        <w:pStyle w:val="12"/>
        <w:spacing w:before="120" w:beforeAutospacing="0" w:after="120" w:afterAutospacing="0" w:line="360" w:lineRule="auto"/>
        <w:jc w:val="center"/>
        <w:rPr>
          <w:highlight w:val="none"/>
        </w:rPr>
      </w:pPr>
      <w:r>
        <w:rPr>
          <w:rFonts w:hint="eastAsia" w:ascii="Arial" w:hAnsi="Arial" w:cs="Arial"/>
          <w:b/>
          <w:color w:val="000000"/>
          <w:sz w:val="32"/>
          <w:szCs w:val="32"/>
          <w:highlight w:val="none"/>
          <w:lang w:val="en-US" w:eastAsia="zh-CN"/>
        </w:rPr>
        <w:t>2024</w:t>
      </w:r>
      <w:r>
        <w:rPr>
          <w:rFonts w:ascii="Arial" w:hAnsi="Arial" w:cs="Arial"/>
          <w:b/>
          <w:color w:val="000000"/>
          <w:sz w:val="32"/>
          <w:szCs w:val="32"/>
          <w:highlight w:val="none"/>
        </w:rPr>
        <w:t>年</w:t>
      </w:r>
      <w:r>
        <w:rPr>
          <w:rFonts w:hint="eastAsia" w:ascii="Arial" w:hAnsi="Arial" w:cs="Arial"/>
          <w:b/>
          <w:color w:val="000000"/>
          <w:sz w:val="32"/>
          <w:szCs w:val="32"/>
          <w:highlight w:val="none"/>
          <w:lang w:val="en-US" w:eastAsia="zh-CN"/>
        </w:rPr>
        <w:t>12</w:t>
      </w:r>
      <w:r>
        <w:rPr>
          <w:rFonts w:ascii="Arial" w:hAnsi="Arial" w:cs="Arial"/>
          <w:b/>
          <w:color w:val="000000"/>
          <w:sz w:val="32"/>
          <w:szCs w:val="32"/>
          <w:highlight w:val="none"/>
        </w:rPr>
        <w:t>月</w:t>
      </w:r>
      <w:r>
        <w:rPr>
          <w:rFonts w:hint="eastAsia" w:ascii="Arial" w:hAnsi="Arial" w:cs="Arial"/>
          <w:b/>
          <w:color w:val="000000"/>
          <w:sz w:val="32"/>
          <w:szCs w:val="32"/>
          <w:highlight w:val="none"/>
          <w:lang w:val="en-US" w:eastAsia="zh-CN"/>
        </w:rPr>
        <w:t>06</w:t>
      </w:r>
      <w:r>
        <w:rPr>
          <w:rFonts w:ascii="Arial" w:hAnsi="Arial" w:cs="Arial"/>
          <w:b/>
          <w:color w:val="000000"/>
          <w:sz w:val="32"/>
          <w:szCs w:val="32"/>
          <w:highlight w:val="none"/>
        </w:rPr>
        <w:t>日</w:t>
      </w:r>
    </w:p>
    <w:p w14:paraId="1EF0C2FB">
      <w:pPr>
        <w:pStyle w:val="12"/>
        <w:spacing w:before="120" w:beforeAutospacing="0" w:after="120" w:afterAutospacing="0" w:line="360" w:lineRule="auto"/>
        <w:rPr>
          <w:highlight w:val="none"/>
        </w:rPr>
      </w:pPr>
      <w:r>
        <w:rPr>
          <w:rFonts w:ascii="Arial" w:hAnsi="Arial" w:cs="Arial"/>
          <w:color w:val="000000"/>
          <w:highlight w:val="none"/>
        </w:rPr>
        <w:t xml:space="preserve">                        </w:t>
      </w:r>
    </w:p>
    <w:p w14:paraId="7C350F9C">
      <w:pPr>
        <w:pStyle w:val="12"/>
        <w:spacing w:before="120" w:beforeAutospacing="0" w:after="120" w:afterAutospacing="0" w:line="360" w:lineRule="auto"/>
        <w:jc w:val="center"/>
        <w:rPr>
          <w:highlight w:val="none"/>
        </w:rPr>
      </w:pPr>
      <w:r>
        <w:rPr>
          <w:highlight w:val="none"/>
        </w:rPr>
        <w:t> </w:t>
      </w:r>
    </w:p>
    <w:p w14:paraId="39E5FAE3">
      <w:pPr>
        <w:pStyle w:val="12"/>
        <w:spacing w:beforeAutospacing="0" w:afterAutospacing="0" w:line="480" w:lineRule="auto"/>
        <w:jc w:val="center"/>
        <w:rPr>
          <w:highlight w:val="none"/>
        </w:rPr>
      </w:pPr>
      <w:r>
        <w:rPr>
          <w:rFonts w:ascii="Times New Roman" w:hAnsi="Times New Roman"/>
          <w:color w:val="000000"/>
          <w:sz w:val="21"/>
          <w:szCs w:val="21"/>
          <w:highlight w:val="none"/>
        </w:rPr>
        <w:br w:type="page"/>
      </w:r>
      <w:r>
        <w:rPr>
          <w:rFonts w:ascii="Times New Roman" w:hAnsi="Times New Roman"/>
          <w:color w:val="000000"/>
          <w:sz w:val="21"/>
          <w:szCs w:val="21"/>
          <w:highlight w:val="none"/>
        </w:rPr>
        <w:t> </w:t>
      </w:r>
      <w:bookmarkStart w:id="0" w:name="_Toc120614210"/>
      <w:bookmarkStart w:id="1" w:name="_Toc523127445"/>
      <w:bookmarkStart w:id="2" w:name="_Toc20823272"/>
      <w:bookmarkStart w:id="3" w:name="_Toc513029200"/>
      <w:bookmarkStart w:id="4" w:name="_Toc479757206"/>
      <w:bookmarkStart w:id="5" w:name="_Toc16938516"/>
      <w:r>
        <w:rPr>
          <w:rFonts w:ascii="Times New Roman" w:hAnsi="Times New Roman"/>
          <w:color w:val="000000"/>
          <w:sz w:val="21"/>
          <w:szCs w:val="21"/>
          <w:highlight w:val="none"/>
        </w:rPr>
        <w:t> </w:t>
      </w:r>
      <w:r>
        <w:rPr>
          <w:rFonts w:ascii="黑体" w:hAnsi="宋体" w:eastAsia="黑体" w:cs="黑体"/>
          <w:b/>
          <w:color w:val="000000"/>
          <w:sz w:val="44"/>
          <w:szCs w:val="44"/>
          <w:highlight w:val="none"/>
        </w:rPr>
        <w:t>总  目  录</w:t>
      </w:r>
      <w:bookmarkEnd w:id="0"/>
      <w:bookmarkEnd w:id="1"/>
      <w:bookmarkEnd w:id="2"/>
      <w:bookmarkEnd w:id="3"/>
      <w:bookmarkEnd w:id="4"/>
      <w:bookmarkEnd w:id="5"/>
    </w:p>
    <w:p w14:paraId="46C123E5">
      <w:pPr>
        <w:pStyle w:val="12"/>
        <w:spacing w:beforeAutospacing="0" w:afterAutospacing="0" w:line="480" w:lineRule="auto"/>
        <w:jc w:val="both"/>
        <w:rPr>
          <w:highlight w:val="none"/>
        </w:rPr>
      </w:pPr>
      <w:r>
        <w:rPr>
          <w:highlight w:val="none"/>
        </w:rPr>
        <w:t> </w:t>
      </w:r>
    </w:p>
    <w:p w14:paraId="5FFB5DC1">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lang w:val="en-US" w:eastAsia="zh-CN"/>
        </w:rPr>
        <w:t>招标公告</w:t>
      </w:r>
      <w:r>
        <w:rPr>
          <w:rFonts w:hint="eastAsia" w:ascii="黑体" w:hAnsi="宋体" w:eastAsia="黑体" w:cs="黑体"/>
          <w:color w:val="000000"/>
          <w:sz w:val="36"/>
          <w:szCs w:val="36"/>
          <w:highlight w:val="none"/>
        </w:rPr>
        <w:t xml:space="preserve">…………………………………… </w:t>
      </w:r>
    </w:p>
    <w:p w14:paraId="70E68CBF">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 xml:space="preserve">投标人须知…………………………………  </w:t>
      </w:r>
    </w:p>
    <w:p w14:paraId="7C93EEA1">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合同文本……………………………………</w:t>
      </w:r>
    </w:p>
    <w:p w14:paraId="2145B337">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采购需求……………………………………</w:t>
      </w:r>
    </w:p>
    <w:p w14:paraId="6E534166">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评标方法与评标标准………………………</w:t>
      </w:r>
    </w:p>
    <w:p w14:paraId="44C58167">
      <w:pPr>
        <w:pStyle w:val="12"/>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投标文件格式………………………………</w:t>
      </w:r>
    </w:p>
    <w:p w14:paraId="01C04BF7">
      <w:pPr>
        <w:pStyle w:val="12"/>
        <w:spacing w:beforeAutospacing="0" w:afterAutospacing="0"/>
        <w:jc w:val="both"/>
        <w:rPr>
          <w:highlight w:val="none"/>
        </w:rPr>
      </w:pPr>
      <w:r>
        <w:rPr>
          <w:highlight w:val="none"/>
        </w:rPr>
        <w:t> </w:t>
      </w:r>
    </w:p>
    <w:p w14:paraId="3F3DA1F6">
      <w:pPr>
        <w:pStyle w:val="12"/>
        <w:spacing w:beforeAutospacing="0" w:afterAutospacing="0"/>
        <w:jc w:val="both"/>
        <w:rPr>
          <w:highlight w:val="none"/>
        </w:rPr>
      </w:pPr>
      <w:r>
        <w:rPr>
          <w:highlight w:val="none"/>
        </w:rPr>
        <w:t> </w:t>
      </w:r>
    </w:p>
    <w:p w14:paraId="0B78DB79">
      <w:pPr>
        <w:pStyle w:val="12"/>
        <w:spacing w:beforeAutospacing="0" w:afterAutospacing="0"/>
        <w:jc w:val="both"/>
        <w:rPr>
          <w:highlight w:val="none"/>
        </w:rPr>
      </w:pPr>
      <w:r>
        <w:rPr>
          <w:highlight w:val="none"/>
        </w:rPr>
        <w:t> </w:t>
      </w:r>
    </w:p>
    <w:p w14:paraId="72CEFC11">
      <w:pPr>
        <w:pStyle w:val="12"/>
        <w:spacing w:beforeAutospacing="0" w:afterAutospacing="0"/>
        <w:jc w:val="both"/>
        <w:rPr>
          <w:highlight w:val="none"/>
        </w:rPr>
      </w:pPr>
      <w:r>
        <w:rPr>
          <w:highlight w:val="none"/>
        </w:rPr>
        <w:t> </w:t>
      </w:r>
    </w:p>
    <w:p w14:paraId="74AFF153">
      <w:pPr>
        <w:pStyle w:val="12"/>
        <w:spacing w:beforeAutospacing="0" w:afterAutospacing="0"/>
        <w:jc w:val="both"/>
        <w:rPr>
          <w:highlight w:val="none"/>
        </w:rPr>
      </w:pPr>
      <w:r>
        <w:rPr>
          <w:highlight w:val="none"/>
        </w:rPr>
        <w:t> </w:t>
      </w:r>
    </w:p>
    <w:p w14:paraId="00B9568D">
      <w:pPr>
        <w:pStyle w:val="12"/>
        <w:spacing w:beforeAutospacing="0" w:afterAutospacing="0"/>
        <w:jc w:val="both"/>
        <w:rPr>
          <w:highlight w:val="none"/>
        </w:rPr>
      </w:pPr>
      <w:r>
        <w:rPr>
          <w:highlight w:val="none"/>
        </w:rPr>
        <w:t> </w:t>
      </w:r>
    </w:p>
    <w:p w14:paraId="1B271FBA">
      <w:pPr>
        <w:pStyle w:val="12"/>
        <w:spacing w:beforeAutospacing="0" w:afterAutospacing="0"/>
        <w:jc w:val="both"/>
        <w:rPr>
          <w:highlight w:val="none"/>
        </w:rPr>
      </w:pPr>
      <w:r>
        <w:rPr>
          <w:highlight w:val="none"/>
        </w:rPr>
        <w:t> </w:t>
      </w:r>
    </w:p>
    <w:p w14:paraId="19FA008E">
      <w:pPr>
        <w:pStyle w:val="12"/>
        <w:spacing w:beforeAutospacing="0" w:afterAutospacing="0"/>
        <w:jc w:val="both"/>
        <w:rPr>
          <w:highlight w:val="none"/>
        </w:rPr>
      </w:pPr>
      <w:r>
        <w:rPr>
          <w:highlight w:val="none"/>
        </w:rPr>
        <w:t> </w:t>
      </w:r>
    </w:p>
    <w:p w14:paraId="43E89163">
      <w:pPr>
        <w:pStyle w:val="12"/>
        <w:spacing w:beforeAutospacing="0" w:afterAutospacing="0"/>
        <w:jc w:val="both"/>
        <w:rPr>
          <w:highlight w:val="none"/>
        </w:rPr>
      </w:pPr>
      <w:r>
        <w:rPr>
          <w:highlight w:val="none"/>
        </w:rPr>
        <w:t> </w:t>
      </w:r>
    </w:p>
    <w:p w14:paraId="7FB93301">
      <w:pPr>
        <w:pStyle w:val="12"/>
        <w:spacing w:beforeAutospacing="0" w:afterAutospacing="0"/>
        <w:jc w:val="both"/>
        <w:rPr>
          <w:highlight w:val="none"/>
        </w:rPr>
      </w:pPr>
      <w:r>
        <w:rPr>
          <w:highlight w:val="none"/>
        </w:rPr>
        <w:t> </w:t>
      </w:r>
    </w:p>
    <w:p w14:paraId="7962C48B">
      <w:pPr>
        <w:pStyle w:val="12"/>
        <w:spacing w:beforeAutospacing="0" w:afterAutospacing="0"/>
        <w:jc w:val="both"/>
        <w:rPr>
          <w:highlight w:val="none"/>
        </w:rPr>
      </w:pPr>
      <w:r>
        <w:rPr>
          <w:highlight w:val="none"/>
        </w:rPr>
        <w:t> </w:t>
      </w:r>
    </w:p>
    <w:p w14:paraId="78BDD78F">
      <w:pPr>
        <w:pStyle w:val="12"/>
        <w:spacing w:beforeAutospacing="0" w:afterAutospacing="0"/>
        <w:jc w:val="both"/>
        <w:rPr>
          <w:highlight w:val="none"/>
        </w:rPr>
      </w:pPr>
      <w:r>
        <w:rPr>
          <w:highlight w:val="none"/>
        </w:rPr>
        <w:t> </w:t>
      </w:r>
    </w:p>
    <w:p w14:paraId="5261D4C2">
      <w:pPr>
        <w:pStyle w:val="12"/>
        <w:spacing w:beforeAutospacing="0" w:afterAutospacing="0"/>
        <w:jc w:val="both"/>
        <w:rPr>
          <w:highlight w:val="none"/>
        </w:rPr>
      </w:pPr>
      <w:r>
        <w:rPr>
          <w:highlight w:val="none"/>
        </w:rPr>
        <w:t> </w:t>
      </w:r>
    </w:p>
    <w:p w14:paraId="71A44AE9">
      <w:pPr>
        <w:pStyle w:val="12"/>
        <w:spacing w:beforeAutospacing="0" w:afterAutospacing="0"/>
        <w:jc w:val="both"/>
        <w:rPr>
          <w:highlight w:val="none"/>
        </w:rPr>
      </w:pPr>
      <w:r>
        <w:rPr>
          <w:highlight w:val="none"/>
        </w:rPr>
        <w:t> </w:t>
      </w:r>
    </w:p>
    <w:p w14:paraId="3A6D676C">
      <w:pPr>
        <w:pStyle w:val="12"/>
        <w:spacing w:beforeAutospacing="0" w:afterAutospacing="0"/>
        <w:jc w:val="both"/>
        <w:rPr>
          <w:highlight w:val="none"/>
        </w:rPr>
      </w:pPr>
      <w:r>
        <w:rPr>
          <w:highlight w:val="none"/>
        </w:rPr>
        <w:t> </w:t>
      </w:r>
    </w:p>
    <w:p w14:paraId="39F9704B">
      <w:pPr>
        <w:pStyle w:val="12"/>
        <w:spacing w:beforeAutospacing="0" w:afterAutospacing="0"/>
        <w:jc w:val="both"/>
        <w:rPr>
          <w:highlight w:val="none"/>
        </w:rPr>
      </w:pPr>
      <w:r>
        <w:rPr>
          <w:highlight w:val="none"/>
        </w:rPr>
        <w:t> </w:t>
      </w:r>
    </w:p>
    <w:p w14:paraId="328F2A25">
      <w:pPr>
        <w:pStyle w:val="12"/>
        <w:spacing w:beforeAutospacing="0" w:afterAutospacing="0"/>
        <w:jc w:val="both"/>
        <w:rPr>
          <w:highlight w:val="none"/>
        </w:rPr>
      </w:pPr>
      <w:r>
        <w:rPr>
          <w:highlight w:val="none"/>
        </w:rPr>
        <w:t> </w:t>
      </w:r>
    </w:p>
    <w:p w14:paraId="39818BC7">
      <w:pPr>
        <w:pStyle w:val="12"/>
        <w:spacing w:beforeAutospacing="0" w:afterAutospacing="0"/>
        <w:jc w:val="both"/>
        <w:rPr>
          <w:highlight w:val="none"/>
        </w:rPr>
      </w:pPr>
      <w:r>
        <w:rPr>
          <w:highlight w:val="none"/>
        </w:rPr>
        <w:t> </w:t>
      </w:r>
    </w:p>
    <w:p w14:paraId="4D823332">
      <w:pPr>
        <w:pStyle w:val="12"/>
        <w:spacing w:beforeAutospacing="0" w:afterAutospacing="0"/>
        <w:jc w:val="both"/>
        <w:rPr>
          <w:highlight w:val="none"/>
        </w:rPr>
      </w:pPr>
      <w:r>
        <w:rPr>
          <w:highlight w:val="none"/>
        </w:rPr>
        <w:t> </w:t>
      </w:r>
    </w:p>
    <w:p w14:paraId="37F80479">
      <w:pPr>
        <w:pStyle w:val="12"/>
        <w:spacing w:beforeAutospacing="0" w:afterAutospacing="0"/>
        <w:jc w:val="both"/>
        <w:rPr>
          <w:highlight w:val="none"/>
        </w:rPr>
      </w:pPr>
      <w:r>
        <w:rPr>
          <w:highlight w:val="none"/>
        </w:rPr>
        <w:t> </w:t>
      </w:r>
    </w:p>
    <w:p w14:paraId="373F5E66">
      <w:pPr>
        <w:pStyle w:val="12"/>
        <w:spacing w:beforeAutospacing="0" w:afterAutospacing="0"/>
        <w:jc w:val="both"/>
        <w:rPr>
          <w:highlight w:val="none"/>
        </w:rPr>
      </w:pPr>
      <w:r>
        <w:rPr>
          <w:highlight w:val="none"/>
        </w:rPr>
        <w:t> </w:t>
      </w:r>
    </w:p>
    <w:p w14:paraId="5C99A828">
      <w:pPr>
        <w:pStyle w:val="12"/>
        <w:spacing w:beforeAutospacing="0" w:afterAutospacing="0"/>
        <w:jc w:val="both"/>
        <w:rPr>
          <w:highlight w:val="none"/>
        </w:rPr>
      </w:pPr>
      <w:r>
        <w:rPr>
          <w:highlight w:val="none"/>
        </w:rPr>
        <w:t> </w:t>
      </w:r>
    </w:p>
    <w:p w14:paraId="5C15BE95">
      <w:pPr>
        <w:pStyle w:val="12"/>
        <w:spacing w:beforeAutospacing="0" w:afterAutospacing="0"/>
        <w:jc w:val="both"/>
        <w:rPr>
          <w:highlight w:val="none"/>
        </w:rPr>
      </w:pPr>
      <w:r>
        <w:rPr>
          <w:highlight w:val="none"/>
        </w:rPr>
        <w:t> </w:t>
      </w:r>
    </w:p>
    <w:p w14:paraId="35AD85ED">
      <w:pPr>
        <w:pStyle w:val="12"/>
        <w:spacing w:beforeAutospacing="0" w:afterAutospacing="0"/>
        <w:jc w:val="both"/>
        <w:rPr>
          <w:highlight w:val="none"/>
        </w:rPr>
      </w:pPr>
      <w:r>
        <w:rPr>
          <w:highlight w:val="none"/>
        </w:rPr>
        <w:t> </w:t>
      </w:r>
    </w:p>
    <w:p w14:paraId="4091650A">
      <w:pPr>
        <w:pStyle w:val="12"/>
        <w:spacing w:beforeAutospacing="0" w:afterAutospacing="0"/>
        <w:jc w:val="both"/>
        <w:rPr>
          <w:highlight w:val="none"/>
        </w:rPr>
      </w:pPr>
      <w:r>
        <w:rPr>
          <w:highlight w:val="none"/>
        </w:rPr>
        <w:t> </w:t>
      </w:r>
    </w:p>
    <w:p w14:paraId="0EA72DAE">
      <w:pPr>
        <w:pStyle w:val="12"/>
        <w:spacing w:beforeAutospacing="0" w:afterAutospacing="0"/>
        <w:jc w:val="both"/>
        <w:rPr>
          <w:highlight w:val="none"/>
        </w:rPr>
      </w:pPr>
      <w:r>
        <w:rPr>
          <w:highlight w:val="none"/>
        </w:rPr>
        <w:t> </w:t>
      </w:r>
    </w:p>
    <w:p w14:paraId="1E1E8F61">
      <w:pPr>
        <w:pStyle w:val="12"/>
        <w:spacing w:beforeAutospacing="0" w:afterAutospacing="0"/>
        <w:jc w:val="both"/>
        <w:rPr>
          <w:highlight w:val="none"/>
        </w:rPr>
      </w:pPr>
      <w:r>
        <w:rPr>
          <w:highlight w:val="none"/>
        </w:rPr>
        <w:t> </w:t>
      </w:r>
    </w:p>
    <w:p w14:paraId="25084642">
      <w:pPr>
        <w:pStyle w:val="12"/>
        <w:spacing w:beforeAutospacing="0" w:afterAutospacing="0"/>
        <w:jc w:val="both"/>
        <w:rPr>
          <w:highlight w:val="none"/>
        </w:rPr>
      </w:pPr>
      <w:r>
        <w:rPr>
          <w:highlight w:val="none"/>
        </w:rPr>
        <w:t> </w:t>
      </w:r>
    </w:p>
    <w:p w14:paraId="06259147">
      <w:pPr>
        <w:pStyle w:val="12"/>
        <w:spacing w:beforeAutospacing="0" w:afterAutospacing="0"/>
        <w:jc w:val="both"/>
        <w:rPr>
          <w:highlight w:val="none"/>
        </w:rPr>
      </w:pPr>
      <w:r>
        <w:rPr>
          <w:highlight w:val="none"/>
        </w:rPr>
        <w:t> </w:t>
      </w:r>
    </w:p>
    <w:p w14:paraId="453D1FEC">
      <w:pPr>
        <w:pStyle w:val="12"/>
        <w:keepNext/>
        <w:spacing w:beforeAutospacing="0" w:afterAutospacing="0"/>
        <w:jc w:val="center"/>
        <w:rPr>
          <w:rFonts w:hint="default" w:eastAsia="黑体"/>
          <w:highlight w:val="none"/>
          <w:lang w:val="en-US" w:eastAsia="zh-CN"/>
        </w:rPr>
      </w:pPr>
      <w:r>
        <w:rPr>
          <w:rFonts w:hint="eastAsia" w:ascii="黑体" w:hAnsi="宋体" w:eastAsia="黑体" w:cs="黑体"/>
          <w:color w:val="000000"/>
          <w:sz w:val="44"/>
          <w:szCs w:val="44"/>
          <w:highlight w:val="none"/>
        </w:rPr>
        <w:t>第一章 </w:t>
      </w:r>
      <w:r>
        <w:rPr>
          <w:rFonts w:hint="eastAsia" w:ascii="黑体" w:hAnsi="宋体" w:eastAsia="黑体" w:cs="黑体"/>
          <w:color w:val="000000"/>
          <w:sz w:val="44"/>
          <w:szCs w:val="44"/>
          <w:highlight w:val="none"/>
          <w:lang w:val="en-US" w:eastAsia="zh-CN"/>
        </w:rPr>
        <w:t>招标公告</w:t>
      </w:r>
    </w:p>
    <w:p w14:paraId="42E5C7CC">
      <w:pPr>
        <w:pStyle w:val="12"/>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项目概况</w:t>
      </w:r>
    </w:p>
    <w:p w14:paraId="52E4110B">
      <w:pPr>
        <w:pStyle w:val="12"/>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u w:val="single"/>
        </w:rPr>
        <w:t xml:space="preserve">响水经济开发区空气站运维 </w:t>
      </w:r>
      <w:r>
        <w:rPr>
          <w:rFonts w:hint="eastAsia" w:ascii="仿宋" w:hAnsi="仿宋" w:eastAsia="仿宋" w:cs="仿宋"/>
          <w:color w:val="000000"/>
          <w:sz w:val="28"/>
          <w:szCs w:val="28"/>
          <w:highlight w:val="none"/>
        </w:rPr>
        <w:t>招标项目的潜在投标人可在</w:t>
      </w:r>
      <w:r>
        <w:rPr>
          <w:rFonts w:ascii="仿宋" w:hAnsi="仿宋" w:eastAsia="仿宋" w:cs="仿宋"/>
          <w:i w:val="0"/>
          <w:iCs w:val="0"/>
          <w:caps w:val="0"/>
          <w:color w:val="333333"/>
          <w:spacing w:val="0"/>
          <w:sz w:val="28"/>
          <w:szCs w:val="28"/>
          <w:highlight w:val="none"/>
          <w:shd w:val="clear" w:fill="FFFFFF"/>
        </w:rPr>
        <w:t>“苏采云”系统内免费下载（投标人必须在苏采云系统中获取采购文件，方能参与政府采购项目）</w:t>
      </w:r>
      <w:r>
        <w:rPr>
          <w:rFonts w:ascii="微软雅黑" w:hAnsi="微软雅黑" w:eastAsia="微软雅黑" w:cs="微软雅黑"/>
          <w:i w:val="0"/>
          <w:iCs w:val="0"/>
          <w:caps w:val="0"/>
          <w:color w:val="333333"/>
          <w:spacing w:val="0"/>
          <w:sz w:val="27"/>
          <w:szCs w:val="27"/>
          <w:highlight w:val="none"/>
          <w:shd w:val="clear" w:fill="FFFFFF"/>
        </w:rPr>
        <w:t> </w:t>
      </w:r>
      <w:r>
        <w:rPr>
          <w:rFonts w:hint="eastAsia" w:ascii="仿宋" w:hAnsi="仿宋" w:eastAsia="仿宋" w:cs="仿宋"/>
          <w:color w:val="000000"/>
          <w:sz w:val="28"/>
          <w:szCs w:val="28"/>
          <w:highlight w:val="none"/>
        </w:rPr>
        <w:t>，并于</w:t>
      </w:r>
      <w:r>
        <w:rPr>
          <w:rFonts w:hint="eastAsia" w:ascii="仿宋" w:hAnsi="仿宋" w:eastAsia="仿宋" w:cs="仿宋"/>
          <w:color w:val="000000"/>
          <w:sz w:val="28"/>
          <w:szCs w:val="28"/>
          <w:highlight w:val="none"/>
          <w:u w:val="single"/>
        </w:rPr>
        <w:t> </w:t>
      </w:r>
      <w:r>
        <w:rPr>
          <w:rFonts w:hint="eastAsia" w:ascii="仿宋" w:hAnsi="仿宋" w:eastAsia="仿宋" w:cs="仿宋"/>
          <w:color w:val="000000"/>
          <w:sz w:val="28"/>
          <w:szCs w:val="28"/>
          <w:highlight w:val="none"/>
          <w:u w:val="single"/>
          <w:lang w:val="en-US" w:eastAsia="zh-CN"/>
        </w:rPr>
        <w:t>2024</w:t>
      </w:r>
      <w:r>
        <w:rPr>
          <w:rFonts w:hint="eastAsia" w:ascii="仿宋" w:hAnsi="仿宋" w:eastAsia="仿宋" w:cs="仿宋"/>
          <w:color w:val="000000"/>
          <w:sz w:val="28"/>
          <w:szCs w:val="28"/>
          <w:highlight w:val="none"/>
          <w:u w:val="single"/>
        </w:rPr>
        <w:t>年 </w:t>
      </w:r>
      <w:r>
        <w:rPr>
          <w:rFonts w:hint="eastAsia" w:ascii="仿宋" w:hAnsi="仿宋" w:eastAsia="仿宋" w:cs="仿宋"/>
          <w:color w:val="000000"/>
          <w:sz w:val="28"/>
          <w:szCs w:val="28"/>
          <w:highlight w:val="none"/>
          <w:u w:val="single"/>
          <w:lang w:val="en-US" w:eastAsia="zh-CN"/>
        </w:rPr>
        <w:t>12</w:t>
      </w:r>
      <w:r>
        <w:rPr>
          <w:rFonts w:hint="eastAsia" w:ascii="仿宋" w:hAnsi="仿宋" w:eastAsia="仿宋" w:cs="仿宋"/>
          <w:color w:val="000000"/>
          <w:sz w:val="28"/>
          <w:szCs w:val="28"/>
          <w:highlight w:val="none"/>
          <w:u w:val="single"/>
        </w:rPr>
        <w:t xml:space="preserve"> 月 </w:t>
      </w:r>
      <w:r>
        <w:rPr>
          <w:rFonts w:hint="eastAsia" w:ascii="仿宋" w:hAnsi="仿宋" w:eastAsia="仿宋" w:cs="仿宋"/>
          <w:color w:val="000000"/>
          <w:sz w:val="28"/>
          <w:szCs w:val="28"/>
          <w:highlight w:val="none"/>
          <w:u w:val="single"/>
          <w:lang w:val="en-US" w:eastAsia="zh-CN"/>
        </w:rPr>
        <w:t>31</w:t>
      </w:r>
      <w:r>
        <w:rPr>
          <w:rFonts w:hint="eastAsia" w:ascii="仿宋" w:hAnsi="仿宋" w:eastAsia="仿宋" w:cs="仿宋"/>
          <w:color w:val="000000"/>
          <w:sz w:val="28"/>
          <w:szCs w:val="28"/>
          <w:highlight w:val="none"/>
          <w:u w:val="single"/>
        </w:rPr>
        <w:t xml:space="preserve"> 日  </w:t>
      </w:r>
      <w:r>
        <w:rPr>
          <w:rFonts w:hint="eastAsia" w:ascii="仿宋" w:hAnsi="仿宋" w:eastAsia="仿宋" w:cs="仿宋"/>
          <w:color w:val="000000"/>
          <w:sz w:val="28"/>
          <w:szCs w:val="28"/>
          <w:highlight w:val="none"/>
          <w:u w:val="single"/>
          <w:lang w:val="en-US" w:eastAsia="zh-CN"/>
        </w:rPr>
        <w:t>09</w:t>
      </w:r>
      <w:r>
        <w:rPr>
          <w:rFonts w:hint="eastAsia" w:ascii="仿宋" w:hAnsi="仿宋" w:eastAsia="仿宋" w:cs="仿宋"/>
          <w:color w:val="000000"/>
          <w:sz w:val="28"/>
          <w:szCs w:val="28"/>
          <w:highlight w:val="none"/>
          <w:u w:val="single"/>
        </w:rPr>
        <w:t>  点 </w:t>
      </w:r>
      <w:r>
        <w:rPr>
          <w:rFonts w:hint="eastAsia" w:ascii="仿宋" w:hAnsi="仿宋" w:eastAsia="仿宋" w:cs="仿宋"/>
          <w:color w:val="000000"/>
          <w:sz w:val="28"/>
          <w:szCs w:val="28"/>
          <w:highlight w:val="none"/>
          <w:u w:val="single"/>
          <w:lang w:val="en-US" w:eastAsia="zh-CN"/>
        </w:rPr>
        <w:t>00</w:t>
      </w:r>
      <w:r>
        <w:rPr>
          <w:rFonts w:hint="eastAsia" w:ascii="仿宋" w:hAnsi="仿宋" w:eastAsia="仿宋" w:cs="仿宋"/>
          <w:color w:val="000000"/>
          <w:sz w:val="28"/>
          <w:szCs w:val="28"/>
          <w:highlight w:val="none"/>
          <w:u w:val="single"/>
        </w:rPr>
        <w:t>   分（</w:t>
      </w:r>
      <w:r>
        <w:rPr>
          <w:rFonts w:hint="eastAsia" w:ascii="仿宋" w:hAnsi="仿宋" w:eastAsia="仿宋" w:cs="仿宋"/>
          <w:color w:val="000000"/>
          <w:sz w:val="28"/>
          <w:szCs w:val="28"/>
          <w:highlight w:val="none"/>
        </w:rPr>
        <w:t>北京时间）前递交投标文件。</w:t>
      </w:r>
    </w:p>
    <w:p w14:paraId="1753D792">
      <w:pPr>
        <w:pStyle w:val="12"/>
        <w:keepNext/>
        <w:keepLines/>
        <w:spacing w:before="145" w:beforeAutospacing="0" w:after="145" w:afterAutospacing="0" w:line="360" w:lineRule="auto"/>
        <w:ind w:firstLine="498"/>
        <w:jc w:val="both"/>
        <w:rPr>
          <w:highlight w:val="none"/>
        </w:rPr>
      </w:pPr>
      <w:bookmarkStart w:id="6" w:name="_Toc28359079"/>
      <w:bookmarkStart w:id="7" w:name="_Toc35393621"/>
      <w:bookmarkStart w:id="8" w:name="_Toc28359002"/>
      <w:bookmarkStart w:id="9" w:name="_Toc38985263"/>
      <w:bookmarkStart w:id="10" w:name="_Hlk24379207"/>
      <w:bookmarkStart w:id="11" w:name="_Toc35393790"/>
      <w:r>
        <w:rPr>
          <w:rFonts w:ascii="Times New Roman" w:hAnsi="Times New Roman"/>
          <w:b/>
          <w:color w:val="000000"/>
          <w:sz w:val="32"/>
          <w:szCs w:val="32"/>
          <w:highlight w:val="none"/>
        </w:rPr>
        <w:t>一、项目基本情况</w:t>
      </w:r>
      <w:bookmarkEnd w:id="6"/>
      <w:bookmarkEnd w:id="7"/>
      <w:bookmarkEnd w:id="8"/>
      <w:bookmarkEnd w:id="9"/>
      <w:bookmarkEnd w:id="10"/>
      <w:bookmarkEnd w:id="11"/>
    </w:p>
    <w:p w14:paraId="3A301245">
      <w:pPr>
        <w:pStyle w:val="12"/>
        <w:spacing w:beforeAutospacing="0" w:afterAutospacing="0"/>
        <w:ind w:left="479" w:leftChars="228" w:firstLine="64" w:firstLineChars="27"/>
        <w:jc w:val="both"/>
        <w:rPr>
          <w:rFonts w:hint="eastAsia" w:ascii="仿宋" w:hAnsi="仿宋" w:eastAsia="仿宋" w:cs="仿宋"/>
          <w:color w:val="000000"/>
          <w:sz w:val="28"/>
          <w:szCs w:val="28"/>
          <w:highlight w:val="none"/>
        </w:rPr>
      </w:pPr>
      <w:r>
        <w:rPr>
          <w:rFonts w:hint="eastAsia" w:ascii="宋体" w:hAnsi="宋体" w:eastAsia="宋体" w:cs="宋体"/>
          <w:color w:val="000000"/>
          <w:highlight w:val="none"/>
        </w:rPr>
        <w:t>1.项目编号：JSZC-320921-YCJH-G2024-0002</w:t>
      </w:r>
      <w:r>
        <w:rPr>
          <w:rFonts w:hint="eastAsia" w:ascii="宋体" w:hAnsi="宋体" w:eastAsia="宋体" w:cs="宋体"/>
          <w:color w:val="000000"/>
          <w:highlight w:val="none"/>
        </w:rPr>
        <w:br w:type="textWrapping"/>
      </w:r>
      <w:r>
        <w:rPr>
          <w:rFonts w:hint="eastAsia" w:ascii="仿宋" w:hAnsi="仿宋" w:eastAsia="仿宋" w:cs="仿宋"/>
          <w:color w:val="000000"/>
          <w:sz w:val="28"/>
          <w:szCs w:val="28"/>
          <w:highlight w:val="none"/>
        </w:rPr>
        <w:t>2.项目名称：响水经济开发区空气站运维项目</w:t>
      </w:r>
    </w:p>
    <w:p w14:paraId="0E8FCEAA">
      <w:pPr>
        <w:pStyle w:val="12"/>
        <w:spacing w:beforeAutospacing="0" w:afterAutospacing="0"/>
        <w:ind w:firstLine="480"/>
        <w:jc w:val="both"/>
        <w:rPr>
          <w:rFonts w:hint="eastAsia" w:ascii="仿宋" w:hAnsi="仿宋" w:eastAsia="仿宋" w:cs="仿宋"/>
          <w:color w:val="000000"/>
          <w:sz w:val="28"/>
          <w:szCs w:val="28"/>
          <w:highlight w:val="none"/>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3.</w:t>
      </w:r>
      <w:r>
        <w:rPr>
          <w:rFonts w:hint="eastAsia" w:ascii="仿宋" w:hAnsi="仿宋" w:eastAsia="仿宋" w:cs="仿宋"/>
          <w:i w:val="0"/>
          <w:iCs w:val="0"/>
          <w:caps w:val="0"/>
          <w:color w:val="333333"/>
          <w:spacing w:val="0"/>
          <w:sz w:val="28"/>
          <w:szCs w:val="28"/>
          <w:highlight w:val="none"/>
          <w:shd w:val="clear" w:fill="FFFFFF"/>
        </w:rPr>
        <w:t>采购方式：</w:t>
      </w:r>
      <w:r>
        <w:rPr>
          <w:rFonts w:hint="eastAsia" w:ascii="仿宋" w:hAnsi="仿宋" w:eastAsia="仿宋" w:cs="仿宋"/>
          <w:i w:val="0"/>
          <w:iCs w:val="0"/>
          <w:caps w:val="0"/>
          <w:color w:val="333333"/>
          <w:spacing w:val="0"/>
          <w:sz w:val="28"/>
          <w:szCs w:val="28"/>
          <w:highlight w:val="none"/>
          <w:shd w:val="clear" w:fill="FFFFFF"/>
          <w:lang w:val="en-US" w:eastAsia="zh-CN"/>
        </w:rPr>
        <w:t>公开招标</w:t>
      </w:r>
    </w:p>
    <w:p w14:paraId="1418CA98">
      <w:pPr>
        <w:pStyle w:val="12"/>
        <w:spacing w:beforeAutospacing="0" w:afterAutospacing="0"/>
        <w:ind w:firstLine="480"/>
        <w:jc w:val="both"/>
        <w:rPr>
          <w:rFonts w:hint="default" w:ascii="仿宋" w:hAnsi="仿宋" w:eastAsia="仿宋" w:cs="仿宋"/>
          <w:color w:val="000000"/>
          <w:sz w:val="28"/>
          <w:szCs w:val="28"/>
          <w:highlight w:val="none"/>
          <w:shd w:val="clear" w:color="auto" w:fill="FFFF00"/>
          <w:lang w:val="en-US" w:eastAsia="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.预算金额：</w:t>
      </w:r>
      <w:r>
        <w:rPr>
          <w:rFonts w:hint="eastAsia" w:ascii="仿宋" w:hAnsi="仿宋" w:eastAsia="仿宋" w:cs="仿宋"/>
          <w:color w:val="000000"/>
          <w:sz w:val="28"/>
          <w:szCs w:val="28"/>
          <w:highlight w:val="none"/>
          <w:lang w:val="en-US" w:eastAsia="zh-CN"/>
        </w:rPr>
        <w:t>2300000.00</w:t>
      </w:r>
    </w:p>
    <w:p w14:paraId="6BA49A66">
      <w:pPr>
        <w:pStyle w:val="12"/>
        <w:spacing w:beforeAutospacing="0" w:afterAutospacing="0"/>
        <w:ind w:firstLine="480"/>
        <w:jc w:val="both"/>
        <w:rPr>
          <w:rFonts w:hint="default" w:ascii="仿宋" w:hAnsi="仿宋" w:eastAsia="仿宋" w:cs="仿宋"/>
          <w:color w:val="000000"/>
          <w:sz w:val="28"/>
          <w:szCs w:val="28"/>
          <w:highlight w:val="none"/>
          <w:shd w:val="clear" w:color="auto" w:fill="FFFF00"/>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5.</w:t>
      </w:r>
      <w:r>
        <w:rPr>
          <w:rFonts w:hint="eastAsia" w:ascii="仿宋" w:hAnsi="仿宋" w:eastAsia="仿宋" w:cs="仿宋"/>
          <w:i w:val="0"/>
          <w:iCs w:val="0"/>
          <w:caps w:val="0"/>
          <w:color w:val="333333"/>
          <w:spacing w:val="0"/>
          <w:sz w:val="28"/>
          <w:szCs w:val="28"/>
          <w:highlight w:val="none"/>
          <w:shd w:val="clear" w:fill="FFFFFF"/>
        </w:rPr>
        <w:t>最高限价（如有）：</w:t>
      </w:r>
      <w:r>
        <w:rPr>
          <w:rFonts w:hint="eastAsia" w:ascii="仿宋" w:hAnsi="仿宋" w:eastAsia="仿宋" w:cs="仿宋"/>
          <w:i w:val="0"/>
          <w:iCs w:val="0"/>
          <w:caps w:val="0"/>
          <w:color w:val="333333"/>
          <w:spacing w:val="0"/>
          <w:sz w:val="28"/>
          <w:szCs w:val="28"/>
          <w:highlight w:val="none"/>
          <w:shd w:val="clear" w:fill="FFFFFF"/>
          <w:lang w:val="en-US" w:eastAsia="zh-CN"/>
        </w:rPr>
        <w:t>2300000.00</w:t>
      </w:r>
    </w:p>
    <w:p w14:paraId="58447B92">
      <w:pPr>
        <w:pStyle w:val="8"/>
        <w:bidi w:val="0"/>
        <w:ind w:left="0" w:leftChars="0" w:firstLine="480" w:firstLineChars="0"/>
        <w:rPr>
          <w:rFonts w:hint="eastAsia" w:ascii="仿宋" w:hAnsi="仿宋" w:eastAsia="仿宋" w:cs="仿宋"/>
          <w:i w:val="0"/>
          <w:iCs w:val="0"/>
          <w:caps w:val="0"/>
          <w:color w:val="333333"/>
          <w:spacing w:val="0"/>
          <w:kern w:val="0"/>
          <w:sz w:val="28"/>
          <w:szCs w:val="28"/>
          <w:highlight w:val="none"/>
          <w:shd w:val="clear" w:fill="FFFFFF"/>
          <w:lang w:val="en-US" w:eastAsia="zh-CN" w:bidi="ar-SA"/>
        </w:rPr>
      </w:pPr>
      <w:r>
        <w:rPr>
          <w:rFonts w:hint="eastAsia" w:ascii="仿宋" w:hAnsi="仿宋" w:eastAsia="仿宋" w:cs="仿宋"/>
          <w:i w:val="0"/>
          <w:iCs w:val="0"/>
          <w:caps w:val="0"/>
          <w:color w:val="333333"/>
          <w:spacing w:val="0"/>
          <w:kern w:val="0"/>
          <w:sz w:val="28"/>
          <w:szCs w:val="28"/>
          <w:highlight w:val="none"/>
          <w:shd w:val="clear" w:fill="FFFFFF"/>
          <w:lang w:val="en-US" w:eastAsia="zh-CN" w:bidi="ar-SA"/>
        </w:rPr>
        <w:t>6.采购需求（简介）：</w:t>
      </w:r>
    </w:p>
    <w:p w14:paraId="05C2748A">
      <w:pPr>
        <w:pStyle w:val="8"/>
        <w:bidi w:val="0"/>
        <w:ind w:left="0" w:leftChars="0" w:firstLine="480" w:firstLineChars="0"/>
        <w:rPr>
          <w:rFonts w:hint="eastAsia" w:ascii="仿宋" w:hAnsi="仿宋" w:eastAsia="仿宋" w:cs="仿宋"/>
          <w:i w:val="0"/>
          <w:iCs w:val="0"/>
          <w:caps w:val="0"/>
          <w:color w:val="333333"/>
          <w:spacing w:val="0"/>
          <w:kern w:val="0"/>
          <w:sz w:val="28"/>
          <w:szCs w:val="28"/>
          <w:highlight w:val="none"/>
          <w:shd w:val="clear" w:fill="FFFFFF"/>
          <w:lang w:val="en-US" w:eastAsia="zh-CN" w:bidi="ar-SA"/>
        </w:rPr>
      </w:pPr>
      <w:r>
        <w:rPr>
          <w:rFonts w:hint="eastAsia" w:ascii="仿宋" w:hAnsi="仿宋" w:eastAsia="仿宋" w:cs="仿宋"/>
          <w:i w:val="0"/>
          <w:iCs w:val="0"/>
          <w:caps w:val="0"/>
          <w:color w:val="333333"/>
          <w:spacing w:val="0"/>
          <w:kern w:val="0"/>
          <w:sz w:val="28"/>
          <w:szCs w:val="28"/>
          <w:highlight w:val="none"/>
          <w:shd w:val="clear" w:fill="FFFFFF"/>
          <w:lang w:val="en-US" w:eastAsia="zh-CN" w:bidi="ar-SA"/>
        </w:rPr>
        <w:t xml:space="preserve">1.响水经济开发区环境在线监测站2024-2026年度设备运维，运营、维护环境监测设备及监测数据对比工作。同时根据监测数据情况结合化工园区实际情况利用信息化手段辅助园区开展污染溯源工作，协助园区开展环境应急工作。设备明细如下：常规空气站2座、挥发性有机物2座、环境空气微型站39座。 </w:t>
      </w:r>
    </w:p>
    <w:p w14:paraId="46C5FF7C">
      <w:pPr>
        <w:pStyle w:val="12"/>
        <w:spacing w:beforeAutospacing="0" w:afterAutospacing="0"/>
        <w:ind w:firstLine="480"/>
        <w:jc w:val="both"/>
        <w:rPr>
          <w:rFonts w:hint="default" w:ascii="仿宋" w:hAnsi="仿宋" w:eastAsia="仿宋" w:cs="仿宋"/>
          <w:i w:val="0"/>
          <w:iCs w:val="0"/>
          <w:caps w:val="0"/>
          <w:color w:val="333333"/>
          <w:spacing w:val="0"/>
          <w:sz w:val="28"/>
          <w:szCs w:val="28"/>
          <w:highlight w:val="none"/>
          <w:shd w:val="clear" w:fill="FFFFFF"/>
          <w:lang w:val="en-US" w:eastAsia="zh-CN"/>
        </w:rPr>
      </w:pPr>
      <w:r>
        <w:rPr>
          <w:rFonts w:hint="default" w:ascii="仿宋" w:hAnsi="仿宋" w:eastAsia="仿宋" w:cs="仿宋"/>
          <w:i w:val="0"/>
          <w:iCs w:val="0"/>
          <w:caps w:val="0"/>
          <w:color w:val="333333"/>
          <w:spacing w:val="0"/>
          <w:sz w:val="28"/>
          <w:szCs w:val="28"/>
          <w:highlight w:val="none"/>
          <w:shd w:val="clear" w:fill="FFFFFF"/>
          <w:lang w:val="en-US" w:eastAsia="zh-CN"/>
        </w:rPr>
        <w:t>2．本项目采购内容主要包含</w:t>
      </w:r>
      <w:r>
        <w:rPr>
          <w:rFonts w:hint="eastAsia" w:ascii="仿宋" w:hAnsi="仿宋" w:eastAsia="仿宋" w:cs="仿宋"/>
          <w:i w:val="0"/>
          <w:iCs w:val="0"/>
          <w:caps w:val="0"/>
          <w:color w:val="333333"/>
          <w:spacing w:val="0"/>
          <w:sz w:val="28"/>
          <w:szCs w:val="28"/>
          <w:highlight w:val="none"/>
          <w:shd w:val="clear" w:fill="FFFFFF"/>
          <w:lang w:val="en-US" w:eastAsia="zh-CN"/>
        </w:rPr>
        <w:t>设备明细如下：常规空气站2座、挥发性有机物VOC2座、环境空气微型站39座</w:t>
      </w:r>
      <w:r>
        <w:rPr>
          <w:rFonts w:hint="default" w:ascii="仿宋" w:hAnsi="仿宋" w:eastAsia="仿宋" w:cs="仿宋"/>
          <w:i w:val="0"/>
          <w:iCs w:val="0"/>
          <w:caps w:val="0"/>
          <w:color w:val="333333"/>
          <w:spacing w:val="0"/>
          <w:sz w:val="28"/>
          <w:szCs w:val="28"/>
          <w:highlight w:val="none"/>
          <w:shd w:val="clear" w:fill="FFFFFF"/>
          <w:lang w:val="en-US" w:eastAsia="zh-CN"/>
        </w:rPr>
        <w:t>。</w:t>
      </w:r>
    </w:p>
    <w:p w14:paraId="620E08E7">
      <w:pPr>
        <w:pStyle w:val="12"/>
        <w:spacing w:beforeAutospacing="0" w:afterAutospacing="0"/>
        <w:ind w:firstLine="480"/>
        <w:jc w:val="both"/>
        <w:rPr>
          <w:rFonts w:hint="default" w:ascii="仿宋" w:hAnsi="仿宋" w:eastAsia="仿宋" w:cs="仿宋"/>
          <w:i w:val="0"/>
          <w:iCs w:val="0"/>
          <w:caps w:val="0"/>
          <w:color w:val="333333"/>
          <w:spacing w:val="0"/>
          <w:sz w:val="28"/>
          <w:szCs w:val="28"/>
          <w:highlight w:val="none"/>
          <w:shd w:val="clear" w:fill="FFFFFF"/>
          <w:lang w:val="en-US" w:eastAsia="zh-CN"/>
        </w:rPr>
      </w:pPr>
      <w:r>
        <w:rPr>
          <w:rFonts w:hint="default" w:ascii="仿宋" w:hAnsi="仿宋" w:eastAsia="仿宋" w:cs="仿宋"/>
          <w:i w:val="0"/>
          <w:iCs w:val="0"/>
          <w:caps w:val="0"/>
          <w:color w:val="333333"/>
          <w:spacing w:val="0"/>
          <w:sz w:val="28"/>
          <w:szCs w:val="28"/>
          <w:highlight w:val="none"/>
          <w:shd w:val="clear" w:fill="FFFFFF"/>
          <w:lang w:val="en-US" w:eastAsia="zh-CN"/>
        </w:rPr>
        <w:t>3.中标人负责上述所有设备设施的日常保养、维修维护、设备耗材、零部件更换等。以及所有设施维护维修保养。</w:t>
      </w:r>
    </w:p>
    <w:p w14:paraId="12AD8086">
      <w:pPr>
        <w:pStyle w:val="12"/>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（详细内容见本</w:t>
      </w:r>
      <w:r>
        <w:rPr>
          <w:rFonts w:hint="eastAsia" w:ascii="仿宋" w:hAnsi="仿宋" w:eastAsia="仿宋" w:cs="仿宋"/>
          <w:color w:val="000000"/>
          <w:sz w:val="28"/>
          <w:szCs w:val="28"/>
          <w:highlight w:val="none"/>
          <w:lang w:val="en-US" w:eastAsia="zh-CN"/>
        </w:rPr>
        <w:t>招标</w:t>
      </w:r>
      <w:r>
        <w:rPr>
          <w:rFonts w:hint="eastAsia" w:ascii="仿宋" w:hAnsi="仿宋" w:eastAsia="仿宋" w:cs="仿宋"/>
          <w:color w:val="000000"/>
          <w:sz w:val="28"/>
          <w:szCs w:val="28"/>
          <w:highlight w:val="none"/>
        </w:rPr>
        <w:t>文件第四章）</w:t>
      </w:r>
    </w:p>
    <w:p w14:paraId="65727230">
      <w:pPr>
        <w:pStyle w:val="12"/>
        <w:spacing w:beforeAutospacing="0" w:afterAutospacing="0"/>
        <w:ind w:firstLine="48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.合同履行期限：</w:t>
      </w:r>
      <w:r>
        <w:rPr>
          <w:rFonts w:hint="eastAsia" w:ascii="仿宋" w:hAnsi="仿宋" w:eastAsia="仿宋" w:cs="仿宋"/>
          <w:color w:val="000000"/>
          <w:sz w:val="28"/>
          <w:szCs w:val="28"/>
          <w:highlight w:val="none"/>
          <w:lang w:val="en-US" w:eastAsia="zh-CN"/>
        </w:rPr>
        <w:t>2年</w:t>
      </w:r>
    </w:p>
    <w:p w14:paraId="4AFC3EBD">
      <w:pPr>
        <w:pStyle w:val="12"/>
        <w:spacing w:beforeAutospacing="0" w:afterAutospacing="0" w:line="360" w:lineRule="auto"/>
        <w:ind w:firstLine="480"/>
        <w:jc w:val="both"/>
        <w:rPr>
          <w:rFonts w:hint="eastAsia" w:ascii="仿宋" w:hAnsi="仿宋" w:eastAsia="仿宋" w:cs="仿宋"/>
          <w:color w:val="000000"/>
          <w:sz w:val="28"/>
          <w:szCs w:val="28"/>
          <w:highlight w:val="none"/>
          <w:shd w:val="clear" w:color="auto" w:fill="FFFF00"/>
        </w:rPr>
      </w:pPr>
      <w:r>
        <w:rPr>
          <w:rFonts w:hint="eastAsia" w:ascii="仿宋" w:hAnsi="仿宋" w:eastAsia="仿宋" w:cs="仿宋"/>
          <w:i w:val="0"/>
          <w:iCs w:val="0"/>
          <w:caps w:val="0"/>
          <w:color w:val="333333"/>
          <w:spacing w:val="0"/>
          <w:sz w:val="28"/>
          <w:szCs w:val="28"/>
          <w:highlight w:val="none"/>
          <w:shd w:val="clear" w:fill="FFFFFF"/>
          <w:lang w:val="en-US" w:eastAsia="zh-CN"/>
        </w:rPr>
        <w:t>8.</w:t>
      </w:r>
      <w:r>
        <w:rPr>
          <w:rFonts w:hint="eastAsia" w:ascii="仿宋" w:hAnsi="仿宋" w:eastAsia="仿宋" w:cs="仿宋"/>
          <w:i w:val="0"/>
          <w:iCs w:val="0"/>
          <w:caps w:val="0"/>
          <w:color w:val="333333"/>
          <w:spacing w:val="0"/>
          <w:sz w:val="28"/>
          <w:szCs w:val="28"/>
          <w:highlight w:val="none"/>
          <w:shd w:val="clear" w:fill="FFFFFF"/>
        </w:rPr>
        <w:t>本项目</w:t>
      </w:r>
      <w:r>
        <w:rPr>
          <w:rFonts w:hint="eastAsia" w:ascii="仿宋" w:hAnsi="仿宋" w:eastAsia="仿宋" w:cs="仿宋"/>
          <w:i w:val="0"/>
          <w:iCs w:val="0"/>
          <w:caps w:val="0"/>
          <w:color w:val="333333"/>
          <w:spacing w:val="0"/>
          <w:sz w:val="28"/>
          <w:szCs w:val="28"/>
          <w:highlight w:val="none"/>
          <w:shd w:val="clear" w:fill="FFFFFF"/>
          <w:lang w:val="en-US" w:eastAsia="zh-CN"/>
        </w:rPr>
        <w:t>不</w:t>
      </w:r>
      <w:r>
        <w:rPr>
          <w:rFonts w:hint="eastAsia" w:ascii="仿宋" w:hAnsi="仿宋" w:eastAsia="仿宋" w:cs="仿宋"/>
          <w:i w:val="0"/>
          <w:iCs w:val="0"/>
          <w:caps w:val="0"/>
          <w:color w:val="333333"/>
          <w:spacing w:val="0"/>
          <w:sz w:val="28"/>
          <w:szCs w:val="28"/>
          <w:highlight w:val="none"/>
          <w:shd w:val="clear" w:fill="FFFFFF"/>
        </w:rPr>
        <w:t>接受联合体</w:t>
      </w:r>
      <w:r>
        <w:rPr>
          <w:rFonts w:hint="eastAsia" w:ascii="仿宋" w:hAnsi="仿宋" w:eastAsia="仿宋" w:cs="仿宋"/>
          <w:color w:val="000000"/>
          <w:sz w:val="28"/>
          <w:szCs w:val="28"/>
          <w:highlight w:val="none"/>
        </w:rPr>
        <w:t>参与</w:t>
      </w:r>
      <w:r>
        <w:rPr>
          <w:rFonts w:hint="eastAsia" w:ascii="仿宋" w:hAnsi="仿宋" w:eastAsia="仿宋" w:cs="仿宋"/>
          <w:color w:val="000000"/>
          <w:sz w:val="28"/>
          <w:szCs w:val="28"/>
          <w:highlight w:val="none"/>
          <w:lang w:val="en-US" w:eastAsia="zh-CN"/>
        </w:rPr>
        <w:t>招标</w:t>
      </w:r>
      <w:r>
        <w:rPr>
          <w:rFonts w:hint="eastAsia" w:ascii="仿宋" w:hAnsi="仿宋" w:eastAsia="仿宋" w:cs="仿宋"/>
          <w:color w:val="000000"/>
          <w:sz w:val="28"/>
          <w:szCs w:val="28"/>
          <w:highlight w:val="none"/>
        </w:rPr>
        <w:t>。</w:t>
      </w:r>
    </w:p>
    <w:p w14:paraId="2CF148DD">
      <w:pPr>
        <w:pStyle w:val="12"/>
        <w:keepNext/>
        <w:keepLines/>
        <w:spacing w:before="145" w:beforeAutospacing="0" w:after="145" w:afterAutospacing="0" w:line="360" w:lineRule="auto"/>
        <w:ind w:firstLine="498"/>
        <w:jc w:val="both"/>
        <w:rPr>
          <w:highlight w:val="none"/>
        </w:rPr>
      </w:pPr>
      <w:bookmarkStart w:id="12" w:name="_Toc28359080"/>
      <w:bookmarkStart w:id="13" w:name="_Toc35393791"/>
      <w:bookmarkStart w:id="14" w:name="_Toc28359003"/>
      <w:bookmarkStart w:id="15" w:name="_Toc35393622"/>
      <w:bookmarkStart w:id="16" w:name="_Toc38985264"/>
      <w:r>
        <w:rPr>
          <w:rFonts w:ascii="Times New Roman" w:hAnsi="Times New Roman"/>
          <w:b/>
          <w:color w:val="000000"/>
          <w:sz w:val="32"/>
          <w:szCs w:val="32"/>
          <w:highlight w:val="none"/>
        </w:rPr>
        <w:t>二、申请人的资格要求：</w:t>
      </w:r>
      <w:bookmarkEnd w:id="12"/>
      <w:bookmarkEnd w:id="13"/>
      <w:bookmarkEnd w:id="14"/>
      <w:bookmarkEnd w:id="15"/>
      <w:bookmarkEnd w:id="16"/>
    </w:p>
    <w:p w14:paraId="5384D721">
      <w:pPr>
        <w:pStyle w:val="12"/>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1.满足《中华人民共和国政府采购法》第二十二条规定，并提供下列材料：</w:t>
      </w:r>
    </w:p>
    <w:p w14:paraId="6A5D7E17">
      <w:pPr>
        <w:pStyle w:val="12"/>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1.1 法人或者其他组织的营业执照等证明文件，自然人的身份证明；</w:t>
      </w:r>
    </w:p>
    <w:p w14:paraId="672031F6">
      <w:pPr>
        <w:pStyle w:val="12"/>
        <w:spacing w:beforeAutospacing="0" w:afterAutospacing="0"/>
        <w:ind w:firstLine="48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1.2上一年度的财务状况报表（成立不满一年无需提供）；</w:t>
      </w:r>
    </w:p>
    <w:p w14:paraId="51B742E5">
      <w:pPr>
        <w:pStyle w:val="12"/>
        <w:spacing w:beforeAutospacing="0" w:afterAutospacing="0"/>
        <w:ind w:firstLine="48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rPr>
        <w:t>具备履行合同所必需的设备和专业技术能力的书面声明；</w:t>
      </w:r>
    </w:p>
    <w:p w14:paraId="1E5C153D">
      <w:pPr>
        <w:pStyle w:val="12"/>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1BFF6C12">
      <w:pPr>
        <w:pStyle w:val="12"/>
        <w:spacing w:beforeAutospacing="0" w:afterAutospacing="0"/>
        <w:ind w:firstLine="48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.5参加政府采购活动前3年内在经营活动中没有重大违法记录的书面声明。</w:t>
      </w:r>
    </w:p>
    <w:p w14:paraId="5C2004B8">
      <w:pPr>
        <w:pStyle w:val="12"/>
        <w:spacing w:beforeAutospacing="0" w:afterAutospacing="0"/>
        <w:ind w:firstLine="48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1.6法律、行政法规规定的其他条件。</w:t>
      </w:r>
    </w:p>
    <w:p w14:paraId="504D223E">
      <w:pPr>
        <w:pStyle w:val="12"/>
        <w:spacing w:beforeAutospacing="0" w:afterAutospacing="0"/>
        <w:ind w:firstLine="48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1B5E4525">
      <w:pPr>
        <w:pStyle w:val="12"/>
        <w:spacing w:beforeAutospacing="0" w:afterAutospacing="0" w:line="360" w:lineRule="auto"/>
        <w:ind w:firstLine="48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单位负责人为同一人或者存在直接控股、管理关系的不同供应商，不得参加同一合同项下的政府采购活动。</w:t>
      </w:r>
    </w:p>
    <w:p w14:paraId="0E605768">
      <w:pPr>
        <w:pStyle w:val="12"/>
        <w:spacing w:beforeAutospacing="0" w:afterAutospacing="0"/>
        <w:ind w:firstLine="480"/>
        <w:jc w:val="both"/>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落实政府采购政策需满足的资格要求：无</w:t>
      </w:r>
      <w:r>
        <w:rPr>
          <w:rFonts w:hint="eastAsia" w:ascii="仿宋" w:hAnsi="仿宋" w:eastAsia="仿宋" w:cs="仿宋"/>
          <w:color w:val="000000"/>
          <w:sz w:val="28"/>
          <w:szCs w:val="28"/>
          <w:highlight w:val="none"/>
          <w:lang w:eastAsia="zh-CN"/>
        </w:rPr>
        <w:t>。</w:t>
      </w:r>
    </w:p>
    <w:p w14:paraId="59A37AB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本项目的特定资格要求</w:t>
      </w:r>
      <w:r>
        <w:rPr>
          <w:rFonts w:hint="eastAsia" w:ascii="仿宋" w:hAnsi="仿宋" w:eastAsia="仿宋" w:cs="仿宋"/>
          <w:color w:val="000000"/>
          <w:sz w:val="28"/>
          <w:szCs w:val="28"/>
          <w:highlight w:val="none"/>
          <w:lang w:eastAsia="zh-CN"/>
        </w:rPr>
        <w:t>：</w:t>
      </w:r>
      <w:r>
        <w:rPr>
          <w:rFonts w:hint="eastAsia" w:ascii="仿宋" w:hAnsi="仿宋" w:eastAsia="仿宋" w:cs="仿宋"/>
          <w:i/>
          <w:iCs/>
          <w:caps w:val="0"/>
          <w:color w:val="333333"/>
          <w:spacing w:val="0"/>
          <w:sz w:val="28"/>
          <w:szCs w:val="28"/>
          <w:highlight w:val="none"/>
          <w:u w:val="single"/>
          <w:shd w:val="clear" w:color="auto" w:fill="FFFFFF"/>
          <w:lang w:val="en-US" w:eastAsia="zh-CN"/>
        </w:rPr>
        <w:t>无。</w:t>
      </w:r>
    </w:p>
    <w:p w14:paraId="2D082D99">
      <w:pPr>
        <w:pStyle w:val="12"/>
        <w:keepNext/>
        <w:keepLines/>
        <w:spacing w:before="145" w:beforeAutospacing="0" w:after="145" w:afterAutospacing="0" w:line="360" w:lineRule="auto"/>
        <w:ind w:firstLine="498"/>
        <w:jc w:val="both"/>
        <w:rPr>
          <w:highlight w:val="none"/>
        </w:rPr>
      </w:pPr>
      <w:r>
        <w:rPr>
          <w:rFonts w:ascii="Times New Roman" w:hAnsi="Times New Roman"/>
          <w:b/>
          <w:color w:val="000000"/>
          <w:sz w:val="32"/>
          <w:szCs w:val="32"/>
          <w:highlight w:val="none"/>
        </w:rPr>
        <w:t>三、获取招标文件</w:t>
      </w:r>
    </w:p>
    <w:p w14:paraId="4CD798B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仿宋" w:hAnsi="仿宋" w:eastAsia="仿宋" w:cs="仿宋"/>
          <w:color w:val="000000"/>
          <w:sz w:val="28"/>
          <w:szCs w:val="28"/>
          <w:highlight w:val="none"/>
        </w:rPr>
      </w:pPr>
      <w:bookmarkStart w:id="17" w:name="_Toc38985266"/>
      <w:bookmarkStart w:id="18" w:name="_Toc35393793"/>
      <w:bookmarkStart w:id="19" w:name="_Toc28359082"/>
      <w:bookmarkStart w:id="20" w:name="_Toc35393624"/>
      <w:bookmarkStart w:id="21" w:name="_Toc28359005"/>
      <w:r>
        <w:rPr>
          <w:rFonts w:hint="eastAsia" w:ascii="仿宋" w:hAnsi="仿宋" w:eastAsia="仿宋" w:cs="仿宋"/>
          <w:color w:val="000000"/>
          <w:sz w:val="28"/>
          <w:szCs w:val="28"/>
          <w:highlight w:val="none"/>
        </w:rPr>
        <w:t>1.</w:t>
      </w:r>
      <w:bookmarkEnd w:id="17"/>
      <w:bookmarkEnd w:id="18"/>
      <w:bookmarkEnd w:id="19"/>
      <w:bookmarkEnd w:id="20"/>
      <w:bookmarkEnd w:id="21"/>
      <w:r>
        <w:rPr>
          <w:rFonts w:hint="eastAsia" w:ascii="仿宋" w:hAnsi="仿宋" w:eastAsia="仿宋" w:cs="仿宋"/>
          <w:i/>
          <w:iCs/>
          <w:caps w:val="0"/>
          <w:color w:val="333333"/>
          <w:spacing w:val="0"/>
          <w:sz w:val="28"/>
          <w:szCs w:val="28"/>
          <w:highlight w:val="none"/>
          <w:u w:val="single"/>
          <w:shd w:val="clear" w:fill="FFFFFF"/>
          <w:lang w:val="en-US" w:eastAsia="zh-CN"/>
        </w:rPr>
        <w:t>自本公告发布之</w:t>
      </w:r>
      <w:r>
        <w:rPr>
          <w:rFonts w:hint="eastAsia" w:ascii="仿宋" w:hAnsi="仿宋" w:eastAsia="仿宋" w:cs="仿宋"/>
          <w:i/>
          <w:iCs/>
          <w:caps w:val="0"/>
          <w:color w:val="333333"/>
          <w:spacing w:val="0"/>
          <w:sz w:val="28"/>
          <w:szCs w:val="28"/>
          <w:highlight w:val="none"/>
          <w:u w:val="single"/>
          <w:shd w:val="clear" w:fill="FFFFFF"/>
        </w:rPr>
        <w:t>日起5个工作日</w:t>
      </w:r>
      <w:r>
        <w:rPr>
          <w:rFonts w:hint="eastAsia" w:ascii="仿宋" w:hAnsi="仿宋" w:eastAsia="仿宋" w:cs="仿宋"/>
          <w:color w:val="000000"/>
          <w:sz w:val="28"/>
          <w:szCs w:val="28"/>
          <w:highlight w:val="none"/>
        </w:rPr>
        <w:t>。</w:t>
      </w:r>
    </w:p>
    <w:p w14:paraId="7512A81D">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2.地点：“苏采云”系统内免费下载（投标人必须在苏采云系统中获取采购文件，方能参与政府采购项目）；</w:t>
      </w:r>
    </w:p>
    <w:p w14:paraId="5C1F57C8">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3.方式：本项目采用网上注册登记方式。 </w:t>
      </w:r>
    </w:p>
    <w:p w14:paraId="34B87A4A">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3.1 潜在供应商访问电子招标响应交易平台的网络地址和方法： </w:t>
      </w:r>
    </w:p>
    <w:p w14:paraId="7B308503">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“苏采云”系统用户注册--获取“CA 数字证书”--CA 绑定与登录--参与投 标--下载采购文件（后缀名为“.kedt”）--将后缀名为“.kedt”的采购文件导入政府采购客户端工具--制作响应文件--导出加密的响应文件（后缀名为 zip）--通过“苏采云”系统上传响应文件。具体见《“苏采云”系统供应商操作手册》 （手册下载地址：苏采云系统-右侧消息通知栏）。 </w:t>
      </w:r>
    </w:p>
    <w:p w14:paraId="5F5AD160">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3.2 潜在投标人访问“苏采云”系统方法：江苏省政府采购网首页-“苏采云”链接。 </w:t>
      </w:r>
    </w:p>
    <w:p w14:paraId="4CA7BD16">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3.3 采购文件（后缀名为“.kedt”）、供应商操作手册及政府采购客户端 工具可通过“苏采云”系统相应链接进行下载。 </w:t>
      </w:r>
    </w:p>
    <w:p w14:paraId="73FCFB99">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3.4 采购代理机构将数据电文形式的采购文件加载至“苏采云”系统，供潜在供应商下载或者查阅。 </w:t>
      </w:r>
    </w:p>
    <w:p w14:paraId="108CFE69">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3.5 请潜在投标单位提前安装相应的控件（详见《“苏采云”系统供应商操作手册》）并使用谷歌浏览器登录“苏采云”系统参与不见面开评标。 </w:t>
      </w:r>
    </w:p>
    <w:p w14:paraId="0F0DFA09">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如潜在投标人未按上述要求操作，将自行承担所产生的风险。</w:t>
      </w:r>
    </w:p>
    <w:p w14:paraId="337C4672">
      <w:pPr>
        <w:widowControl/>
        <w:spacing w:line="560" w:lineRule="exact"/>
        <w:ind w:firstLine="480"/>
        <w:jc w:val="left"/>
        <w:rPr>
          <w:highlight w:val="none"/>
        </w:rPr>
      </w:pPr>
      <w:r>
        <w:rPr>
          <w:rFonts w:hint="eastAsia" w:ascii="仿宋" w:hAnsi="仿宋" w:eastAsia="仿宋" w:cs="仿宋"/>
          <w:color w:val="000000"/>
          <w:sz w:val="28"/>
          <w:szCs w:val="28"/>
          <w:highlight w:val="none"/>
          <w:lang w:val="en-US" w:eastAsia="zh-CN"/>
        </w:rPr>
        <w:t>4.售价：0元</w:t>
      </w:r>
    </w:p>
    <w:p w14:paraId="1727D0AC">
      <w:pPr>
        <w:pStyle w:val="12"/>
        <w:keepNext/>
        <w:keepLines/>
        <w:spacing w:before="145" w:beforeAutospacing="0" w:after="145" w:afterAutospacing="0" w:line="360" w:lineRule="auto"/>
        <w:ind w:firstLine="498"/>
        <w:jc w:val="both"/>
        <w:rPr>
          <w:highlight w:val="none"/>
        </w:rPr>
      </w:pPr>
      <w:r>
        <w:rPr>
          <w:rFonts w:ascii="Times New Roman" w:hAnsi="Times New Roman"/>
          <w:b/>
          <w:color w:val="000000"/>
          <w:sz w:val="32"/>
          <w:szCs w:val="32"/>
          <w:highlight w:val="none"/>
        </w:rPr>
        <w:t>四、提交投标文件截止时间、开标时间和地点</w:t>
      </w:r>
    </w:p>
    <w:p w14:paraId="18675F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1.时间：</w:t>
      </w:r>
      <w:r>
        <w:rPr>
          <w:rFonts w:hint="eastAsia" w:ascii="仿宋" w:hAnsi="仿宋" w:eastAsia="仿宋" w:cs="仿宋"/>
          <w:i w:val="0"/>
          <w:iCs w:val="0"/>
          <w:caps w:val="0"/>
          <w:color w:val="333333"/>
          <w:spacing w:val="0"/>
          <w:sz w:val="28"/>
          <w:szCs w:val="28"/>
          <w:highlight w:val="none"/>
          <w:u w:val="single"/>
          <w:shd w:val="clear" w:fill="FFFFFF"/>
          <w:lang w:val="en-US" w:eastAsia="zh-CN"/>
        </w:rPr>
        <w:t>2024年12月31日 09  点 00   分</w:t>
      </w:r>
      <w:r>
        <w:rPr>
          <w:rFonts w:hint="eastAsia" w:ascii="仿宋" w:hAnsi="仿宋" w:eastAsia="仿宋" w:cs="仿宋"/>
          <w:color w:val="000000"/>
          <w:sz w:val="28"/>
          <w:szCs w:val="28"/>
          <w:highlight w:val="none"/>
        </w:rPr>
        <w:t>（北京时间）</w:t>
      </w:r>
    </w:p>
    <w:p w14:paraId="14EB3BD1">
      <w:pPr>
        <w:pStyle w:val="12"/>
        <w:spacing w:beforeAutospacing="0" w:afterAutospacing="0"/>
        <w:ind w:firstLine="48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2.地点：</w:t>
      </w:r>
      <w:r>
        <w:rPr>
          <w:rFonts w:hint="eastAsia" w:ascii="仿宋" w:hAnsi="仿宋" w:eastAsia="仿宋" w:cs="仿宋"/>
          <w:color w:val="FF0000"/>
          <w:sz w:val="28"/>
          <w:szCs w:val="28"/>
          <w:highlight w:val="none"/>
        </w:rPr>
        <w:t>“苏采云”政府采购交易系统网上开标大厅。</w:t>
      </w:r>
    </w:p>
    <w:p w14:paraId="0C86D2CB">
      <w:pPr>
        <w:pStyle w:val="12"/>
        <w:keepNext/>
        <w:keepLines/>
        <w:spacing w:before="145" w:beforeAutospacing="0" w:after="145" w:afterAutospacing="0" w:line="360" w:lineRule="auto"/>
        <w:ind w:firstLine="498"/>
        <w:jc w:val="both"/>
        <w:rPr>
          <w:highlight w:val="none"/>
        </w:rPr>
      </w:pPr>
      <w:bookmarkStart w:id="22" w:name="_Toc35393794"/>
      <w:bookmarkStart w:id="23" w:name="_Toc35393625"/>
      <w:bookmarkStart w:id="24" w:name="_Toc28359084"/>
      <w:bookmarkStart w:id="25" w:name="_Toc28359007"/>
      <w:bookmarkStart w:id="26" w:name="_Toc38985267"/>
      <w:r>
        <w:rPr>
          <w:rFonts w:ascii="Times New Roman" w:hAnsi="Times New Roman"/>
          <w:b/>
          <w:color w:val="000000"/>
          <w:sz w:val="32"/>
          <w:szCs w:val="32"/>
          <w:highlight w:val="none"/>
        </w:rPr>
        <w:t>五、公告期限</w:t>
      </w:r>
      <w:bookmarkEnd w:id="22"/>
      <w:bookmarkEnd w:id="23"/>
      <w:bookmarkEnd w:id="24"/>
      <w:bookmarkEnd w:id="25"/>
      <w:bookmarkEnd w:id="26"/>
    </w:p>
    <w:p w14:paraId="4BD8293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bookmarkStart w:id="27" w:name="_Toc38985268"/>
      <w:bookmarkStart w:id="28" w:name="_Toc35393795"/>
      <w:bookmarkStart w:id="29" w:name="_Toc35393626"/>
      <w:r>
        <w:rPr>
          <w:rFonts w:hint="eastAsia" w:ascii="仿宋" w:hAnsi="仿宋" w:eastAsia="仿宋" w:cs="仿宋"/>
          <w:i w:val="0"/>
          <w:iCs w:val="0"/>
          <w:caps w:val="0"/>
          <w:color w:val="333333"/>
          <w:spacing w:val="0"/>
          <w:sz w:val="28"/>
          <w:szCs w:val="28"/>
          <w:highlight w:val="none"/>
          <w:shd w:val="clear" w:fill="FFFFFF"/>
          <w:lang w:val="en-US" w:eastAsia="zh-CN"/>
        </w:rPr>
        <w:t>自本公告发布之日起5个工作日。</w:t>
      </w:r>
      <w:bookmarkEnd w:id="27"/>
      <w:bookmarkEnd w:id="28"/>
      <w:bookmarkEnd w:id="29"/>
    </w:p>
    <w:p w14:paraId="1B31BFD7">
      <w:pPr>
        <w:pStyle w:val="12"/>
        <w:keepNext/>
        <w:keepLines/>
        <w:spacing w:before="145" w:beforeAutospacing="0" w:after="145" w:afterAutospacing="0" w:line="360" w:lineRule="auto"/>
        <w:ind w:firstLine="498"/>
        <w:jc w:val="both"/>
        <w:rPr>
          <w:highlight w:val="none"/>
        </w:rPr>
      </w:pPr>
      <w:r>
        <w:rPr>
          <w:rFonts w:ascii="Times New Roman" w:hAnsi="Times New Roman"/>
          <w:b/>
          <w:color w:val="000000"/>
          <w:sz w:val="32"/>
          <w:szCs w:val="32"/>
          <w:highlight w:val="none"/>
        </w:rPr>
        <w:t>六、其他补充事宜</w:t>
      </w:r>
    </w:p>
    <w:p w14:paraId="7FA70AF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bookmarkStart w:id="30" w:name="_Toc28359018"/>
      <w:r>
        <w:rPr>
          <w:rFonts w:hint="eastAsia" w:ascii="仿宋" w:hAnsi="仿宋" w:eastAsia="仿宋" w:cs="仿宋"/>
          <w:i w:val="0"/>
          <w:iCs w:val="0"/>
          <w:caps w:val="0"/>
          <w:color w:val="333333"/>
          <w:spacing w:val="0"/>
          <w:sz w:val="28"/>
          <w:szCs w:val="28"/>
          <w:highlight w:val="none"/>
          <w:shd w:val="clear" w:fill="FFFFFF"/>
          <w:lang w:val="en-US" w:eastAsia="zh-CN"/>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651FAAB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0245A29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2.有关本次招标的事项若存在变动或修改，敬请及时关注盐城金弘项目管理有限公司在“</w:t>
      </w:r>
      <w:r>
        <w:rPr>
          <w:rFonts w:hint="eastAsia" w:ascii="仿宋" w:hAnsi="仿宋" w:eastAsia="仿宋" w:cs="仿宋"/>
          <w:color w:val="000000"/>
          <w:kern w:val="0"/>
          <w:sz w:val="28"/>
          <w:szCs w:val="28"/>
          <w:highlight w:val="none"/>
          <w:lang w:val="en-US" w:eastAsia="zh-CN" w:bidi="ar-SA"/>
        </w:rPr>
        <w:t>中国政府采购网</w:t>
      </w:r>
      <w:r>
        <w:rPr>
          <w:rFonts w:hint="eastAsia" w:ascii="仿宋" w:hAnsi="仿宋" w:eastAsia="仿宋" w:cs="仿宋"/>
          <w:i w:val="0"/>
          <w:iCs w:val="0"/>
          <w:caps w:val="0"/>
          <w:color w:val="333333"/>
          <w:spacing w:val="0"/>
          <w:sz w:val="28"/>
          <w:szCs w:val="28"/>
          <w:highlight w:val="none"/>
          <w:shd w:val="clear" w:fill="FFFFFF"/>
          <w:lang w:val="en-US" w:eastAsia="zh-CN"/>
        </w:rPr>
        <w:t>”、“江苏政府采购网”、“盐城市政府采购网”发布的更正公告。</w:t>
      </w:r>
    </w:p>
    <w:p w14:paraId="2B05DE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3.根据《关于在全省政府采购领域推行电子履约保函（保险）的通知》（苏财购〔2023〕150号），供应商中标后，可以以履约保函（保险）形式代替履约保证金，可通过政府采购电子履约保函（保险）平台（www.jsdzbh.com）在线申请履约保函（保险），详见通知内容。</w:t>
      </w:r>
    </w:p>
    <w:p w14:paraId="4553A6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4.电子投标文件一份（通过系统提交）；纸质投标文件正本一份，副本四份（评审结束后由中标候选人邮寄至（代理公司），未中标单位不需要提供）。</w:t>
      </w:r>
    </w:p>
    <w:p w14:paraId="60E83C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5.本项目支持节能环保产品（财库[2019]9号）、（财库[2019]18号）、（财库[2019]19号）；支持中小微企业（财库[2020]46号）、（苏财购[2020]52号）、（工信部联企业[2011]300号）；支持监狱企业（财库[2014]68号）；促进残疾人就业（财库[2017]141号）、《商品包装政府采购需求标准（试行）》《快递包装政府采购需求标准（试行）〉》（财办库（2020）123号）、《绿色数据中心政府采购需求标准（试行）》（财库（2023）7号）、（《关于在全省政府采购领域推行电子履约保函（保险）的通知》（苏财购2023）150号））等政策。</w:t>
      </w:r>
    </w:p>
    <w:p w14:paraId="1EBF92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6.根据《关于在政府采购活动中应用第三方信用报告落实“信易购”应用场景的通知》（盐财购（2021）19号），第三方信用服务机构依据标准规范评定为AA级及以上的政府采购供应商，可免费获 取采购文件，需提供信用管理部门备案的第三方信用报告，且信用报告通过“信用盐城网”可查实。</w:t>
      </w:r>
    </w:p>
    <w:p w14:paraId="136EF2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7、各投标人在投标截止时间前应当每天都上网查询，以便获取更新的澄清、修改、补充内容。凡涉及到该项目的补充说明和修改，均以江苏政府采购网上的更正或补充通知为准。</w:t>
      </w:r>
    </w:p>
    <w:p w14:paraId="205DC9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8、因供应商的系统环境、操作等原因导致报名、开评标过程中出现问题由供应商自行承担负责。</w:t>
      </w:r>
    </w:p>
    <w:p w14:paraId="652BBD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黑体" w:eastAsia="黑体" w:cs="黑体"/>
          <w:b w:val="0"/>
          <w:bCs w:val="0"/>
          <w:i w:val="0"/>
          <w:iCs w:val="0"/>
          <w:caps w:val="0"/>
          <w:color w:val="333333"/>
          <w:spacing w:val="0"/>
          <w:sz w:val="28"/>
          <w:szCs w:val="28"/>
          <w:highlight w:val="none"/>
          <w:u w:val="none"/>
          <w:shd w:val="clear" w:fill="FFFFFF"/>
          <w:lang w:val="en-US" w:eastAsia="zh-CN"/>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9.本次招标不收取投标保证金，不收取质量保证金。</w:t>
      </w:r>
    </w:p>
    <w:p w14:paraId="703AB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firstLineChars="200"/>
        <w:jc w:val="both"/>
        <w:rPr>
          <w:rFonts w:hint="eastAsia" w:ascii="微软雅黑" w:hAnsi="微软雅黑" w:eastAsia="微软雅黑" w:cs="微软雅黑"/>
          <w:b w:val="0"/>
          <w:bCs w:val="0"/>
          <w:i w:val="0"/>
          <w:iCs w:val="0"/>
          <w:caps w:val="0"/>
          <w:color w:val="333333"/>
          <w:spacing w:val="0"/>
          <w:sz w:val="27"/>
          <w:szCs w:val="27"/>
          <w:highlight w:val="none"/>
        </w:rPr>
      </w:pPr>
      <w:r>
        <w:rPr>
          <w:rFonts w:hint="eastAsia" w:ascii="黑体" w:eastAsia="黑体" w:cs="黑体"/>
          <w:b w:val="0"/>
          <w:bCs w:val="0"/>
          <w:i w:val="0"/>
          <w:iCs w:val="0"/>
          <w:caps w:val="0"/>
          <w:color w:val="333333"/>
          <w:spacing w:val="0"/>
          <w:sz w:val="28"/>
          <w:szCs w:val="28"/>
          <w:highlight w:val="none"/>
          <w:u w:val="none"/>
          <w:shd w:val="clear" w:fill="FFFFFF"/>
          <w:lang w:val="en-US" w:eastAsia="zh-CN"/>
        </w:rPr>
        <w:t>七</w:t>
      </w:r>
      <w:r>
        <w:rPr>
          <w:rFonts w:hint="eastAsia" w:ascii="黑体" w:hAnsi="宋体" w:eastAsia="黑体" w:cs="黑体"/>
          <w:b w:val="0"/>
          <w:bCs w:val="0"/>
          <w:i w:val="0"/>
          <w:iCs w:val="0"/>
          <w:caps w:val="0"/>
          <w:color w:val="333333"/>
          <w:spacing w:val="0"/>
          <w:sz w:val="28"/>
          <w:szCs w:val="28"/>
          <w:highlight w:val="none"/>
          <w:u w:val="none"/>
          <w:shd w:val="clear" w:fill="FFFFFF"/>
        </w:rPr>
        <w:t>、对本次</w:t>
      </w:r>
      <w:r>
        <w:rPr>
          <w:rFonts w:hint="eastAsia" w:ascii="黑体" w:eastAsia="黑体" w:cs="黑体"/>
          <w:b w:val="0"/>
          <w:bCs w:val="0"/>
          <w:i w:val="0"/>
          <w:iCs w:val="0"/>
          <w:caps w:val="0"/>
          <w:color w:val="333333"/>
          <w:spacing w:val="0"/>
          <w:sz w:val="28"/>
          <w:szCs w:val="28"/>
          <w:highlight w:val="none"/>
          <w:u w:val="none"/>
          <w:shd w:val="clear" w:fill="FFFFFF"/>
          <w:lang w:val="en-US" w:eastAsia="zh-CN"/>
        </w:rPr>
        <w:t>招标</w:t>
      </w:r>
      <w:r>
        <w:rPr>
          <w:rFonts w:hint="eastAsia" w:ascii="黑体" w:hAnsi="宋体" w:eastAsia="黑体" w:cs="黑体"/>
          <w:b w:val="0"/>
          <w:bCs w:val="0"/>
          <w:i w:val="0"/>
          <w:iCs w:val="0"/>
          <w:caps w:val="0"/>
          <w:color w:val="333333"/>
          <w:spacing w:val="0"/>
          <w:sz w:val="28"/>
          <w:szCs w:val="28"/>
          <w:highlight w:val="none"/>
          <w:u w:val="none"/>
          <w:shd w:val="clear" w:fill="FFFFFF"/>
        </w:rPr>
        <w:t>提出询问，请按以下方式联系。</w:t>
      </w:r>
      <w:bookmarkEnd w:id="30"/>
    </w:p>
    <w:p w14:paraId="6EA76F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ascii="仿宋" w:hAnsi="仿宋" w:eastAsia="仿宋" w:cs="仿宋"/>
          <w:color w:val="000000"/>
          <w:sz w:val="28"/>
          <w:szCs w:val="28"/>
          <w:highlight w:val="none"/>
        </w:rPr>
        <w:t>  </w:t>
      </w:r>
      <w:bookmarkStart w:id="31" w:name="_Toc28359009"/>
      <w:r>
        <w:rPr>
          <w:rFonts w:hint="eastAsia" w:ascii="仿宋" w:hAnsi="仿宋" w:eastAsia="仿宋" w:cs="仿宋"/>
          <w:i w:val="0"/>
          <w:iCs w:val="0"/>
          <w:caps w:val="0"/>
          <w:color w:val="333333"/>
          <w:spacing w:val="0"/>
          <w:sz w:val="28"/>
          <w:szCs w:val="28"/>
          <w:highlight w:val="none"/>
          <w:shd w:val="clear" w:fill="FFFFFF"/>
          <w:lang w:val="en-US" w:eastAsia="zh-CN"/>
        </w:rPr>
        <w:t>1.采购人信息</w:t>
      </w:r>
    </w:p>
    <w:p w14:paraId="47DA0C9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 xml:space="preserve">名 称： 江苏响水经济开发区管理委员会  </w:t>
      </w:r>
    </w:p>
    <w:p w14:paraId="5BFF140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地址： </w:t>
      </w:r>
      <w:r>
        <w:rPr>
          <w:rFonts w:ascii="宋体" w:hAnsi="宋体" w:eastAsia="宋体" w:cs="宋体"/>
          <w:sz w:val="24"/>
          <w:szCs w:val="24"/>
          <w:highlight w:val="none"/>
        </w:rPr>
        <w:t>江苏省盐城市响水县灌江路与建安路交叉口往南110米</w:t>
      </w:r>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p>
    <w:p w14:paraId="1035BF6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 xml:space="preserve">联系人：刘  伟              </w:t>
      </w:r>
    </w:p>
    <w:p w14:paraId="4FA4AF7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 xml:space="preserve">联系方式：15365676706            </w:t>
      </w:r>
    </w:p>
    <w:p w14:paraId="3C6C4B9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2.采购代理机构信息</w:t>
      </w:r>
    </w:p>
    <w:p w14:paraId="12225A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名 称： 盐城金弘项目管理有限公司</w:t>
      </w:r>
    </w:p>
    <w:p w14:paraId="3FB611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地 址： 盐城市响水县珠江路友创大厦508</w:t>
      </w:r>
    </w:p>
    <w:p w14:paraId="310D27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 xml:space="preserve">联系人：王先生             </w:t>
      </w:r>
    </w:p>
    <w:p w14:paraId="687F244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联系方式：</w:t>
      </w:r>
      <w:bookmarkStart w:id="32" w:name="_Toc28359010"/>
      <w:bookmarkStart w:id="33" w:name="_Toc28359087"/>
      <w:r>
        <w:rPr>
          <w:rFonts w:hint="eastAsia" w:ascii="仿宋" w:hAnsi="仿宋" w:eastAsia="仿宋" w:cs="仿宋"/>
          <w:i w:val="0"/>
          <w:iCs w:val="0"/>
          <w:caps w:val="0"/>
          <w:color w:val="333333"/>
          <w:spacing w:val="0"/>
          <w:sz w:val="28"/>
          <w:szCs w:val="28"/>
          <w:highlight w:val="none"/>
          <w:shd w:val="clear" w:fill="FFFFFF"/>
          <w:lang w:val="en-US" w:eastAsia="zh-CN"/>
        </w:rPr>
        <w:t>13912598066       </w:t>
      </w:r>
      <w:bookmarkEnd w:id="32"/>
      <w:bookmarkEnd w:id="33"/>
      <w:r>
        <w:rPr>
          <w:rFonts w:hint="eastAsia" w:ascii="仿宋" w:hAnsi="仿宋" w:eastAsia="仿宋" w:cs="仿宋"/>
          <w:i w:val="0"/>
          <w:iCs w:val="0"/>
          <w:caps w:val="0"/>
          <w:color w:val="333333"/>
          <w:spacing w:val="0"/>
          <w:sz w:val="28"/>
          <w:szCs w:val="28"/>
          <w:highlight w:val="none"/>
          <w:shd w:val="clear" w:fill="FFFFFF"/>
          <w:lang w:val="en-US" w:eastAsia="zh-CN"/>
        </w:rPr>
        <w:t xml:space="preserve">            </w:t>
      </w:r>
    </w:p>
    <w:p w14:paraId="30F195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bookmarkStart w:id="34" w:name="_Toc28359021"/>
      <w:r>
        <w:rPr>
          <w:rFonts w:hint="eastAsia" w:ascii="仿宋" w:hAnsi="仿宋" w:eastAsia="仿宋" w:cs="仿宋"/>
          <w:i w:val="0"/>
          <w:iCs w:val="0"/>
          <w:caps w:val="0"/>
          <w:color w:val="333333"/>
          <w:spacing w:val="0"/>
          <w:sz w:val="28"/>
          <w:szCs w:val="28"/>
          <w:highlight w:val="none"/>
          <w:shd w:val="clear" w:fill="FFFFFF"/>
          <w:lang w:val="en-US" w:eastAsia="zh-CN"/>
        </w:rPr>
        <w:t>3.</w:t>
      </w:r>
      <w:bookmarkEnd w:id="34"/>
      <w:r>
        <w:rPr>
          <w:rFonts w:hint="eastAsia" w:ascii="仿宋" w:hAnsi="仿宋" w:eastAsia="仿宋" w:cs="仿宋"/>
          <w:i w:val="0"/>
          <w:iCs w:val="0"/>
          <w:caps w:val="0"/>
          <w:color w:val="333333"/>
          <w:spacing w:val="0"/>
          <w:sz w:val="28"/>
          <w:szCs w:val="28"/>
          <w:highlight w:val="none"/>
          <w:shd w:val="clear" w:fill="FFFFFF"/>
          <w:lang w:val="en-US" w:eastAsia="zh-CN"/>
        </w:rPr>
        <w:t>项目联系方式</w:t>
      </w:r>
    </w:p>
    <w:p w14:paraId="6AA77E5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项目联系人：王先生</w:t>
      </w:r>
    </w:p>
    <w:p w14:paraId="280DD0B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333333"/>
          <w:spacing w:val="0"/>
          <w:sz w:val="28"/>
          <w:szCs w:val="28"/>
          <w:highlight w:val="none"/>
          <w:shd w:val="clear" w:fill="FFFFFF"/>
          <w:lang w:val="en-US" w:eastAsia="zh-CN"/>
        </w:rPr>
      </w:pPr>
      <w:r>
        <w:rPr>
          <w:rFonts w:hint="eastAsia" w:ascii="仿宋" w:hAnsi="仿宋" w:eastAsia="仿宋" w:cs="仿宋"/>
          <w:i w:val="0"/>
          <w:iCs w:val="0"/>
          <w:caps w:val="0"/>
          <w:color w:val="333333"/>
          <w:spacing w:val="0"/>
          <w:sz w:val="28"/>
          <w:szCs w:val="28"/>
          <w:highlight w:val="none"/>
          <w:shd w:val="clear" w:fill="FFFFFF"/>
          <w:lang w:val="en-US" w:eastAsia="zh-CN"/>
        </w:rPr>
        <w:t>电　　 话：13912598066　　　　　　　　　　　　</w:t>
      </w:r>
    </w:p>
    <w:p w14:paraId="3B7F5F38">
      <w:pPr>
        <w:rPr>
          <w:highlight w:val="none"/>
        </w:rPr>
      </w:pPr>
      <w:r>
        <w:rPr>
          <w:highlight w:val="none"/>
        </w:rPr>
        <w:t> </w:t>
      </w:r>
    </w:p>
    <w:p w14:paraId="3E4F9A88">
      <w:pPr>
        <w:pStyle w:val="12"/>
        <w:spacing w:beforeAutospacing="0" w:afterAutospacing="0"/>
        <w:ind w:right="840"/>
        <w:jc w:val="both"/>
        <w:rPr>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 </w:t>
      </w:r>
    </w:p>
    <w:p w14:paraId="33F2AB6A">
      <w:pPr>
        <w:pStyle w:val="12"/>
        <w:keepNext/>
        <w:keepLines/>
        <w:spacing w:before="260" w:beforeAutospacing="0" w:after="260" w:afterAutospacing="0" w:line="415" w:lineRule="auto"/>
        <w:ind w:firstLine="2429"/>
        <w:jc w:val="both"/>
        <w:rPr>
          <w:highlight w:val="none"/>
        </w:rPr>
      </w:pPr>
      <w:bookmarkStart w:id="35" w:name="_Toc120614211"/>
      <w:r>
        <w:rPr>
          <w:rFonts w:hint="eastAsia" w:ascii="黑体" w:hAnsi="宋体" w:eastAsia="黑体" w:cs="黑体"/>
          <w:b/>
          <w:color w:val="000000"/>
          <w:sz w:val="44"/>
          <w:szCs w:val="44"/>
          <w:highlight w:val="none"/>
        </w:rPr>
        <w:t xml:space="preserve">第二章  </w:t>
      </w:r>
      <w:bookmarkEnd w:id="35"/>
      <w:bookmarkStart w:id="36" w:name="_Toc513029202"/>
      <w:bookmarkStart w:id="37" w:name="_Toc120614213"/>
      <w:bookmarkStart w:id="38" w:name="_Toc16938518"/>
      <w:bookmarkStart w:id="39" w:name="_Toc20823274"/>
      <w:r>
        <w:rPr>
          <w:rFonts w:hint="eastAsia" w:ascii="黑体" w:hAnsi="宋体" w:eastAsia="黑体" w:cs="黑体"/>
          <w:b/>
          <w:color w:val="000000"/>
          <w:sz w:val="44"/>
          <w:szCs w:val="44"/>
          <w:highlight w:val="none"/>
        </w:rPr>
        <w:t>投标人须知</w:t>
      </w:r>
      <w:bookmarkEnd w:id="36"/>
      <w:bookmarkEnd w:id="37"/>
      <w:bookmarkEnd w:id="38"/>
      <w:bookmarkEnd w:id="39"/>
    </w:p>
    <w:p w14:paraId="720D0484">
      <w:pPr>
        <w:pStyle w:val="12"/>
        <w:keepNext/>
        <w:keepLines/>
        <w:spacing w:before="145" w:beforeAutospacing="0" w:after="145" w:afterAutospacing="0" w:line="360" w:lineRule="auto"/>
        <w:ind w:firstLine="498"/>
        <w:jc w:val="both"/>
        <w:rPr>
          <w:highlight w:val="none"/>
        </w:rPr>
      </w:pPr>
      <w:bookmarkStart w:id="40" w:name="_Toc513029203"/>
      <w:bookmarkStart w:id="41" w:name="_Toc120614214"/>
      <w:bookmarkStart w:id="42" w:name="_Toc20823275"/>
      <w:bookmarkStart w:id="43" w:name="_Toc16938519"/>
      <w:r>
        <w:rPr>
          <w:rFonts w:ascii="Times New Roman" w:hAnsi="Times New Roman"/>
          <w:b/>
          <w:color w:val="000000"/>
          <w:sz w:val="32"/>
          <w:szCs w:val="32"/>
          <w:highlight w:val="none"/>
        </w:rPr>
        <w:t>一、总则</w:t>
      </w:r>
      <w:bookmarkEnd w:id="40"/>
      <w:bookmarkEnd w:id="41"/>
      <w:bookmarkEnd w:id="42"/>
      <w:bookmarkEnd w:id="43"/>
    </w:p>
    <w:p w14:paraId="21C8E21A">
      <w:pPr>
        <w:pStyle w:val="12"/>
        <w:keepNext/>
        <w:keepLines/>
        <w:spacing w:beforeAutospacing="0" w:afterAutospacing="0"/>
        <w:ind w:firstLine="420"/>
        <w:jc w:val="both"/>
        <w:rPr>
          <w:highlight w:val="none"/>
        </w:rPr>
      </w:pPr>
      <w:bookmarkStart w:id="44" w:name="_Toc16938520"/>
      <w:bookmarkStart w:id="45" w:name="_Toc513029204"/>
      <w:bookmarkStart w:id="46" w:name="_Toc458694821"/>
      <w:bookmarkStart w:id="47" w:name="_Toc20823276"/>
      <w:bookmarkStart w:id="48" w:name="_Hlt16619475"/>
      <w:r>
        <w:rPr>
          <w:rFonts w:ascii="Arial" w:hAnsi="Arial" w:cs="Arial"/>
          <w:color w:val="000000"/>
          <w:sz w:val="28"/>
          <w:szCs w:val="28"/>
          <w:highlight w:val="none"/>
        </w:rPr>
        <w:t>1</w:t>
      </w:r>
      <w:bookmarkEnd w:id="44"/>
      <w:r>
        <w:rPr>
          <w:rFonts w:ascii="Arial" w:hAnsi="Arial" w:cs="Arial"/>
          <w:color w:val="000000"/>
          <w:sz w:val="28"/>
          <w:szCs w:val="28"/>
          <w:highlight w:val="none"/>
        </w:rPr>
        <w:t>、招标方式</w:t>
      </w:r>
      <w:bookmarkEnd w:id="45"/>
      <w:bookmarkEnd w:id="46"/>
      <w:bookmarkEnd w:id="47"/>
    </w:p>
    <w:p w14:paraId="4EBB4F0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1.1本次招标采取公开招标方式，本招标文件仅适用于招标公告中所述项目。</w:t>
      </w:r>
    </w:p>
    <w:p w14:paraId="09C07EE6">
      <w:pPr>
        <w:pStyle w:val="12"/>
        <w:keepNext/>
        <w:keepLines/>
        <w:spacing w:beforeAutospacing="0" w:afterAutospacing="0"/>
        <w:ind w:firstLine="420"/>
        <w:jc w:val="both"/>
        <w:rPr>
          <w:highlight w:val="none"/>
        </w:rPr>
      </w:pPr>
      <w:bookmarkStart w:id="49" w:name="_Toc513029205"/>
      <w:bookmarkStart w:id="50" w:name="_Toc16938521"/>
      <w:bookmarkStart w:id="51" w:name="_Toc20823277"/>
      <w:r>
        <w:rPr>
          <w:rFonts w:ascii="Arial" w:hAnsi="Arial" w:cs="Arial"/>
          <w:color w:val="000000"/>
          <w:sz w:val="28"/>
          <w:szCs w:val="28"/>
          <w:highlight w:val="none"/>
        </w:rPr>
        <w:t>2、合格的投标人</w:t>
      </w:r>
      <w:bookmarkEnd w:id="49"/>
      <w:bookmarkEnd w:id="50"/>
      <w:bookmarkEnd w:id="51"/>
    </w:p>
    <w:p w14:paraId="20588D9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2.1满足招标公告中供应商的资格要求的规定。</w:t>
      </w:r>
    </w:p>
    <w:p w14:paraId="50E9C88C">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2.2满足本文件实质性要求和条件的规定。</w:t>
      </w:r>
    </w:p>
    <w:p w14:paraId="1FF875A9">
      <w:pPr>
        <w:pStyle w:val="12"/>
        <w:keepNext/>
        <w:keepLines/>
        <w:spacing w:beforeAutospacing="0" w:afterAutospacing="0"/>
        <w:ind w:firstLine="420"/>
        <w:jc w:val="both"/>
        <w:rPr>
          <w:highlight w:val="none"/>
        </w:rPr>
      </w:pPr>
      <w:bookmarkStart w:id="52" w:name="_Toc513029206"/>
      <w:bookmarkStart w:id="53" w:name="_Toc20823278"/>
      <w:bookmarkStart w:id="54" w:name="_Toc16938522"/>
      <w:r>
        <w:rPr>
          <w:rFonts w:ascii="Arial" w:hAnsi="Arial" w:cs="Arial"/>
          <w:color w:val="000000"/>
          <w:sz w:val="28"/>
          <w:szCs w:val="28"/>
          <w:highlight w:val="none"/>
        </w:rPr>
        <w:t>3、适用法律</w:t>
      </w:r>
      <w:bookmarkEnd w:id="52"/>
      <w:bookmarkEnd w:id="53"/>
      <w:bookmarkEnd w:id="54"/>
    </w:p>
    <w:p w14:paraId="6B8FE333">
      <w:pPr>
        <w:pStyle w:val="12"/>
        <w:spacing w:beforeAutospacing="0" w:afterAutospacing="0" w:line="0" w:lineRule="atLeast"/>
        <w:ind w:firstLine="420"/>
        <w:jc w:val="both"/>
        <w:rPr>
          <w:highlight w:val="none"/>
        </w:rPr>
      </w:pPr>
      <w:r>
        <w:rPr>
          <w:rFonts w:hint="eastAsia" w:ascii="宋体" w:hAnsi="宋体" w:eastAsia="宋体" w:cs="宋体"/>
          <w:color w:val="000000"/>
          <w:highlight w:val="none"/>
        </w:rPr>
        <w:t>3.1本次招标及由此产生的合同受中华人民共和国有关的法律法规制约和保护。</w:t>
      </w:r>
    </w:p>
    <w:p w14:paraId="09A6E4F7">
      <w:pPr>
        <w:pStyle w:val="12"/>
        <w:keepNext/>
        <w:keepLines/>
        <w:spacing w:beforeAutospacing="0" w:afterAutospacing="0"/>
        <w:ind w:firstLine="420"/>
        <w:jc w:val="both"/>
        <w:rPr>
          <w:highlight w:val="none"/>
        </w:rPr>
      </w:pPr>
      <w:bookmarkStart w:id="55" w:name="_Toc20823279"/>
      <w:bookmarkStart w:id="56" w:name="_Toc462564067"/>
      <w:bookmarkStart w:id="57" w:name="_Toc16938523"/>
      <w:bookmarkStart w:id="58" w:name="_Toc513029207"/>
      <w:r>
        <w:rPr>
          <w:rFonts w:ascii="Arial" w:hAnsi="Arial" w:cs="Arial"/>
          <w:color w:val="000000"/>
          <w:sz w:val="28"/>
          <w:szCs w:val="28"/>
          <w:highlight w:val="none"/>
        </w:rPr>
        <w:t>4、投标费用</w:t>
      </w:r>
      <w:bookmarkEnd w:id="55"/>
      <w:bookmarkEnd w:id="56"/>
      <w:bookmarkEnd w:id="57"/>
      <w:bookmarkEnd w:id="58"/>
    </w:p>
    <w:p w14:paraId="4A440091">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4.1投标人应自行承担所有与参加投标有关的费用，无论投标过程中的做法和结果如何，</w:t>
      </w:r>
      <w:r>
        <w:rPr>
          <w:rFonts w:hint="eastAsia" w:ascii="宋体" w:hAnsi="宋体" w:eastAsia="宋体" w:cs="宋体"/>
          <w:color w:val="000000"/>
          <w:highlight w:val="none"/>
          <w:lang w:eastAsia="zh-CN"/>
        </w:rPr>
        <w:t>盐城金弘项目管理有限公司（以下简称代理机构）</w:t>
      </w:r>
      <w:r>
        <w:rPr>
          <w:rFonts w:hint="eastAsia" w:ascii="宋体" w:hAnsi="宋体" w:eastAsia="宋体" w:cs="宋体"/>
          <w:color w:val="000000"/>
          <w:highlight w:val="none"/>
        </w:rPr>
        <w:t>在任何情况下均无义务和责任承担这些费用。</w:t>
      </w:r>
    </w:p>
    <w:p w14:paraId="02C0E36E">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4.2本次招标</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和采购人不收取标书工本费与中标服务费。</w:t>
      </w:r>
    </w:p>
    <w:p w14:paraId="1794FAB1">
      <w:pPr>
        <w:pStyle w:val="12"/>
        <w:keepNext/>
        <w:keepLines/>
        <w:spacing w:beforeAutospacing="0" w:afterAutospacing="0" w:line="0" w:lineRule="atLeast"/>
        <w:ind w:firstLine="602"/>
        <w:jc w:val="both"/>
        <w:rPr>
          <w:highlight w:val="none"/>
        </w:rPr>
      </w:pPr>
      <w:r>
        <w:rPr>
          <w:rFonts w:hint="eastAsia" w:ascii="宋体" w:hAnsi="宋体" w:eastAsia="宋体" w:cs="宋体"/>
          <w:b/>
          <w:color w:val="000000"/>
          <w:sz w:val="30"/>
          <w:szCs w:val="30"/>
          <w:highlight w:val="none"/>
        </w:rPr>
        <w:t>5、</w:t>
      </w:r>
      <w:r>
        <w:rPr>
          <w:rFonts w:hint="eastAsia" w:ascii="黑体" w:hAnsi="宋体" w:eastAsia="黑体" w:cs="黑体"/>
          <w:color w:val="000000"/>
          <w:sz w:val="28"/>
          <w:szCs w:val="28"/>
          <w:highlight w:val="none"/>
        </w:rPr>
        <w:t>招标文件的约束力</w:t>
      </w:r>
    </w:p>
    <w:p w14:paraId="7EF9398A">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5.1投标人一旦参加本项目采购活动，即被认为接受了本招标文件的规定和约束。</w:t>
      </w:r>
    </w:p>
    <w:p w14:paraId="3FDD839D">
      <w:pPr>
        <w:pStyle w:val="12"/>
        <w:keepNext/>
        <w:keepLines/>
        <w:spacing w:before="145" w:beforeAutospacing="0" w:after="145" w:afterAutospacing="0" w:line="360" w:lineRule="auto"/>
        <w:ind w:firstLine="321"/>
        <w:jc w:val="both"/>
        <w:rPr>
          <w:highlight w:val="none"/>
        </w:rPr>
      </w:pPr>
      <w:bookmarkStart w:id="59" w:name="_Toc120614215"/>
      <w:bookmarkStart w:id="60" w:name="_Toc513029209"/>
      <w:bookmarkStart w:id="61" w:name="_Toc20823281"/>
      <w:bookmarkStart w:id="62" w:name="_Toc16938525"/>
      <w:r>
        <w:rPr>
          <w:rFonts w:ascii="Times New Roman" w:hAnsi="Times New Roman"/>
          <w:b/>
          <w:color w:val="000000"/>
          <w:sz w:val="32"/>
          <w:szCs w:val="32"/>
          <w:highlight w:val="none"/>
        </w:rPr>
        <w:t>二、招标文件</w:t>
      </w:r>
      <w:bookmarkEnd w:id="59"/>
      <w:bookmarkEnd w:id="60"/>
      <w:bookmarkEnd w:id="61"/>
      <w:bookmarkEnd w:id="62"/>
    </w:p>
    <w:p w14:paraId="002AB161">
      <w:pPr>
        <w:pStyle w:val="12"/>
        <w:keepNext/>
        <w:keepLines/>
        <w:spacing w:beforeAutospacing="0" w:afterAutospacing="0"/>
        <w:ind w:firstLine="420"/>
        <w:jc w:val="both"/>
        <w:rPr>
          <w:highlight w:val="none"/>
        </w:rPr>
      </w:pPr>
      <w:bookmarkStart w:id="63" w:name="_Toc20823282"/>
      <w:bookmarkStart w:id="64" w:name="_Toc16938526"/>
      <w:bookmarkStart w:id="65" w:name="_Toc513029210"/>
      <w:r>
        <w:rPr>
          <w:rFonts w:ascii="Arial" w:hAnsi="Arial" w:cs="Arial"/>
          <w:color w:val="000000"/>
          <w:sz w:val="28"/>
          <w:szCs w:val="28"/>
          <w:highlight w:val="none"/>
        </w:rPr>
        <w:t>6、招标文件构成</w:t>
      </w:r>
      <w:bookmarkEnd w:id="63"/>
      <w:bookmarkEnd w:id="64"/>
      <w:bookmarkEnd w:id="65"/>
    </w:p>
    <w:p w14:paraId="0D0AE74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6.1 招标文件由以下部分组成：</w:t>
      </w:r>
    </w:p>
    <w:p w14:paraId="07CDF73A">
      <w:pPr>
        <w:pStyle w:val="12"/>
        <w:spacing w:beforeAutospacing="0" w:afterAutospacing="0" w:line="0" w:lineRule="atLeast"/>
        <w:ind w:firstLine="360"/>
        <w:jc w:val="both"/>
        <w:rPr>
          <w:rFonts w:hint="default" w:eastAsia="宋体"/>
          <w:highlight w:val="none"/>
          <w:lang w:val="en-US" w:eastAsia="zh-CN"/>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招标公告</w:t>
      </w:r>
    </w:p>
    <w:p w14:paraId="5C308005">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（2）投标人须知</w:t>
      </w:r>
    </w:p>
    <w:p w14:paraId="4072764A">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（3）合同文本</w:t>
      </w:r>
    </w:p>
    <w:p w14:paraId="6CF9D6FB">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（4）采购需求</w:t>
      </w:r>
    </w:p>
    <w:p w14:paraId="54D6BCCB">
      <w:pPr>
        <w:pStyle w:val="12"/>
        <w:spacing w:beforeAutospacing="0" w:afterAutospacing="0"/>
        <w:ind w:firstLine="360"/>
        <w:jc w:val="both"/>
        <w:rPr>
          <w:highlight w:val="none"/>
        </w:rPr>
      </w:pPr>
      <w:r>
        <w:rPr>
          <w:rFonts w:hint="eastAsia" w:ascii="宋体" w:hAnsi="宋体" w:eastAsia="宋体" w:cs="宋体"/>
          <w:color w:val="000000"/>
          <w:highlight w:val="none"/>
        </w:rPr>
        <w:t>（5）</w:t>
      </w:r>
      <w:r>
        <w:rPr>
          <w:rFonts w:ascii="Times New Roman" w:hAnsi="Times New Roman"/>
          <w:color w:val="000000"/>
          <w:highlight w:val="none"/>
        </w:rPr>
        <w:t>评标方法与评标标准</w:t>
      </w:r>
    </w:p>
    <w:p w14:paraId="25F1CCB6">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（6）投标文件格式</w:t>
      </w:r>
    </w:p>
    <w:p w14:paraId="250AC73C">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请仔细检查招标文件是否齐全，如有缺漏请立即与</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联系解决。</w:t>
      </w:r>
    </w:p>
    <w:p w14:paraId="0110814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E43BC1C">
      <w:pPr>
        <w:pStyle w:val="12"/>
        <w:keepNext/>
        <w:keepLines/>
        <w:spacing w:beforeAutospacing="0" w:afterAutospacing="0"/>
        <w:ind w:firstLine="560"/>
        <w:jc w:val="both"/>
        <w:rPr>
          <w:highlight w:val="none"/>
        </w:rPr>
      </w:pPr>
      <w:bookmarkStart w:id="66" w:name="_Toc513029211"/>
      <w:bookmarkStart w:id="67" w:name="_Toc20823283"/>
      <w:bookmarkStart w:id="68" w:name="_Toc462564070"/>
      <w:bookmarkStart w:id="69" w:name="_Toc16938527"/>
      <w:r>
        <w:rPr>
          <w:rFonts w:ascii="Arial" w:hAnsi="Arial" w:cs="Arial"/>
          <w:color w:val="000000"/>
          <w:sz w:val="28"/>
          <w:szCs w:val="28"/>
          <w:highlight w:val="none"/>
        </w:rPr>
        <w:t>7、招标文件的澄清</w:t>
      </w:r>
      <w:bookmarkEnd w:id="66"/>
      <w:bookmarkEnd w:id="67"/>
      <w:bookmarkEnd w:id="68"/>
      <w:bookmarkEnd w:id="69"/>
    </w:p>
    <w:p w14:paraId="7D062509">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7.1任何要求对招标文件进行澄清的投标人，应在投标截止期</w:t>
      </w:r>
      <w:r>
        <w:rPr>
          <w:rFonts w:ascii="仿宋_GB2312" w:eastAsia="仿宋_GB2312" w:cs="仿宋_GB2312"/>
          <w:b/>
          <w:color w:val="000000"/>
          <w:highlight w:val="none"/>
        </w:rPr>
        <w:t>十日</w:t>
      </w:r>
      <w:r>
        <w:rPr>
          <w:rFonts w:ascii="仿宋_GB2312" w:eastAsia="仿宋_GB2312" w:cs="仿宋_GB2312"/>
          <w:color w:val="000000"/>
          <w:highlight w:val="none"/>
        </w:rPr>
        <w:t>前</w:t>
      </w:r>
      <w:r>
        <w:rPr>
          <w:rFonts w:hint="eastAsia" w:ascii="宋体" w:hAnsi="宋体" w:eastAsia="宋体" w:cs="宋体"/>
          <w:color w:val="000000"/>
          <w:highlight w:val="none"/>
        </w:rPr>
        <w:t>按招标公告中的通讯地址，以书面形式通知</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w:t>
      </w:r>
    </w:p>
    <w:p w14:paraId="0A8D7487">
      <w:pPr>
        <w:pStyle w:val="12"/>
        <w:keepNext/>
        <w:keepLines/>
        <w:spacing w:beforeAutospacing="0" w:afterAutospacing="0"/>
        <w:ind w:firstLine="560"/>
        <w:jc w:val="both"/>
        <w:rPr>
          <w:highlight w:val="none"/>
        </w:rPr>
      </w:pPr>
      <w:bookmarkStart w:id="70" w:name="_Toc16938528"/>
      <w:bookmarkStart w:id="71" w:name="_Toc20823284"/>
      <w:bookmarkStart w:id="72" w:name="_Toc513029212"/>
      <w:bookmarkStart w:id="73" w:name="_Toc462564071"/>
      <w:r>
        <w:rPr>
          <w:rFonts w:ascii="Arial" w:hAnsi="Arial" w:cs="Arial"/>
          <w:color w:val="000000"/>
          <w:sz w:val="28"/>
          <w:szCs w:val="28"/>
          <w:highlight w:val="none"/>
        </w:rPr>
        <w:t>8、招标文件的修改</w:t>
      </w:r>
      <w:bookmarkEnd w:id="70"/>
      <w:bookmarkEnd w:id="71"/>
      <w:bookmarkEnd w:id="72"/>
      <w:bookmarkEnd w:id="73"/>
    </w:p>
    <w:p w14:paraId="2B56698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8.1在投标截止时间</w:t>
      </w:r>
      <w:r>
        <w:rPr>
          <w:rFonts w:ascii="仿宋_GB2312" w:eastAsia="仿宋_GB2312" w:cs="仿宋_GB2312"/>
          <w:color w:val="000000"/>
          <w:highlight w:val="none"/>
        </w:rPr>
        <w:t>前</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可以对招标文件进行修改。</w:t>
      </w:r>
    </w:p>
    <w:p w14:paraId="4708B391">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8.2</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有权按照法定的要求推迟投标截止日期和开标日期。</w:t>
      </w:r>
    </w:p>
    <w:p w14:paraId="5540F6F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8.3招标文件的修改将在</w:t>
      </w:r>
      <w:r>
        <w:rPr>
          <w:rFonts w:hint="eastAsia" w:ascii="仿宋" w:hAnsi="仿宋" w:eastAsia="仿宋" w:cs="仿宋"/>
          <w:color w:val="000000"/>
          <w:kern w:val="0"/>
          <w:sz w:val="28"/>
          <w:szCs w:val="28"/>
          <w:highlight w:val="none"/>
          <w:lang w:val="en-US" w:eastAsia="zh-CN" w:bidi="ar-SA"/>
        </w:rPr>
        <w:t>中国政府采购网</w:t>
      </w:r>
      <w:r>
        <w:rPr>
          <w:rFonts w:hint="eastAsia" w:ascii="仿宋" w:hAnsi="仿宋" w:eastAsia="仿宋" w:cs="仿宋"/>
          <w:i w:val="0"/>
          <w:iCs w:val="0"/>
          <w:caps w:val="0"/>
          <w:color w:val="333333"/>
          <w:spacing w:val="0"/>
          <w:sz w:val="28"/>
          <w:szCs w:val="28"/>
          <w:highlight w:val="none"/>
          <w:shd w:val="clear" w:fill="FFFFFF"/>
          <w:lang w:val="en-US" w:eastAsia="zh-CN"/>
        </w:rPr>
        <w:t>、</w:t>
      </w:r>
      <w:r>
        <w:rPr>
          <w:rFonts w:hint="eastAsia" w:ascii="宋体" w:hAnsi="宋体" w:eastAsia="宋体" w:cs="宋体"/>
          <w:color w:val="000000"/>
          <w:highlight w:val="none"/>
        </w:rPr>
        <w:t>江苏政府采购网</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盐城市政府采购网公布，补充文件将作为招标文件的组成部分，并对投标人具有约束力。</w:t>
      </w:r>
    </w:p>
    <w:p w14:paraId="4D854731">
      <w:pPr>
        <w:pStyle w:val="12"/>
        <w:keepNext/>
        <w:keepLines/>
        <w:spacing w:before="145" w:beforeAutospacing="0" w:after="145" w:afterAutospacing="0" w:line="360" w:lineRule="auto"/>
        <w:ind w:firstLine="482"/>
        <w:jc w:val="both"/>
        <w:rPr>
          <w:highlight w:val="none"/>
        </w:rPr>
      </w:pPr>
      <w:bookmarkStart w:id="74" w:name="_Toc120614216"/>
      <w:bookmarkStart w:id="75" w:name="_Toc462564072"/>
      <w:bookmarkStart w:id="76" w:name="_Toc513029213"/>
      <w:bookmarkStart w:id="77" w:name="_Toc16938529"/>
      <w:bookmarkStart w:id="78" w:name="_Toc20823285"/>
      <w:r>
        <w:rPr>
          <w:rFonts w:ascii="Times New Roman" w:hAnsi="Times New Roman"/>
          <w:b/>
          <w:color w:val="000000"/>
          <w:sz w:val="32"/>
          <w:szCs w:val="32"/>
          <w:highlight w:val="none"/>
        </w:rPr>
        <w:t>三、投标文件的编制</w:t>
      </w:r>
      <w:bookmarkEnd w:id="74"/>
      <w:bookmarkEnd w:id="75"/>
      <w:bookmarkEnd w:id="76"/>
      <w:bookmarkEnd w:id="77"/>
      <w:bookmarkEnd w:id="78"/>
    </w:p>
    <w:p w14:paraId="0FA45DD2">
      <w:pPr>
        <w:pStyle w:val="12"/>
        <w:keepNext/>
        <w:keepLines/>
        <w:spacing w:beforeAutospacing="0" w:afterAutospacing="0"/>
        <w:ind w:firstLine="560"/>
        <w:jc w:val="both"/>
        <w:rPr>
          <w:highlight w:val="none"/>
        </w:rPr>
      </w:pPr>
      <w:bookmarkStart w:id="79" w:name="_Toc16938530"/>
      <w:bookmarkStart w:id="80" w:name="_Toc20823286"/>
      <w:bookmarkStart w:id="81" w:name="_Toc462564073"/>
      <w:bookmarkStart w:id="82" w:name="_Toc513029214"/>
      <w:r>
        <w:rPr>
          <w:rFonts w:ascii="Arial" w:hAnsi="Arial" w:cs="Arial"/>
          <w:color w:val="000000"/>
          <w:sz w:val="28"/>
          <w:szCs w:val="28"/>
          <w:highlight w:val="none"/>
        </w:rPr>
        <w:t>9、投标文件的语言及度量衡单位</w:t>
      </w:r>
      <w:bookmarkEnd w:id="79"/>
      <w:bookmarkEnd w:id="80"/>
      <w:bookmarkEnd w:id="81"/>
      <w:bookmarkEnd w:id="82"/>
    </w:p>
    <w:p w14:paraId="4E003DE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9.1投标人提交的投标文件以及投标人与</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就有关投标的所有来往通知、函件和文件均应使用</w:t>
      </w:r>
      <w:r>
        <w:rPr>
          <w:rFonts w:hint="eastAsia" w:ascii="宋体" w:hAnsi="宋体" w:eastAsia="宋体" w:cs="宋体"/>
          <w:b/>
          <w:color w:val="000000"/>
          <w:highlight w:val="none"/>
        </w:rPr>
        <w:t>简体中文</w:t>
      </w:r>
      <w:r>
        <w:rPr>
          <w:rFonts w:hint="eastAsia" w:ascii="宋体" w:hAnsi="宋体" w:eastAsia="宋体" w:cs="宋体"/>
          <w:color w:val="000000"/>
          <w:highlight w:val="none"/>
        </w:rPr>
        <w:t>。</w:t>
      </w:r>
    </w:p>
    <w:p w14:paraId="4D57AA0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9.2除技术性能另有规定外，投标文件所使用的度量衡单位，均须采用国家法定计量单位。</w:t>
      </w:r>
    </w:p>
    <w:p w14:paraId="1CFCD637">
      <w:pPr>
        <w:pStyle w:val="12"/>
        <w:keepNext/>
        <w:keepLines/>
        <w:spacing w:beforeAutospacing="0" w:afterAutospacing="0"/>
        <w:ind w:firstLine="420"/>
        <w:jc w:val="both"/>
        <w:rPr>
          <w:highlight w:val="none"/>
        </w:rPr>
      </w:pPr>
      <w:bookmarkStart w:id="83" w:name="_Toc513029215"/>
      <w:bookmarkStart w:id="84" w:name="_Toc462564074"/>
      <w:bookmarkStart w:id="85" w:name="_Toc20823287"/>
      <w:bookmarkStart w:id="86" w:name="_Toc16938531"/>
      <w:r>
        <w:rPr>
          <w:rFonts w:ascii="Arial" w:hAnsi="Arial" w:cs="Arial"/>
          <w:color w:val="000000"/>
          <w:sz w:val="28"/>
          <w:szCs w:val="28"/>
          <w:highlight w:val="none"/>
        </w:rPr>
        <w:t>10、投标文件构成</w:t>
      </w:r>
      <w:bookmarkEnd w:id="83"/>
      <w:bookmarkEnd w:id="84"/>
      <w:bookmarkEnd w:id="85"/>
      <w:bookmarkEnd w:id="86"/>
    </w:p>
    <w:p w14:paraId="500A9747">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10.1投标人编写的投标文件应包括资格证明文件、符合性证明文件、投标分项报价表、技术要求响应及偏离表、商务要求响应及偏离表、其他证明文件、投标函、开标一览表等部分。</w:t>
      </w:r>
    </w:p>
    <w:p w14:paraId="34F36F0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10.2如标书制作工具中格式和内容与</w:t>
      </w:r>
      <w:r>
        <w:rPr>
          <w:rFonts w:hint="eastAsia" w:ascii="仿宋" w:hAnsi="仿宋" w:eastAsia="仿宋" w:cs="仿宋"/>
          <w:i w:val="0"/>
          <w:iCs w:val="0"/>
          <w:caps w:val="0"/>
          <w:color w:val="333333"/>
          <w:spacing w:val="0"/>
          <w:sz w:val="28"/>
          <w:szCs w:val="28"/>
          <w:highlight w:val="none"/>
          <w:shd w:val="clear" w:fill="FFFFFF"/>
          <w:lang w:val="en-US" w:eastAsia="zh-CN"/>
        </w:rPr>
        <w:t>“</w:t>
      </w:r>
      <w:r>
        <w:rPr>
          <w:rFonts w:hint="eastAsia" w:ascii="仿宋" w:hAnsi="仿宋" w:eastAsia="仿宋" w:cs="仿宋"/>
          <w:color w:val="000000"/>
          <w:kern w:val="0"/>
          <w:sz w:val="28"/>
          <w:szCs w:val="28"/>
          <w:highlight w:val="none"/>
          <w:lang w:val="en-US" w:eastAsia="zh-CN" w:bidi="ar-SA"/>
        </w:rPr>
        <w:t>中国政府采购网</w:t>
      </w:r>
      <w:r>
        <w:rPr>
          <w:rFonts w:hint="eastAsia" w:ascii="仿宋" w:hAnsi="仿宋" w:eastAsia="仿宋" w:cs="仿宋"/>
          <w:i w:val="0"/>
          <w:iCs w:val="0"/>
          <w:caps w:val="0"/>
          <w:color w:val="333333"/>
          <w:spacing w:val="0"/>
          <w:sz w:val="28"/>
          <w:szCs w:val="28"/>
          <w:highlight w:val="none"/>
          <w:shd w:val="clear" w:fill="FFFFFF"/>
          <w:lang w:val="en-US" w:eastAsia="zh-CN"/>
        </w:rPr>
        <w:t>”、</w:t>
      </w:r>
      <w:r>
        <w:rPr>
          <w:rFonts w:hint="eastAsia" w:ascii="宋体" w:hAnsi="宋体" w:eastAsia="宋体" w:cs="宋体"/>
          <w:color w:val="000000"/>
          <w:highlight w:val="none"/>
        </w:rPr>
        <w:t>“江苏政府采购网”、“盐城市政府采购网”发布的招标文件不一致，请以</w:t>
      </w:r>
      <w:r>
        <w:rPr>
          <w:rFonts w:hint="eastAsia" w:ascii="仿宋" w:hAnsi="仿宋" w:eastAsia="仿宋" w:cs="仿宋"/>
          <w:i w:val="0"/>
          <w:iCs w:val="0"/>
          <w:caps w:val="0"/>
          <w:color w:val="333333"/>
          <w:spacing w:val="0"/>
          <w:sz w:val="28"/>
          <w:szCs w:val="28"/>
          <w:highlight w:val="none"/>
          <w:shd w:val="clear" w:fill="FFFFFF"/>
          <w:lang w:val="en-US" w:eastAsia="zh-CN"/>
        </w:rPr>
        <w:t>“</w:t>
      </w:r>
      <w:r>
        <w:rPr>
          <w:rFonts w:hint="eastAsia" w:ascii="仿宋" w:hAnsi="仿宋" w:eastAsia="仿宋" w:cs="仿宋"/>
          <w:color w:val="000000"/>
          <w:kern w:val="0"/>
          <w:sz w:val="28"/>
          <w:szCs w:val="28"/>
          <w:highlight w:val="none"/>
          <w:lang w:val="en-US" w:eastAsia="zh-CN" w:bidi="ar-SA"/>
        </w:rPr>
        <w:t>中国政府采购网</w:t>
      </w:r>
      <w:r>
        <w:rPr>
          <w:rFonts w:hint="eastAsia" w:ascii="仿宋" w:hAnsi="仿宋" w:eastAsia="仿宋" w:cs="仿宋"/>
          <w:i w:val="0"/>
          <w:iCs w:val="0"/>
          <w:caps w:val="0"/>
          <w:color w:val="333333"/>
          <w:spacing w:val="0"/>
          <w:sz w:val="28"/>
          <w:szCs w:val="28"/>
          <w:highlight w:val="none"/>
          <w:shd w:val="clear" w:fill="FFFFFF"/>
          <w:lang w:val="en-US" w:eastAsia="zh-CN"/>
        </w:rPr>
        <w:t>”、</w:t>
      </w:r>
      <w:r>
        <w:rPr>
          <w:rFonts w:hint="eastAsia" w:ascii="宋体" w:hAnsi="宋体" w:eastAsia="宋体" w:cs="宋体"/>
          <w:color w:val="000000"/>
          <w:highlight w:val="none"/>
        </w:rPr>
        <w:t>“江苏政府采购网”、“盐城市政府采购网”发布的招标文件为准。</w:t>
      </w:r>
    </w:p>
    <w:p w14:paraId="34850DD3">
      <w:pPr>
        <w:pStyle w:val="12"/>
        <w:keepNext/>
        <w:keepLines/>
        <w:spacing w:beforeAutospacing="0" w:afterAutospacing="0"/>
        <w:ind w:firstLine="420"/>
        <w:jc w:val="both"/>
        <w:rPr>
          <w:highlight w:val="none"/>
        </w:rPr>
      </w:pPr>
      <w:bookmarkStart w:id="87" w:name="_Toc513029216"/>
      <w:bookmarkStart w:id="88" w:name="_Toc49090509"/>
      <w:bookmarkStart w:id="89" w:name="_Toc49090507"/>
      <w:bookmarkStart w:id="90" w:name="_Toc513029219"/>
      <w:bookmarkStart w:id="91" w:name="_Toc14577354"/>
      <w:bookmarkStart w:id="92" w:name="_Toc14577357"/>
      <w:bookmarkStart w:id="93" w:name="_Hlt26670360"/>
      <w:bookmarkStart w:id="94" w:name="_Hlt26668975"/>
      <w:bookmarkStart w:id="95" w:name="_Hlt26954838"/>
      <w:r>
        <w:rPr>
          <w:rFonts w:ascii="Arial" w:hAnsi="Arial" w:cs="Arial"/>
          <w:color w:val="000000"/>
          <w:sz w:val="28"/>
          <w:szCs w:val="28"/>
          <w:highlight w:val="none"/>
        </w:rPr>
        <w:t>11、证明投标人及投标标的符合招标文件规定的文件</w:t>
      </w:r>
      <w:bookmarkEnd w:id="87"/>
      <w:bookmarkEnd w:id="88"/>
      <w:bookmarkEnd w:id="89"/>
      <w:bookmarkEnd w:id="90"/>
      <w:bookmarkEnd w:id="91"/>
      <w:bookmarkEnd w:id="92"/>
    </w:p>
    <w:p w14:paraId="1D8B460A">
      <w:pPr>
        <w:pStyle w:val="12"/>
        <w:spacing w:beforeAutospacing="0" w:afterAutospacing="0" w:line="0" w:lineRule="atLeast"/>
        <w:jc w:val="both"/>
        <w:rPr>
          <w:highlight w:val="none"/>
        </w:rPr>
      </w:pPr>
      <w:bookmarkStart w:id="96" w:name="_Toc49090508"/>
      <w:bookmarkStart w:id="97" w:name="_Toc14577355"/>
      <w:r>
        <w:rPr>
          <w:rFonts w:hint="eastAsia" w:ascii="宋体" w:hAnsi="宋体" w:eastAsia="宋体" w:cs="宋体"/>
          <w:color w:val="000000"/>
          <w:highlight w:val="none"/>
        </w:rPr>
        <w:t>    11.1投标人应按照法律、法规、规章和规范性文件以及招标文件要求提交证明文件，证明其及投标标的符合招标文件规定。</w:t>
      </w:r>
      <w:bookmarkEnd w:id="96"/>
      <w:bookmarkEnd w:id="97"/>
    </w:p>
    <w:p w14:paraId="675CDB9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11.2招标文件对证明文件无明确形式要求的，证明文件可以以文字资料、图纸和数据等形式提交。</w:t>
      </w:r>
    </w:p>
    <w:p w14:paraId="0B6312B4">
      <w:pPr>
        <w:pStyle w:val="12"/>
        <w:keepNext/>
        <w:keepLines/>
        <w:spacing w:beforeAutospacing="0" w:afterAutospacing="0"/>
        <w:ind w:firstLine="420"/>
        <w:jc w:val="both"/>
        <w:rPr>
          <w:highlight w:val="none"/>
        </w:rPr>
      </w:pPr>
      <w:r>
        <w:rPr>
          <w:rFonts w:ascii="Arial" w:hAnsi="Arial" w:cs="Arial"/>
          <w:color w:val="000000"/>
          <w:sz w:val="28"/>
          <w:szCs w:val="28"/>
          <w:highlight w:val="none"/>
        </w:rPr>
        <w:t>12、投标分项报价</w:t>
      </w:r>
      <w:bookmarkStart w:id="98" w:name="_Hlt26670373"/>
      <w:r>
        <w:rPr>
          <w:rFonts w:ascii="Arial" w:hAnsi="Arial" w:cs="Arial"/>
          <w:color w:val="000000"/>
          <w:sz w:val="28"/>
          <w:szCs w:val="28"/>
          <w:highlight w:val="none"/>
        </w:rPr>
        <w:t>表</w:t>
      </w:r>
    </w:p>
    <w:p w14:paraId="3728BC6A">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12.1投</w:t>
      </w:r>
      <w:bookmarkStart w:id="99" w:name="_Hlt26954840"/>
      <w:r>
        <w:rPr>
          <w:rFonts w:hint="eastAsia" w:ascii="宋体" w:hAnsi="宋体" w:eastAsia="宋体" w:cs="宋体"/>
          <w:color w:val="000000"/>
          <w:highlight w:val="none"/>
        </w:rPr>
        <w:t>标人应按照招标文件规定格式填报投标分项报价表</w:t>
      </w:r>
      <w:bookmarkStart w:id="100" w:name="_Hlt26670399"/>
      <w:r>
        <w:rPr>
          <w:rFonts w:hint="eastAsia" w:ascii="宋体" w:hAnsi="宋体" w:eastAsia="宋体" w:cs="宋体"/>
          <w:color w:val="000000"/>
          <w:highlight w:val="none"/>
        </w:rPr>
        <w:t>。</w:t>
      </w:r>
    </w:p>
    <w:p w14:paraId="4A29BDA9">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12.2投标货币。投标文件中的单价和总价无特殊规定的采用人民币报价，以元为单位标注。招标文件中另有规定的按规定执行。</w:t>
      </w:r>
    </w:p>
    <w:p w14:paraId="3C75E384">
      <w:pPr>
        <w:pStyle w:val="12"/>
        <w:keepNext/>
        <w:keepLines/>
        <w:spacing w:beforeAutospacing="0" w:afterAutospacing="0"/>
        <w:ind w:firstLine="420"/>
        <w:jc w:val="both"/>
        <w:rPr>
          <w:highlight w:val="none"/>
        </w:rPr>
      </w:pPr>
      <w:bookmarkStart w:id="101" w:name="_Hlt26670425"/>
      <w:bookmarkStart w:id="102" w:name="_Hlt26954842"/>
      <w:bookmarkStart w:id="103" w:name="_Hlt26668983"/>
      <w:bookmarkStart w:id="104" w:name="_Hlt26670482"/>
      <w:bookmarkStart w:id="105" w:name="_Hlt26954848"/>
      <w:bookmarkStart w:id="106" w:name="_Hlt26954731"/>
      <w:bookmarkStart w:id="107" w:name="_Hlt26954846"/>
      <w:bookmarkStart w:id="108" w:name="_Hlt26670486"/>
      <w:bookmarkStart w:id="109" w:name="_Hlt26670403"/>
      <w:bookmarkStart w:id="110" w:name="_Hlt26954844"/>
      <w:r>
        <w:rPr>
          <w:rFonts w:ascii="Arial" w:hAnsi="Arial" w:cs="Arial"/>
          <w:color w:val="000000"/>
          <w:sz w:val="28"/>
          <w:szCs w:val="28"/>
          <w:highlight w:val="none"/>
        </w:rPr>
        <w:t>13、技术要求响应及偏离表、商务要求响应及偏离表</w:t>
      </w:r>
    </w:p>
    <w:p w14:paraId="3E58849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13.1投标人需对招标文件中的技术要求与商务要求逐项作出响应或偏离，并说明原因。</w:t>
      </w:r>
    </w:p>
    <w:p w14:paraId="70485253">
      <w:pPr>
        <w:pStyle w:val="12"/>
        <w:tabs>
          <w:tab w:val="left" w:pos="1036"/>
        </w:tabs>
        <w:spacing w:beforeAutospacing="0" w:afterAutospacing="0" w:line="0" w:lineRule="atLeast"/>
        <w:ind w:firstLine="480"/>
        <w:jc w:val="both"/>
        <w:rPr>
          <w:highlight w:val="none"/>
        </w:rPr>
      </w:pPr>
      <w:r>
        <w:rPr>
          <w:rFonts w:hint="eastAsia" w:ascii="宋体" w:hAnsi="宋体" w:eastAsia="宋体" w:cs="宋体"/>
          <w:color w:val="000000"/>
          <w:highlight w:val="none"/>
        </w:rPr>
        <w:t>13.2投标人可在投标文件中提供认为需要的其他技术文件或说明。</w:t>
      </w:r>
    </w:p>
    <w:p w14:paraId="2DD9B39E">
      <w:pPr>
        <w:pStyle w:val="12"/>
        <w:keepNext/>
        <w:keepLines/>
        <w:spacing w:beforeAutospacing="0" w:afterAutospacing="0"/>
        <w:ind w:firstLine="420"/>
        <w:jc w:val="both"/>
        <w:rPr>
          <w:highlight w:val="none"/>
        </w:rPr>
      </w:pPr>
      <w:bookmarkStart w:id="111" w:name="_Toc49090510"/>
      <w:bookmarkStart w:id="112" w:name="_Toc14577359"/>
      <w:r>
        <w:rPr>
          <w:rFonts w:ascii="Arial" w:hAnsi="Arial" w:cs="Arial"/>
          <w:color w:val="000000"/>
          <w:sz w:val="28"/>
          <w:szCs w:val="28"/>
          <w:highlight w:val="none"/>
        </w:rPr>
        <w:t>14、投标函和开标一览表</w:t>
      </w:r>
      <w:bookmarkEnd w:id="111"/>
      <w:bookmarkEnd w:id="112"/>
    </w:p>
    <w:p w14:paraId="3A6310F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14.1投标人应按照招标文件中提供的格式完整、正确填写投标函、开标一览表。</w:t>
      </w:r>
    </w:p>
    <w:p w14:paraId="157EF23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14.2对于采用货币报价的项目，开标一览表中的投标总报价应与投标分项报价表中的投标总报价一致，如不一致，不作为无效投标处理，但评标时按开标一览表中价格为准</w:t>
      </w:r>
      <w:r>
        <w:rPr>
          <w:rFonts w:hint="eastAsia" w:ascii="宋体" w:hAnsi="宋体" w:eastAsia="宋体" w:cs="宋体"/>
          <w:b/>
          <w:color w:val="000000"/>
          <w:highlight w:val="none"/>
        </w:rPr>
        <w:t>。</w:t>
      </w:r>
    </w:p>
    <w:p w14:paraId="6F93C172">
      <w:pPr>
        <w:pStyle w:val="12"/>
        <w:keepNext/>
        <w:keepLines/>
        <w:spacing w:beforeAutospacing="0" w:afterAutospacing="0"/>
        <w:ind w:firstLine="420"/>
        <w:jc w:val="both"/>
        <w:rPr>
          <w:highlight w:val="none"/>
        </w:rPr>
      </w:pPr>
      <w:bookmarkStart w:id="113" w:name="_Toc14577360"/>
      <w:bookmarkStart w:id="114" w:name="_Toc49090511"/>
      <w:bookmarkStart w:id="115" w:name="_Hlt26670489"/>
      <w:bookmarkStart w:id="116" w:name="_Hlt26954850"/>
      <w:bookmarkStart w:id="117" w:name="_Hlt26954734"/>
      <w:r>
        <w:rPr>
          <w:rFonts w:ascii="Arial" w:hAnsi="Arial" w:cs="Arial"/>
          <w:color w:val="000000"/>
          <w:sz w:val="28"/>
          <w:szCs w:val="28"/>
          <w:highlight w:val="none"/>
        </w:rPr>
        <w:t>15、投标有效期</w:t>
      </w:r>
      <w:bookmarkEnd w:id="113"/>
      <w:bookmarkEnd w:id="114"/>
    </w:p>
    <w:p w14:paraId="42FAC5B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15.1投标有效期为</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规定的开标之日后</w:t>
      </w:r>
      <w:r>
        <w:rPr>
          <w:rFonts w:ascii="仿宋_GB2312" w:eastAsia="仿宋_GB2312" w:cs="仿宋_GB2312"/>
          <w:b/>
          <w:color w:val="000000"/>
          <w:highlight w:val="none"/>
          <w:u w:val="single"/>
        </w:rPr>
        <w:t>六十（60）天</w:t>
      </w:r>
      <w:r>
        <w:rPr>
          <w:rFonts w:hint="eastAsia" w:ascii="宋体" w:hAnsi="宋体" w:eastAsia="宋体" w:cs="宋体"/>
          <w:color w:val="000000"/>
          <w:highlight w:val="none"/>
        </w:rPr>
        <w:t>。投标有效期比规定短的将被视为未实质性响应招标文件而予以拒绝。</w:t>
      </w:r>
    </w:p>
    <w:p w14:paraId="2FF09245">
      <w:pPr>
        <w:pStyle w:val="12"/>
        <w:keepNext/>
        <w:keepLines/>
        <w:spacing w:beforeAutospacing="0" w:afterAutospacing="0"/>
        <w:ind w:firstLine="420"/>
        <w:jc w:val="both"/>
        <w:rPr>
          <w:highlight w:val="none"/>
        </w:rPr>
      </w:pPr>
      <w:r>
        <w:rPr>
          <w:rFonts w:ascii="Arial" w:hAnsi="Arial" w:cs="Arial"/>
          <w:color w:val="000000"/>
          <w:sz w:val="28"/>
          <w:szCs w:val="28"/>
          <w:highlight w:val="none"/>
        </w:rPr>
        <w:t>16、投标有效期的延长</w:t>
      </w:r>
    </w:p>
    <w:p w14:paraId="5A6FDFD1">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16.1在特殊情况下，</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于原投标有效期满之前，可向投标人提出延长投标有效期的要求。这种要求与答复均应采用书面形式。投标人可以拒绝</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的这一要求而放弃投标。同意延长投标有效期的投标人既不能要求也不允许修改其投标文件，同时受投标有效期约束的所有权利与义务均延长至新的有效期。</w:t>
      </w:r>
    </w:p>
    <w:p w14:paraId="62FF6B5F">
      <w:pPr>
        <w:pStyle w:val="12"/>
        <w:keepNext/>
        <w:keepLines/>
        <w:spacing w:before="145" w:beforeAutospacing="0" w:after="145" w:afterAutospacing="0" w:line="360" w:lineRule="auto"/>
        <w:ind w:firstLine="482"/>
        <w:jc w:val="both"/>
        <w:rPr>
          <w:highlight w:val="none"/>
        </w:rPr>
      </w:pPr>
      <w:bookmarkStart w:id="118" w:name="_Toc120614217"/>
      <w:bookmarkStart w:id="119" w:name="_Toc20823296"/>
      <w:bookmarkStart w:id="120" w:name="_Toc16938540"/>
      <w:bookmarkStart w:id="121" w:name="_Toc513029224"/>
      <w:bookmarkStart w:id="122" w:name="_Hlt26954739"/>
      <w:bookmarkStart w:id="123" w:name="_Hlt26954852"/>
      <w:r>
        <w:rPr>
          <w:rFonts w:ascii="Times New Roman" w:hAnsi="Times New Roman"/>
          <w:b/>
          <w:color w:val="000000"/>
          <w:sz w:val="32"/>
          <w:szCs w:val="32"/>
          <w:highlight w:val="none"/>
        </w:rPr>
        <w:t>四、投标文件的递交</w:t>
      </w:r>
      <w:bookmarkEnd w:id="118"/>
      <w:bookmarkEnd w:id="119"/>
      <w:bookmarkEnd w:id="120"/>
      <w:bookmarkEnd w:id="121"/>
    </w:p>
    <w:p w14:paraId="3AC52725">
      <w:pPr>
        <w:pStyle w:val="12"/>
        <w:keepNext/>
        <w:keepLines/>
        <w:spacing w:beforeAutospacing="0" w:afterAutospacing="0"/>
        <w:ind w:firstLine="560"/>
        <w:jc w:val="both"/>
        <w:rPr>
          <w:highlight w:val="none"/>
        </w:rPr>
      </w:pPr>
      <w:bookmarkStart w:id="124" w:name="_Toc462564084"/>
      <w:bookmarkStart w:id="125" w:name="_Toc20823297"/>
      <w:bookmarkStart w:id="126" w:name="_Toc513029225"/>
      <w:bookmarkStart w:id="127" w:name="_Toc16938541"/>
      <w:r>
        <w:rPr>
          <w:rFonts w:ascii="Arial" w:hAnsi="Arial" w:cs="Arial"/>
          <w:color w:val="000000"/>
          <w:sz w:val="28"/>
          <w:szCs w:val="28"/>
          <w:highlight w:val="none"/>
        </w:rPr>
        <w:t>17、</w:t>
      </w:r>
      <w:r>
        <w:rPr>
          <w:rFonts w:hint="eastAsia" w:ascii="黑体" w:hAnsi="宋体" w:eastAsia="黑体" w:cs="黑体"/>
          <w:color w:val="000000"/>
          <w:sz w:val="28"/>
          <w:szCs w:val="28"/>
          <w:highlight w:val="none"/>
        </w:rPr>
        <w:t>投标文件</w:t>
      </w:r>
      <w:bookmarkEnd w:id="124"/>
      <w:bookmarkEnd w:id="125"/>
      <w:bookmarkEnd w:id="126"/>
      <w:bookmarkEnd w:id="127"/>
      <w:r>
        <w:rPr>
          <w:rFonts w:hint="eastAsia" w:ascii="黑体" w:hAnsi="宋体" w:eastAsia="黑体" w:cs="黑体"/>
          <w:color w:val="000000"/>
          <w:sz w:val="28"/>
          <w:szCs w:val="28"/>
          <w:highlight w:val="none"/>
        </w:rPr>
        <w:t>的递交</w:t>
      </w:r>
    </w:p>
    <w:p w14:paraId="49E0286F">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17.1 电子投标文件的递交</w:t>
      </w:r>
    </w:p>
    <w:p w14:paraId="33F60FA3">
      <w:pPr>
        <w:pStyle w:val="12"/>
        <w:spacing w:beforeAutospacing="0" w:afterAutospacing="0"/>
        <w:ind w:left="525"/>
        <w:jc w:val="both"/>
        <w:rPr>
          <w:highlight w:val="none"/>
        </w:rPr>
      </w:pPr>
      <w:r>
        <w:rPr>
          <w:rFonts w:hint="eastAsia" w:ascii="宋体" w:hAnsi="宋体" w:eastAsia="宋体" w:cs="宋体"/>
          <w:color w:val="000000"/>
          <w:highlight w:val="none"/>
        </w:rPr>
        <w:t>投标人应当按照《操作手册》规定，在投标截止时间前制作并上传电子投标文件。</w:t>
      </w:r>
      <w:bookmarkStart w:id="128" w:name="_Toc20823298"/>
      <w:bookmarkEnd w:id="128"/>
      <w:bookmarkStart w:id="129" w:name="_Toc16938542"/>
      <w:bookmarkEnd w:id="129"/>
      <w:bookmarkStart w:id="130" w:name="_Toc513029226"/>
    </w:p>
    <w:p w14:paraId="00F79DFC">
      <w:pPr>
        <w:pStyle w:val="12"/>
        <w:keepNext/>
        <w:keepLines/>
        <w:spacing w:before="280" w:beforeAutospacing="0" w:after="290" w:afterAutospacing="0" w:line="374" w:lineRule="auto"/>
        <w:ind w:firstLine="420"/>
        <w:jc w:val="both"/>
        <w:rPr>
          <w:highlight w:val="none"/>
        </w:rPr>
      </w:pPr>
      <w:r>
        <w:rPr>
          <w:rFonts w:ascii="Arial" w:hAnsi="Arial" w:cs="Arial"/>
          <w:color w:val="000000"/>
          <w:sz w:val="28"/>
          <w:szCs w:val="28"/>
          <w:highlight w:val="none"/>
        </w:rPr>
        <w:t>18、投标截止时间</w:t>
      </w:r>
    </w:p>
    <w:p w14:paraId="312268C2">
      <w:pPr>
        <w:pStyle w:val="12"/>
        <w:spacing w:beforeAutospacing="0" w:afterAutospacing="0" w:line="0" w:lineRule="atLeast"/>
        <w:ind w:firstLine="480"/>
        <w:jc w:val="both"/>
        <w:rPr>
          <w:highlight w:val="none"/>
        </w:rPr>
      </w:pPr>
      <w:r>
        <w:rPr>
          <w:rFonts w:hint="eastAsia" w:ascii="宋体" w:hAnsi="宋体" w:eastAsia="宋体" w:cs="宋体"/>
          <w:i/>
          <w:color w:val="000000"/>
          <w:highlight w:val="none"/>
          <w:u w:val="single"/>
        </w:rPr>
        <w:t>18.1投标人上传电子投标文件的时间不得迟于招标公告中规定的投标截止时间。</w:t>
      </w:r>
    </w:p>
    <w:p w14:paraId="490195EA">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投标人应充分考虑到网络环境、网络带宽等风险因素，如因投标人自身原因造成的电子投标文件上传不成功的按照本招标文件第二章第26.1.2条 规定做无效投标处理。</w:t>
      </w:r>
    </w:p>
    <w:p w14:paraId="35090AD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18.2</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可以按照规定，通过修改招标文件酌情延长投标截止时间，在此情况下，投标人的所有权利和义务以及投标人受制的截止时间均应以延长后新的截止时间为准。</w:t>
      </w:r>
    </w:p>
    <w:p w14:paraId="08F2F63B">
      <w:pPr>
        <w:pStyle w:val="12"/>
        <w:keepNext/>
        <w:keepLines/>
        <w:spacing w:beforeAutospacing="0" w:afterAutospacing="0"/>
        <w:ind w:firstLine="420"/>
        <w:jc w:val="both"/>
        <w:rPr>
          <w:highlight w:val="none"/>
        </w:rPr>
      </w:pPr>
      <w:bookmarkStart w:id="131" w:name="_Toc513029227"/>
      <w:bookmarkStart w:id="132" w:name="_Toc16938543"/>
      <w:bookmarkStart w:id="133" w:name="_Toc20823299"/>
      <w:r>
        <w:rPr>
          <w:rFonts w:ascii="Arial" w:hAnsi="Arial" w:cs="Arial"/>
          <w:color w:val="000000"/>
          <w:sz w:val="28"/>
          <w:szCs w:val="28"/>
          <w:highlight w:val="none"/>
        </w:rPr>
        <w:t>19、投标文件</w:t>
      </w:r>
      <w:bookmarkEnd w:id="131"/>
      <w:bookmarkEnd w:id="132"/>
      <w:bookmarkEnd w:id="133"/>
      <w:r>
        <w:rPr>
          <w:rFonts w:ascii="Arial" w:hAnsi="Arial" w:cs="Arial"/>
          <w:color w:val="000000"/>
          <w:sz w:val="28"/>
          <w:szCs w:val="28"/>
          <w:highlight w:val="none"/>
        </w:rPr>
        <w:t>的拒收</w:t>
      </w:r>
    </w:p>
    <w:p w14:paraId="6B65D69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19.1</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拒绝接收在其规定的投标截止时间后上传的任何投标文件。</w:t>
      </w:r>
    </w:p>
    <w:p w14:paraId="20F95671">
      <w:pPr>
        <w:pStyle w:val="12"/>
        <w:keepNext/>
        <w:keepLines/>
        <w:spacing w:beforeAutospacing="0" w:afterAutospacing="0"/>
        <w:ind w:firstLine="420"/>
        <w:jc w:val="both"/>
        <w:rPr>
          <w:highlight w:val="none"/>
        </w:rPr>
      </w:pPr>
      <w:bookmarkStart w:id="134" w:name="_Toc513029228"/>
      <w:bookmarkStart w:id="135" w:name="_Toc16938544"/>
      <w:bookmarkStart w:id="136" w:name="_Toc20823300"/>
      <w:r>
        <w:rPr>
          <w:rFonts w:ascii="Arial" w:hAnsi="Arial" w:cs="Arial"/>
          <w:color w:val="000000"/>
          <w:sz w:val="28"/>
          <w:szCs w:val="28"/>
          <w:highlight w:val="none"/>
        </w:rPr>
        <w:t>20、投标文件的撤回和修改</w:t>
      </w:r>
      <w:bookmarkEnd w:id="134"/>
      <w:bookmarkEnd w:id="135"/>
      <w:bookmarkEnd w:id="136"/>
    </w:p>
    <w:p w14:paraId="1B0CCF27">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20.1投标文件的撤回</w:t>
      </w:r>
    </w:p>
    <w:p w14:paraId="48E8BB5C">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21.1.1电子投标文件的撤回</w:t>
      </w:r>
    </w:p>
    <w:p w14:paraId="35F48EB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投标人可在投标截止时间前，撤回其电子投标文件，具体操作方法见《操作手册》。</w:t>
      </w:r>
    </w:p>
    <w:p w14:paraId="43EB6D7E">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21.1.2投标人撤回电子投标文件，则认为其不再参与本项目投标活动。</w:t>
      </w:r>
    </w:p>
    <w:p w14:paraId="756C4D4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20.2 投标文件的修改</w:t>
      </w:r>
    </w:p>
    <w:p w14:paraId="5B7D9332">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20.2.1投标人可在投标截止时间前，对其电子投标文件进行修改，具体操作方法见《操作手册》。</w:t>
      </w:r>
    </w:p>
    <w:p w14:paraId="5EE9D59C">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20.2.2在投标截止时间之后，投标人不得对其电子投标文件作任何修改。</w:t>
      </w:r>
    </w:p>
    <w:p w14:paraId="44A3993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20.3在投标截止时间至招标文件中规定的投标有效期满之间的这段时间内，投标人不得撤回其投标。</w:t>
      </w:r>
    </w:p>
    <w:p w14:paraId="15C78752">
      <w:pPr>
        <w:pStyle w:val="12"/>
        <w:keepNext/>
        <w:keepLines/>
        <w:spacing w:before="145" w:beforeAutospacing="0" w:after="145" w:afterAutospacing="0" w:line="360" w:lineRule="auto"/>
        <w:ind w:firstLine="482"/>
        <w:jc w:val="both"/>
        <w:rPr>
          <w:highlight w:val="none"/>
        </w:rPr>
      </w:pPr>
      <w:bookmarkStart w:id="137" w:name="_Toc120614218"/>
      <w:bookmarkStart w:id="138" w:name="_Toc20823301"/>
      <w:bookmarkStart w:id="139" w:name="_Toc16938545"/>
      <w:bookmarkStart w:id="140" w:name="_Toc513029229"/>
      <w:r>
        <w:rPr>
          <w:rFonts w:ascii="Times New Roman" w:hAnsi="Times New Roman"/>
          <w:b/>
          <w:color w:val="000000"/>
          <w:sz w:val="32"/>
          <w:szCs w:val="32"/>
          <w:highlight w:val="none"/>
        </w:rPr>
        <w:t>五、开标与评标</w:t>
      </w:r>
      <w:bookmarkEnd w:id="137"/>
      <w:bookmarkEnd w:id="138"/>
      <w:bookmarkEnd w:id="139"/>
      <w:bookmarkEnd w:id="140"/>
    </w:p>
    <w:p w14:paraId="632BF120">
      <w:pPr>
        <w:pStyle w:val="12"/>
        <w:keepNext/>
        <w:keepLines/>
        <w:spacing w:beforeAutospacing="0" w:afterAutospacing="0"/>
        <w:ind w:firstLine="420"/>
        <w:jc w:val="both"/>
        <w:rPr>
          <w:color w:val="auto"/>
          <w:highlight w:val="none"/>
        </w:rPr>
      </w:pPr>
      <w:bookmarkStart w:id="141" w:name="_Toc513029230"/>
      <w:bookmarkStart w:id="142" w:name="_Toc20823302"/>
      <w:bookmarkStart w:id="143" w:name="_Toc16938546"/>
      <w:r>
        <w:rPr>
          <w:rFonts w:ascii="Arial" w:hAnsi="Arial" w:cs="Arial"/>
          <w:color w:val="auto"/>
          <w:sz w:val="28"/>
          <w:szCs w:val="28"/>
          <w:highlight w:val="none"/>
        </w:rPr>
        <w:t>21、开标</w:t>
      </w:r>
      <w:bookmarkEnd w:id="141"/>
      <w:bookmarkEnd w:id="142"/>
      <w:bookmarkEnd w:id="143"/>
    </w:p>
    <w:p w14:paraId="468288BF">
      <w:pPr>
        <w:pStyle w:val="12"/>
        <w:spacing w:beforeAutospacing="0" w:afterAutospacing="0"/>
        <w:ind w:firstLine="360"/>
        <w:jc w:val="both"/>
        <w:rPr>
          <w:color w:val="auto"/>
          <w:highlight w:val="none"/>
        </w:rPr>
      </w:pPr>
      <w:r>
        <w:rPr>
          <w:rFonts w:hint="eastAsia" w:ascii="宋体" w:hAnsi="宋体" w:eastAsia="宋体" w:cs="宋体"/>
          <w:color w:val="auto"/>
          <w:highlight w:val="none"/>
        </w:rPr>
        <w:t>21.1</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将在招标公告中规定的时间和地点组织公开开标。投标人应当按照《操作手册》规定，参加开标活动和在苏采云系统规定的时间内对投标文件进行解密。</w:t>
      </w:r>
    </w:p>
    <w:p w14:paraId="779DEC76">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21.2开标仪式由</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组织。苏采云系统将自动对项目进行开标，并宣布各投标人名称和投标价格。</w:t>
      </w:r>
    </w:p>
    <w:p w14:paraId="20CEA52B">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21.3投标人在开标过程中涉及到的投标文件解密、开标结果确认等工作，应按照《操作手册》规定执行。</w:t>
      </w:r>
    </w:p>
    <w:p w14:paraId="5EDDB0C2">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21.4投标人如果对开标过程和开标记录有疑义，应当根据《操作手册》规定提出，如苏采云系统中《开标记录表》宣布后5分钟内未提出的，视同认可开标结果。</w:t>
      </w:r>
    </w:p>
    <w:p w14:paraId="39CB0F59">
      <w:pPr>
        <w:pStyle w:val="12"/>
        <w:keepNext/>
        <w:keepLines/>
        <w:spacing w:beforeAutospacing="0" w:afterAutospacing="0"/>
        <w:ind w:firstLine="420"/>
        <w:jc w:val="both"/>
        <w:rPr>
          <w:color w:val="auto"/>
          <w:highlight w:val="none"/>
        </w:rPr>
      </w:pPr>
      <w:bookmarkStart w:id="144" w:name="_Toc16938547"/>
      <w:bookmarkStart w:id="145" w:name="_Toc513029231"/>
      <w:bookmarkStart w:id="146" w:name="_Toc20823303"/>
      <w:r>
        <w:rPr>
          <w:rFonts w:ascii="Arial" w:hAnsi="Arial" w:cs="Arial"/>
          <w:color w:val="auto"/>
          <w:sz w:val="28"/>
          <w:szCs w:val="28"/>
          <w:highlight w:val="none"/>
        </w:rPr>
        <w:t>22、评标委员会</w:t>
      </w:r>
      <w:bookmarkEnd w:id="144"/>
      <w:bookmarkEnd w:id="145"/>
      <w:bookmarkEnd w:id="146"/>
    </w:p>
    <w:p w14:paraId="50839E4C">
      <w:pPr>
        <w:pStyle w:val="12"/>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22.1开标后，</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将立即组织评标委员会（以下简称评委会）进行评标。</w:t>
      </w:r>
    </w:p>
    <w:p w14:paraId="468BE000">
      <w:pPr>
        <w:pStyle w:val="12"/>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22.2评委会由采购人代表和有关技术、经济等方面的专家组成，且人员构成符合政府采购有关规定。</w:t>
      </w:r>
    </w:p>
    <w:p w14:paraId="74762EAC">
      <w:pPr>
        <w:pStyle w:val="12"/>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22.3评委会独立工作，负责评审所有投标文件并确定中标侯选人。</w:t>
      </w:r>
    </w:p>
    <w:p w14:paraId="58B674F5">
      <w:pPr>
        <w:pStyle w:val="12"/>
        <w:keepNext/>
        <w:keepLines/>
        <w:spacing w:beforeAutospacing="0" w:afterAutospacing="0"/>
        <w:ind w:firstLine="420"/>
        <w:jc w:val="both"/>
        <w:rPr>
          <w:highlight w:val="none"/>
        </w:rPr>
      </w:pPr>
      <w:r>
        <w:rPr>
          <w:rFonts w:hint="eastAsia" w:ascii="黑体" w:hAnsi="宋体" w:eastAsia="黑体" w:cs="黑体"/>
          <w:color w:val="000000"/>
          <w:sz w:val="28"/>
          <w:szCs w:val="28"/>
          <w:highlight w:val="none"/>
        </w:rPr>
        <w:t>23、评标过程的保密与公正</w:t>
      </w:r>
    </w:p>
    <w:p w14:paraId="524CD9B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23.1凡是与审查、澄清、评价和比较投标的有关资料以及授标建议等，采购人、评委、</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均不得向投标人或与评标无关的其他人员透露。</w:t>
      </w:r>
    </w:p>
    <w:p w14:paraId="2F3951A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23.2在评标过程中，投标人不得以任何行为影响评标过程，否则其投标文件将被作为无效投标文件。</w:t>
      </w:r>
    </w:p>
    <w:p w14:paraId="2D0F13F1">
      <w:pPr>
        <w:pStyle w:val="12"/>
        <w:spacing w:beforeAutospacing="0" w:afterAutospacing="0" w:line="0" w:lineRule="atLeast"/>
        <w:ind w:firstLine="480"/>
        <w:jc w:val="both"/>
        <w:rPr>
          <w:color w:val="auto"/>
          <w:highlight w:val="none"/>
        </w:rPr>
      </w:pPr>
      <w:r>
        <w:rPr>
          <w:rFonts w:hint="eastAsia" w:ascii="宋体" w:hAnsi="宋体" w:eastAsia="宋体" w:cs="宋体"/>
          <w:color w:val="000000"/>
          <w:highlight w:val="none"/>
        </w:rPr>
        <w:t>23.</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和评标委员会不向未中标的投标人解释未中标原因，也不公布评标过程中的相关细节。</w:t>
      </w:r>
    </w:p>
    <w:p w14:paraId="6F7B810B">
      <w:pPr>
        <w:pStyle w:val="12"/>
        <w:spacing w:beforeAutospacing="0" w:afterAutospacing="0" w:line="0" w:lineRule="atLeast"/>
        <w:ind w:firstLine="480"/>
        <w:jc w:val="both"/>
        <w:rPr>
          <w:highlight w:val="none"/>
        </w:rPr>
      </w:pPr>
      <w:r>
        <w:rPr>
          <w:rFonts w:hint="eastAsia" w:ascii="宋体" w:hAnsi="宋体" w:eastAsia="宋体" w:cs="宋体"/>
          <w:color w:val="auto"/>
          <w:highlight w:val="none"/>
        </w:rPr>
        <w:t>23.4采用综合评分法的项目，未中标的投标人可于中标结果公告期限届满之日起通过苏采云系统查看自</w:t>
      </w:r>
      <w:r>
        <w:rPr>
          <w:rFonts w:hint="eastAsia" w:ascii="宋体" w:hAnsi="宋体" w:eastAsia="宋体" w:cs="宋体"/>
          <w:color w:val="000000"/>
          <w:highlight w:val="none"/>
        </w:rPr>
        <w:t>己的评审得分及排序情况。</w:t>
      </w:r>
    </w:p>
    <w:p w14:paraId="02B827EA">
      <w:pPr>
        <w:pStyle w:val="12"/>
        <w:keepNext/>
        <w:keepLines/>
        <w:spacing w:beforeAutospacing="0" w:afterAutospacing="0"/>
        <w:ind w:firstLine="420"/>
        <w:jc w:val="both"/>
        <w:rPr>
          <w:highlight w:val="none"/>
        </w:rPr>
      </w:pPr>
      <w:bookmarkStart w:id="147" w:name="_Toc16938548"/>
      <w:bookmarkStart w:id="148" w:name="_Toc513029232"/>
      <w:bookmarkStart w:id="149" w:name="_Toc20823304"/>
      <w:r>
        <w:rPr>
          <w:rFonts w:ascii="Arial" w:hAnsi="Arial" w:cs="Arial"/>
          <w:color w:val="000000"/>
          <w:sz w:val="28"/>
          <w:szCs w:val="28"/>
          <w:highlight w:val="none"/>
        </w:rPr>
        <w:t>24、投标文件的澄清</w:t>
      </w:r>
      <w:bookmarkEnd w:id="147"/>
      <w:bookmarkEnd w:id="148"/>
      <w:bookmarkEnd w:id="149"/>
    </w:p>
    <w:p w14:paraId="02E57D4E">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24.1评标期间，评委会对投标文件中含义不明确、同类问题表述不一致或者有明显文字和计算错误的内容 ，有权要求投标人作出必要的澄清、说明或者补正。</w:t>
      </w:r>
    </w:p>
    <w:p w14:paraId="1F02410B">
      <w:pPr>
        <w:pStyle w:val="12"/>
        <w:spacing w:beforeAutospacing="0" w:afterAutospacing="0" w:line="0" w:lineRule="atLeast"/>
        <w:ind w:firstLine="480"/>
        <w:jc w:val="both"/>
        <w:rPr>
          <w:color w:val="auto"/>
          <w:highlight w:val="none"/>
        </w:rPr>
      </w:pPr>
      <w:r>
        <w:rPr>
          <w:rFonts w:hint="eastAsia" w:ascii="宋体" w:hAnsi="宋体" w:eastAsia="宋体" w:cs="宋体"/>
          <w:color w:val="000000"/>
          <w:highlight w:val="none"/>
        </w:rPr>
        <w:t>投标人的澄清、说明或者补正不得超出投标文件的范围或者改变投标文件的实质性内容。</w:t>
      </w:r>
    </w:p>
    <w:p w14:paraId="62D6D57C">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评标委员会并非对每个投标人都做澄清要求。</w:t>
      </w:r>
    </w:p>
    <w:p w14:paraId="5CCE2A0C">
      <w:pPr>
        <w:pStyle w:val="12"/>
        <w:spacing w:beforeAutospacing="0" w:afterAutospacing="0" w:line="0" w:lineRule="atLeast"/>
        <w:ind w:firstLine="480"/>
        <w:jc w:val="both"/>
        <w:rPr>
          <w:highlight w:val="none"/>
        </w:rPr>
      </w:pPr>
      <w:r>
        <w:rPr>
          <w:rFonts w:hint="eastAsia" w:ascii="宋体" w:hAnsi="宋体" w:eastAsia="宋体" w:cs="宋体"/>
          <w:color w:val="auto"/>
          <w:highlight w:val="none"/>
        </w:rPr>
        <w:t>24.2需要供应商进行澄清、说明和补正的，评委会将通过苏采云系统向供应商发出“澄清要求函”，接到“澄清要求函”的投标人应当按照要求在苏采云系统中提交“澄清响应函”并加盖CA电子公章。澄清、说明和补正的内容作为</w:t>
      </w:r>
      <w:r>
        <w:rPr>
          <w:rFonts w:hint="eastAsia" w:ascii="宋体" w:hAnsi="宋体" w:eastAsia="宋体" w:cs="宋体"/>
          <w:color w:val="000000"/>
          <w:highlight w:val="none"/>
        </w:rPr>
        <w:t>投标文件的补充部分，具体操作方式见《操作手册》。</w:t>
      </w:r>
    </w:p>
    <w:p w14:paraId="5465D835">
      <w:pPr>
        <w:pStyle w:val="12"/>
        <w:spacing w:beforeAutospacing="0" w:afterAutospacing="0" w:line="0" w:lineRule="atLeast"/>
        <w:jc w:val="both"/>
        <w:rPr>
          <w:highlight w:val="none"/>
        </w:rPr>
      </w:pPr>
      <w:r>
        <w:rPr>
          <w:rFonts w:hint="eastAsia" w:ascii="宋体" w:hAnsi="宋体" w:eastAsia="宋体" w:cs="宋体"/>
          <w:color w:val="000000"/>
          <w:highlight w:val="none"/>
        </w:rPr>
        <w:t>    24.3接到评委会澄清、说明和补正要求的投标人如未按规定做出澄清、说明和补正，其风险由投标人自行承担。</w:t>
      </w:r>
    </w:p>
    <w:p w14:paraId="53430A70">
      <w:pPr>
        <w:pStyle w:val="12"/>
        <w:keepNext/>
        <w:keepLines/>
        <w:spacing w:beforeAutospacing="0" w:afterAutospacing="0"/>
        <w:ind w:firstLine="420"/>
        <w:jc w:val="both"/>
        <w:rPr>
          <w:highlight w:val="none"/>
        </w:rPr>
      </w:pPr>
      <w:bookmarkStart w:id="150" w:name="_Toc513029233"/>
      <w:bookmarkStart w:id="151" w:name="_Toc16938549"/>
      <w:bookmarkStart w:id="152" w:name="_Toc20823305"/>
      <w:r>
        <w:rPr>
          <w:rFonts w:ascii="Arial" w:hAnsi="Arial" w:cs="Arial"/>
          <w:color w:val="000000"/>
          <w:sz w:val="28"/>
          <w:szCs w:val="28"/>
          <w:highlight w:val="none"/>
        </w:rPr>
        <w:t>25、对投标文件的初审</w:t>
      </w:r>
      <w:bookmarkEnd w:id="150"/>
      <w:bookmarkEnd w:id="151"/>
      <w:bookmarkEnd w:id="152"/>
    </w:p>
    <w:p w14:paraId="0A53CA8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25.1投标文件初审分为资格审查和符合性审查。</w:t>
      </w:r>
    </w:p>
    <w:p w14:paraId="5AEEFB89">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25.1.1资格审查：依据法律法规和招标文件的规定，由采购人对投标文件中的资格证明文件进行审查。资格审查的结论，采购人以书面形式向评委会进行反馈。</w:t>
      </w:r>
    </w:p>
    <w:p w14:paraId="66B448F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采购人在进行资格性审查的同时，将在“信用中国”网站（www.creditchina.gov.cn）查询投标人的信用记录，以确定投标人是否具备投标资格,查询结果留存并归档。</w:t>
      </w:r>
    </w:p>
    <w:p w14:paraId="696D409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0F9A8068">
      <w:pPr>
        <w:pStyle w:val="12"/>
        <w:spacing w:beforeAutospacing="0" w:afterAutospacing="0" w:line="0" w:lineRule="atLeast"/>
        <w:ind w:firstLine="480"/>
        <w:jc w:val="both"/>
        <w:rPr>
          <w:color w:val="auto"/>
          <w:highlight w:val="none"/>
        </w:rPr>
      </w:pPr>
      <w:r>
        <w:rPr>
          <w:rFonts w:hint="eastAsia" w:ascii="宋体" w:hAnsi="宋体" w:eastAsia="宋体" w:cs="宋体"/>
          <w:color w:val="000000"/>
          <w:highlight w:val="none"/>
        </w:rPr>
        <w:t>25.1.2符合性审查：依据招标文件的规定，由评委会从投标文件的有效性、完整性和对招标文件的响应程度进行审查，以确定是否对招标文件的实质性要求作出响应。</w:t>
      </w:r>
    </w:p>
    <w:p w14:paraId="4CB74F49">
      <w:pPr>
        <w:pStyle w:val="12"/>
        <w:spacing w:beforeAutospacing="0" w:afterAutospacing="0" w:line="0" w:lineRule="atLeast"/>
        <w:ind w:firstLine="480"/>
        <w:jc w:val="both"/>
        <w:rPr>
          <w:highlight w:val="none"/>
        </w:rPr>
      </w:pPr>
      <w:r>
        <w:rPr>
          <w:rFonts w:hint="eastAsia" w:ascii="宋体" w:hAnsi="宋体" w:eastAsia="宋体" w:cs="宋体"/>
          <w:color w:val="auto"/>
          <w:highlight w:val="none"/>
        </w:rPr>
        <w:t>25.1.3未通过资格审查或符合性审查的投标人，</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将在苏采云系统中告知未通过资格审查或符合性审查的原因，评标结束后，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将不再告知</w:t>
      </w:r>
      <w:r>
        <w:rPr>
          <w:rFonts w:hint="eastAsia" w:ascii="宋体" w:hAnsi="宋体" w:eastAsia="宋体" w:cs="宋体"/>
          <w:color w:val="000000"/>
          <w:highlight w:val="none"/>
        </w:rPr>
        <w:t>未通过资格审查和符合性审查的原因。</w:t>
      </w:r>
    </w:p>
    <w:p w14:paraId="5D1661A7">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25.2在详细评标之前，评委会将首先审查每份投标文件是否实质性响应了招标文件的要求。实质性响应的投标应该是与招标文件要求的全部条款、条件和规格相符，没有重大偏离或保留的投标。</w:t>
      </w:r>
    </w:p>
    <w:p w14:paraId="2FD4848B">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所谓重大偏离或保留是指与招标文件规定的实质性要求存在负偏离，或者在实质上与招标文件不一致，而且限制了合同中买方和</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29D7E85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25.3如果投标文件实质上没有响应招标文件的要求，评委会将予以拒绝，投标人不得通过修改或撤销不合要求的偏离或保留而使其投标成为实质性响应的投标。</w:t>
      </w:r>
    </w:p>
    <w:p w14:paraId="4B7DD3BE">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25.4评委会将对确定为实质性响应的投标进行进一步审核，确定其是否有计算上或累加上的算术错误，修正错误的原则如下：</w:t>
      </w:r>
    </w:p>
    <w:p w14:paraId="78BFABE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（1）投标文件中开标一览表内容与投标文件中相应内容不一致的，以开标一览表为准。</w:t>
      </w:r>
    </w:p>
    <w:p w14:paraId="22A267C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（2）大写金额和小写金额不一致的，以大写金额为准。</w:t>
      </w:r>
    </w:p>
    <w:p w14:paraId="69CD4F5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（3）单价金额小数点或者百分比有明显错位的，以开标一览表的总价为准，并修改单价。</w:t>
      </w:r>
    </w:p>
    <w:p w14:paraId="1177C97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（4）总价金额与按单价汇总金额不一致的，以单价金额计算结果为准。</w:t>
      </w:r>
    </w:p>
    <w:p w14:paraId="4BD68B54">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同时出现两种以上错误的，按照前款规定的顺序修正。</w:t>
      </w:r>
    </w:p>
    <w:p w14:paraId="06E5AD47">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25.5评委会将按上述修正错误的方法调整投标文件中的投标报价，并通过苏采云系统告知投标人，调整后的价格应对投标人具有约束力。如果投标人不接受修正后的价格，则其投标将被拒绝。</w:t>
      </w:r>
    </w:p>
    <w:p w14:paraId="53455679">
      <w:pPr>
        <w:pStyle w:val="12"/>
        <w:spacing w:beforeAutospacing="0" w:afterAutospacing="0" w:line="0" w:lineRule="atLeast"/>
        <w:ind w:firstLine="420"/>
        <w:jc w:val="both"/>
        <w:rPr>
          <w:color w:val="auto"/>
          <w:highlight w:val="none"/>
        </w:rPr>
      </w:pPr>
      <w:bookmarkStart w:id="153" w:name="_Toc16938550"/>
      <w:bookmarkStart w:id="154" w:name="_Toc20823306"/>
      <w:bookmarkStart w:id="155" w:name="_Toc513029234"/>
      <w:r>
        <w:rPr>
          <w:rFonts w:hint="eastAsia" w:ascii="宋体" w:hAnsi="宋体" w:eastAsia="宋体" w:cs="宋体"/>
          <w:color w:val="auto"/>
          <w:highlight w:val="none"/>
        </w:rPr>
        <w:t>25.6投标人在开、评标全过程中应保持通讯畅通，及时登录苏采云系统查阅、答复相关信息，并安排专人与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及评标委员会联系。</w:t>
      </w:r>
      <w:bookmarkEnd w:id="153"/>
      <w:bookmarkEnd w:id="154"/>
      <w:bookmarkEnd w:id="155"/>
    </w:p>
    <w:p w14:paraId="1B8620B3">
      <w:pPr>
        <w:pStyle w:val="12"/>
        <w:keepNext/>
        <w:keepLines/>
        <w:spacing w:beforeAutospacing="0" w:afterAutospacing="0"/>
        <w:ind w:firstLine="420"/>
        <w:jc w:val="both"/>
        <w:rPr>
          <w:color w:val="auto"/>
          <w:highlight w:val="none"/>
        </w:rPr>
      </w:pPr>
      <w:r>
        <w:rPr>
          <w:rFonts w:ascii="Arial" w:hAnsi="Arial" w:cs="Arial"/>
          <w:color w:val="auto"/>
          <w:sz w:val="28"/>
          <w:szCs w:val="28"/>
          <w:highlight w:val="none"/>
        </w:rPr>
        <w:t>26、无效投标条款和废标条款</w:t>
      </w:r>
    </w:p>
    <w:p w14:paraId="59C09939">
      <w:pPr>
        <w:pStyle w:val="12"/>
        <w:spacing w:beforeAutospacing="0" w:afterAutospacing="0" w:line="0" w:lineRule="atLeast"/>
        <w:ind w:left="479"/>
        <w:jc w:val="both"/>
        <w:rPr>
          <w:color w:val="auto"/>
          <w:highlight w:val="none"/>
        </w:rPr>
      </w:pPr>
      <w:bookmarkStart w:id="156" w:name="_Toc513029235"/>
      <w:bookmarkStart w:id="157" w:name="_Toc20823307"/>
      <w:bookmarkStart w:id="158" w:name="_Toc16938551"/>
      <w:r>
        <w:rPr>
          <w:rFonts w:hint="eastAsia" w:ascii="宋体" w:hAnsi="宋体" w:eastAsia="宋体" w:cs="宋体"/>
          <w:color w:val="auto"/>
          <w:highlight w:val="none"/>
        </w:rPr>
        <w:t>26.1无效投标条款</w:t>
      </w:r>
      <w:bookmarkEnd w:id="156"/>
      <w:bookmarkEnd w:id="157"/>
      <w:bookmarkEnd w:id="158"/>
    </w:p>
    <w:p w14:paraId="69A0EC6C">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26.1.1投标人在苏采云系统规定的时间内未成功解密电子投标文件的。</w:t>
      </w:r>
    </w:p>
    <w:p w14:paraId="33D95504">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26.1.2投标人未按照招标文件要求上传电子投标文件的。</w:t>
      </w:r>
    </w:p>
    <w:p w14:paraId="08D2EF2D">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26.1.3同一投标人提交两个（含两个）以上不同的投标报价的。</w:t>
      </w:r>
    </w:p>
    <w:p w14:paraId="4CB515D2">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26.1.4投标人不具备招标文件中规定资格要求的。</w:t>
      </w:r>
    </w:p>
    <w:p w14:paraId="41DC616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26.1.5投标人的报价超过了采购预算或最高限价的。</w:t>
      </w:r>
    </w:p>
    <w:p w14:paraId="505CB909">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26.1.6未通过符合性审查的。</w:t>
      </w:r>
    </w:p>
    <w:p w14:paraId="5368974D">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26.1.7不符合招标文件中规定的实质性要求和条件的（</w:t>
      </w:r>
      <w:r>
        <w:rPr>
          <w:rFonts w:hint="eastAsia" w:ascii="宋体" w:hAnsi="宋体" w:eastAsia="宋体" w:cs="宋体"/>
          <w:i/>
          <w:color w:val="000000"/>
          <w:highlight w:val="none"/>
          <w:u w:val="single"/>
        </w:rPr>
        <w:t>本招标文件中斜体且有下划线部分为实质性要求和条件）。</w:t>
      </w:r>
    </w:p>
    <w:p w14:paraId="05CD6EC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26.1.8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F93788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26.1.9投标文件含有采购人不能接受的附加条件的。</w:t>
      </w:r>
    </w:p>
    <w:p w14:paraId="6123CCC4">
      <w:pPr>
        <w:pStyle w:val="12"/>
        <w:spacing w:beforeAutospacing="0" w:afterAutospacing="0" w:line="0" w:lineRule="atLeast"/>
        <w:ind w:firstLine="480"/>
        <w:jc w:val="both"/>
        <w:rPr>
          <w:color w:val="auto"/>
          <w:highlight w:val="none"/>
        </w:rPr>
      </w:pPr>
      <w:r>
        <w:rPr>
          <w:rFonts w:hint="eastAsia" w:ascii="宋体" w:hAnsi="宋体" w:eastAsia="宋体" w:cs="宋体"/>
          <w:color w:val="000000"/>
          <w:highlight w:val="none"/>
        </w:rPr>
        <w:t>26.1.10评标委员会认为投标人的报价明显低于其他通过符合性审查投标人的报价，有可能影响产品质量或者不能诚信履约</w:t>
      </w:r>
      <w:r>
        <w:rPr>
          <w:rFonts w:hint="eastAsia" w:ascii="宋体" w:hAnsi="宋体" w:eastAsia="宋体" w:cs="宋体"/>
          <w:color w:val="auto"/>
          <w:highlight w:val="none"/>
        </w:rPr>
        <w:t>的，将通过苏采云系统要求其在合理的时间内提供说明，必要时提交相关证明材料；投标人不能证明其报价合理性的，评标委员会应当将其作为无效投标处理。</w:t>
      </w:r>
    </w:p>
    <w:p w14:paraId="7D686B5D">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26.1.11投标文件未按照招标文件要求加盖CA电子公章的。</w:t>
      </w:r>
    </w:p>
    <w:p w14:paraId="28A8CB6D">
      <w:pPr>
        <w:pStyle w:val="12"/>
        <w:spacing w:beforeAutospacing="0" w:afterAutospacing="0" w:line="0" w:lineRule="atLeast"/>
        <w:ind w:firstLine="480"/>
        <w:jc w:val="both"/>
        <w:rPr>
          <w:color w:val="auto"/>
          <w:highlight w:val="none"/>
        </w:rPr>
      </w:pPr>
      <w:r>
        <w:rPr>
          <w:rFonts w:hint="eastAsia" w:ascii="宋体" w:hAnsi="宋体" w:eastAsia="宋体" w:cs="宋体"/>
          <w:color w:val="auto"/>
          <w:highlight w:val="none"/>
        </w:rPr>
        <w:t>26.1.12其他法律、法规及本招标文件规定的属无效投标的情形。</w:t>
      </w:r>
    </w:p>
    <w:p w14:paraId="0A3EC22B">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26.2废标条款</w:t>
      </w:r>
    </w:p>
    <w:p w14:paraId="41B18013">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26.2.1符合专业条件的供应商或者对招标文件作实质响应的供应商不足三家的。26.2.2出现影响采购公正的违法、违规行为的。</w:t>
      </w:r>
    </w:p>
    <w:p w14:paraId="5464EFAB">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26.2.3因重大变故，采购任务取消的。</w:t>
      </w:r>
    </w:p>
    <w:p w14:paraId="2001F196">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26.2.4评标委员会认定招标文件存在歧义、重大缺陷导致评审工作无法进行。</w:t>
      </w:r>
    </w:p>
    <w:p w14:paraId="3A1CDF47">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26.2.5因苏采云系统系统故障原因造成开标不成功的。</w:t>
      </w:r>
    </w:p>
    <w:p w14:paraId="3D3E2112">
      <w:pPr>
        <w:pStyle w:val="12"/>
        <w:spacing w:beforeAutospacing="0" w:afterAutospacing="0" w:line="0" w:lineRule="atLeast"/>
        <w:ind w:left="479"/>
        <w:jc w:val="both"/>
        <w:rPr>
          <w:color w:val="auto"/>
          <w:highlight w:val="none"/>
        </w:rPr>
      </w:pPr>
      <w:r>
        <w:rPr>
          <w:rFonts w:hint="eastAsia" w:ascii="宋体" w:hAnsi="宋体" w:eastAsia="宋体" w:cs="宋体"/>
          <w:color w:val="auto"/>
          <w:highlight w:val="none"/>
        </w:rPr>
        <w:t>26.3 投标截止时间结束后参加投标的供应商不足三家的处理：</w:t>
      </w:r>
    </w:p>
    <w:p w14:paraId="1938E07C">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26.3.1如出现投标截止时间结束后参加投标的供应商或者在评标期间对招标文件做出实质响应的供应商不足三家情况，按政府采购相关规定执行。</w:t>
      </w:r>
    </w:p>
    <w:p w14:paraId="3B30FAA6">
      <w:pPr>
        <w:pStyle w:val="12"/>
        <w:keepNext/>
        <w:keepLines/>
        <w:spacing w:before="145" w:beforeAutospacing="0" w:after="145" w:afterAutospacing="0" w:line="360" w:lineRule="auto"/>
        <w:ind w:firstLine="482"/>
        <w:jc w:val="both"/>
        <w:rPr>
          <w:highlight w:val="none"/>
        </w:rPr>
      </w:pPr>
      <w:bookmarkStart w:id="159" w:name="_Toc120614219"/>
      <w:r>
        <w:rPr>
          <w:rFonts w:ascii="Times New Roman" w:hAnsi="Times New Roman"/>
          <w:b/>
          <w:color w:val="000000"/>
          <w:sz w:val="32"/>
          <w:szCs w:val="32"/>
          <w:highlight w:val="none"/>
        </w:rPr>
        <w:t>六、定标</w:t>
      </w:r>
      <w:bookmarkEnd w:id="159"/>
    </w:p>
    <w:p w14:paraId="70D35582">
      <w:pPr>
        <w:pStyle w:val="12"/>
        <w:keepNext/>
        <w:keepLines/>
        <w:spacing w:beforeAutospacing="0" w:afterAutospacing="0"/>
        <w:ind w:firstLine="600"/>
        <w:jc w:val="both"/>
        <w:rPr>
          <w:highlight w:val="none"/>
        </w:rPr>
      </w:pPr>
      <w:bookmarkStart w:id="160" w:name="_Toc20823310"/>
      <w:bookmarkStart w:id="161" w:name="_Toc16938554"/>
      <w:bookmarkStart w:id="162" w:name="_Toc513029238"/>
      <w:r>
        <w:rPr>
          <w:rFonts w:hint="eastAsia" w:ascii="黑体" w:hAnsi="宋体" w:eastAsia="黑体" w:cs="黑体"/>
          <w:color w:val="000000"/>
          <w:sz w:val="30"/>
          <w:szCs w:val="30"/>
          <w:highlight w:val="none"/>
        </w:rPr>
        <w:t>27、</w:t>
      </w:r>
      <w:bookmarkEnd w:id="160"/>
      <w:r>
        <w:rPr>
          <w:rFonts w:hint="eastAsia" w:ascii="黑体" w:hAnsi="宋体" w:eastAsia="黑体" w:cs="黑体"/>
          <w:color w:val="000000"/>
          <w:sz w:val="30"/>
          <w:szCs w:val="30"/>
          <w:highlight w:val="none"/>
        </w:rPr>
        <w:t>确定</w:t>
      </w:r>
      <w:bookmarkEnd w:id="161"/>
      <w:bookmarkEnd w:id="162"/>
      <w:r>
        <w:rPr>
          <w:rFonts w:hint="eastAsia" w:ascii="黑体" w:hAnsi="宋体" w:eastAsia="黑体" w:cs="黑体"/>
          <w:color w:val="000000"/>
          <w:sz w:val="30"/>
          <w:szCs w:val="30"/>
          <w:highlight w:val="none"/>
        </w:rPr>
        <w:t>中标单位</w:t>
      </w:r>
    </w:p>
    <w:p w14:paraId="1A373E1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 xml:space="preserve">27.1中标候选人的选取原则和数量见招标文件第五章规定。 </w:t>
      </w:r>
    </w:p>
    <w:p w14:paraId="0C7292B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27.2采购人应根据评委会推荐的中标候选人确定中标人。</w:t>
      </w:r>
    </w:p>
    <w:p w14:paraId="2D2572C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27.3</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将在</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中国政府采购网”、</w:t>
      </w:r>
      <w:r>
        <w:rPr>
          <w:rFonts w:hint="eastAsia" w:ascii="宋体" w:hAnsi="宋体" w:eastAsia="宋体" w:cs="宋体"/>
          <w:color w:val="000000"/>
          <w:highlight w:val="none"/>
        </w:rPr>
        <w:t>“江苏政府采购网”、“盐城市政府采购网”发布中标公告，公告期限为1个工作日。</w:t>
      </w:r>
    </w:p>
    <w:p w14:paraId="0C49081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27.4若有充分证据证明，中标人出现下列情况之一的，一经查实，将被取消中标资格：</w:t>
      </w:r>
    </w:p>
    <w:p w14:paraId="1BD84ED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27.4.1提供虚假材料谋取中标的。</w:t>
      </w:r>
    </w:p>
    <w:p w14:paraId="6D2F5C4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27.4.2向采购人、</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行贿或者提供其他不正当利益的。</w:t>
      </w:r>
    </w:p>
    <w:p w14:paraId="062EFA4E">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27.4.3属于本文件规定的无效条件，但在评标过程中又未被评委会发现的。</w:t>
      </w:r>
    </w:p>
    <w:p w14:paraId="28C12212">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27.4.4与采购人或者其他供应商恶意串通的。</w:t>
      </w:r>
    </w:p>
    <w:p w14:paraId="034DAB6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27.4.5采取不正当手段诋毁、排挤其他供应商的。</w:t>
      </w:r>
    </w:p>
    <w:p w14:paraId="79CDCB37">
      <w:pPr>
        <w:pStyle w:val="12"/>
        <w:spacing w:beforeAutospacing="0" w:afterAutospacing="0" w:line="0" w:lineRule="atLeast"/>
        <w:ind w:firstLine="480"/>
        <w:jc w:val="both"/>
        <w:rPr>
          <w:highlight w:val="none"/>
        </w:rPr>
      </w:pPr>
      <w:bookmarkStart w:id="163" w:name="_Toc200451960"/>
      <w:r>
        <w:rPr>
          <w:rFonts w:hint="eastAsia" w:ascii="宋体" w:hAnsi="宋体" w:eastAsia="宋体" w:cs="宋体"/>
          <w:color w:val="000000"/>
          <w:highlight w:val="none"/>
        </w:rPr>
        <w:t xml:space="preserve">27.5 </w:t>
      </w:r>
      <w:r>
        <w:rPr>
          <w:rFonts w:ascii="Times New Roman" w:hAnsi="Times New Roman"/>
          <w:color w:val="000000"/>
          <w:highlight w:val="none"/>
        </w:rPr>
        <w:t>有下列情形之一的，视为投标人串通投标，投标无效：</w:t>
      </w:r>
      <w:bookmarkEnd w:id="163"/>
    </w:p>
    <w:p w14:paraId="64CDC3F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27.5.1不同投标人的投标文件由同一单位或者个人编制。</w:t>
      </w:r>
    </w:p>
    <w:p w14:paraId="10366D2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27.5.2不同投标人委托同一单位或者个人办理投标事宜。</w:t>
      </w:r>
    </w:p>
    <w:p w14:paraId="669185A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27.5.3不同投标人的投标文件载明的项目管理成员或者联系人员为同一人。</w:t>
      </w:r>
    </w:p>
    <w:p w14:paraId="072067C7">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27.5.4不同投标人的投标文件异常一致或者投标报价呈规律性差异。</w:t>
      </w:r>
    </w:p>
    <w:p w14:paraId="7BC9D4C5">
      <w:pPr>
        <w:pStyle w:val="12"/>
        <w:keepNext/>
        <w:keepLines/>
        <w:spacing w:beforeAutospacing="0" w:afterAutospacing="0"/>
        <w:ind w:firstLine="600"/>
        <w:jc w:val="both"/>
        <w:rPr>
          <w:highlight w:val="none"/>
        </w:rPr>
      </w:pPr>
      <w:r>
        <w:rPr>
          <w:rFonts w:hint="eastAsia" w:ascii="黑体" w:hAnsi="宋体" w:eastAsia="黑体" w:cs="黑体"/>
          <w:color w:val="000000"/>
          <w:sz w:val="30"/>
          <w:szCs w:val="30"/>
          <w:highlight w:val="none"/>
        </w:rPr>
        <w:t>28、质疑处理</w:t>
      </w:r>
    </w:p>
    <w:p w14:paraId="48528A58">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28.1提出质疑的供应商应当是参与所质疑项目采购活动的供应商。潜在供应商依法获取其可质疑的采购文件的，可以对采购文件提出质疑。</w:t>
      </w:r>
    </w:p>
    <w:p w14:paraId="039AA152">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28.2供应商认为采购文件、采购过程和采购结果使自己的权益受到损害的，可以在知道或应知其权益受到损害之日起七个工作日内，以书面形式根据下述28.4条款的规定向</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或采购人提出质疑。上述应知其权益受到损害之日，是指：</w:t>
      </w:r>
    </w:p>
    <w:p w14:paraId="4F19C22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28.2.1</w:t>
      </w:r>
      <w:r>
        <w:rPr>
          <w:rFonts w:ascii="Times New Roman" w:hAnsi="Times New Roman"/>
          <w:color w:val="000000"/>
          <w:highlight w:val="none"/>
        </w:rPr>
        <w:t>对可以质疑的采购文件提出质疑的，为收到采购文件之日或者采购文件公告期限届满之日；</w:t>
      </w:r>
    </w:p>
    <w:p w14:paraId="77DCD935">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28.2.2</w:t>
      </w:r>
      <w:r>
        <w:rPr>
          <w:rFonts w:ascii="Times New Roman" w:hAnsi="Times New Roman"/>
          <w:color w:val="000000"/>
          <w:highlight w:val="none"/>
        </w:rPr>
        <w:t>对采购过程提出质疑的，为各采购程序环节结束之日；</w:t>
      </w:r>
    </w:p>
    <w:p w14:paraId="6F981EA2">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28.2.3</w:t>
      </w:r>
      <w:r>
        <w:rPr>
          <w:rFonts w:ascii="Times New Roman" w:hAnsi="Times New Roman"/>
          <w:color w:val="000000"/>
          <w:highlight w:val="none"/>
        </w:rPr>
        <w:t>对中标或者成交结果提出质疑的，为中标或者成交结果公告期限届满之日。</w:t>
      </w:r>
    </w:p>
    <w:p w14:paraId="360DE811">
      <w:pPr>
        <w:pStyle w:val="12"/>
        <w:spacing w:beforeAutospacing="0" w:afterAutospacing="0" w:line="0" w:lineRule="atLeast"/>
        <w:ind w:firstLine="480"/>
        <w:jc w:val="both"/>
        <w:rPr>
          <w:highlight w:val="none"/>
        </w:rPr>
      </w:pPr>
      <w:r>
        <w:rPr>
          <w:rFonts w:ascii="Times New Roman" w:hAnsi="Times New Roman"/>
          <w:color w:val="000000"/>
          <w:highlight w:val="none"/>
        </w:rPr>
        <w:t>供应商应当在法定质疑期内一次性提出针对同一采购程序环节的质疑。供应商如在法定期限内对同一采购程序环节提出多次质疑的，</w:t>
      </w:r>
      <w:r>
        <w:rPr>
          <w:rFonts w:hint="eastAsia" w:ascii="Times New Roman" w:hAnsi="Times New Roman"/>
          <w:color w:val="000000"/>
          <w:highlight w:val="none"/>
          <w:lang w:eastAsia="zh-CN"/>
        </w:rPr>
        <w:t>代理机构</w:t>
      </w:r>
      <w:r>
        <w:rPr>
          <w:rFonts w:ascii="Times New Roman" w:hAnsi="Times New Roman"/>
          <w:color w:val="000000"/>
          <w:highlight w:val="none"/>
        </w:rPr>
        <w:t>、采购人将只对供应商第一次质疑作出答复。</w:t>
      </w:r>
    </w:p>
    <w:p w14:paraId="4508D252">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28.3质疑函必须按照本招标文件中《质疑函范本》要求的格式和内容进行填写。供应商如组成联合体参加投标，则《质疑函范本》中要求签字、盖章、加盖公章之处，联合体各方均须按要求签字、盖章、加盖公章。</w:t>
      </w:r>
    </w:p>
    <w:p w14:paraId="4CCF216F">
      <w:pPr>
        <w:pStyle w:val="12"/>
        <w:spacing w:beforeAutospacing="0" w:afterAutospacing="0" w:line="0" w:lineRule="atLeast"/>
        <w:ind w:firstLine="482"/>
        <w:jc w:val="both"/>
        <w:rPr>
          <w:highlight w:val="none"/>
        </w:rPr>
      </w:pPr>
      <w:r>
        <w:rPr>
          <w:rFonts w:hint="eastAsia" w:ascii="宋体" w:hAnsi="宋体" w:eastAsia="宋体" w:cs="宋体"/>
          <w:color w:val="000000"/>
          <w:highlight w:val="none"/>
        </w:rPr>
        <w:t>28.4</w:t>
      </w:r>
      <w:r>
        <w:rPr>
          <w:rFonts w:hint="eastAsia" w:ascii="宋体" w:hAnsi="宋体" w:eastAsia="宋体" w:cs="宋体"/>
          <w:color w:val="000000" w:themeColor="text1"/>
          <w:highlight w:val="none"/>
          <w14:textFill>
            <w14:solidFill>
              <w14:schemeClr w14:val="tx1"/>
            </w14:solidFill>
          </w14:textFill>
        </w:rPr>
        <w:t>供应商（含潜在供应商）对采购方式、采购需求、供应商资格条件及审查结果、评标方法和评标标准、合同文本的询问、质疑请向采购人提出，由采购人负责答复。</w:t>
      </w:r>
      <w:r>
        <w:rPr>
          <w:rFonts w:hint="eastAsia" w:ascii="宋体" w:hAnsi="宋体" w:eastAsia="宋体" w:cs="宋体"/>
          <w:color w:val="000000"/>
          <w:highlight w:val="none"/>
        </w:rPr>
        <w:t>供应商对除上述事项以外其他事项的询问、质疑请向</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提出，由</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负责答复。</w:t>
      </w:r>
    </w:p>
    <w:p w14:paraId="0EF82C17">
      <w:pPr>
        <w:tabs>
          <w:tab w:val="left" w:pos="1331"/>
        </w:tabs>
        <w:bidi w:val="0"/>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代理机构及采购人只接收以纸质原件形式送达的质疑,采购人和代理机构不接受未填写快递运单的快件。质疑接收部门为盐城金弘项目管理有限公司，联系地址：盐城市响水县珠江路友创大厦508，联系电话：13912598066。</w:t>
      </w:r>
    </w:p>
    <w:p w14:paraId="5282303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 以下情形的质疑不予受理</w:t>
      </w:r>
    </w:p>
    <w:p w14:paraId="2D31443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28.5.1内容不符合《政府采购质疑和投诉办法》第十二条规定的质疑。</w:t>
      </w:r>
    </w:p>
    <w:p w14:paraId="60E511E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28.5.2超出政府采购法定期限的质疑。</w:t>
      </w:r>
    </w:p>
    <w:p w14:paraId="1E2E0CD9">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28.5.3以传真、电子邮件等方式递交的非原件形式的质疑。</w:t>
      </w:r>
    </w:p>
    <w:p w14:paraId="7059EFD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28.5.4未参加投标活动的供应商或在投标活动中自身权益未受到损害的供应商所提出的质疑。</w:t>
      </w:r>
    </w:p>
    <w:p w14:paraId="34576AE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28.5.5供应商组成联合体参加投标，联合体中任何一方或多方未按要求签字、盖章、加盖公章的质疑。</w:t>
      </w:r>
    </w:p>
    <w:p w14:paraId="7B2C2666">
      <w:pPr>
        <w:pStyle w:val="12"/>
        <w:spacing w:beforeAutospacing="0" w:afterAutospacing="0" w:line="0" w:lineRule="atLeast"/>
        <w:ind w:firstLine="468"/>
        <w:jc w:val="both"/>
        <w:rPr>
          <w:highlight w:val="none"/>
        </w:rPr>
      </w:pPr>
      <w:r>
        <w:rPr>
          <w:rFonts w:hint="eastAsia" w:ascii="宋体" w:hAnsi="宋体" w:eastAsia="宋体" w:cs="宋体"/>
          <w:color w:val="000000"/>
          <w:highlight w:val="none"/>
        </w:rPr>
        <w:t>28.6供应商提出书面质疑必须有理、有据，不得捏造事实、提供虚假材料进行恶意质疑。否则，一经查实，</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有权依据政府采购的有关规定，报请政府采购监管部门对该供应商进行相应的行政处罚和记录该供应商的失信信息。</w:t>
      </w:r>
    </w:p>
    <w:p w14:paraId="68A8764D">
      <w:pPr>
        <w:pStyle w:val="12"/>
        <w:keepNext/>
        <w:keepLines/>
        <w:spacing w:beforeAutospacing="0" w:afterAutospacing="0"/>
        <w:ind w:firstLine="600"/>
        <w:jc w:val="both"/>
        <w:rPr>
          <w:highlight w:val="none"/>
        </w:rPr>
      </w:pPr>
      <w:r>
        <w:rPr>
          <w:rFonts w:hint="eastAsia" w:ascii="黑体" w:hAnsi="宋体" w:eastAsia="黑体" w:cs="黑体"/>
          <w:color w:val="000000"/>
          <w:sz w:val="30"/>
          <w:szCs w:val="30"/>
          <w:highlight w:val="none"/>
        </w:rPr>
        <w:t>29、中标通知书</w:t>
      </w:r>
    </w:p>
    <w:p w14:paraId="2F7F6ECC">
      <w:pPr>
        <w:pStyle w:val="12"/>
        <w:spacing w:beforeAutospacing="0" w:afterAutospacing="0" w:line="0" w:lineRule="atLeast"/>
        <w:ind w:firstLine="600"/>
        <w:jc w:val="both"/>
        <w:rPr>
          <w:color w:val="auto"/>
          <w:highlight w:val="none"/>
        </w:rPr>
      </w:pPr>
      <w:r>
        <w:rPr>
          <w:rFonts w:hint="eastAsia" w:ascii="宋体" w:hAnsi="宋体" w:eastAsia="宋体" w:cs="宋体"/>
          <w:color w:val="000000"/>
          <w:highlight w:val="none"/>
        </w:rPr>
        <w:t>29.l中标结果确定后，</w:t>
      </w:r>
      <w:r>
        <w:rPr>
          <w:rFonts w:hint="eastAsia" w:ascii="宋体" w:hAnsi="宋体" w:eastAsia="宋体" w:cs="宋体"/>
          <w:color w:val="000000"/>
          <w:highlight w:val="none"/>
          <w:lang w:eastAsia="zh-CN"/>
        </w:rPr>
        <w:t>代理机构</w:t>
      </w:r>
      <w:r>
        <w:rPr>
          <w:rFonts w:hint="eastAsia" w:ascii="宋体" w:hAnsi="宋体" w:eastAsia="宋体" w:cs="宋体"/>
          <w:color w:val="000000"/>
          <w:highlight w:val="none"/>
        </w:rPr>
        <w:t>将向中标人发</w:t>
      </w:r>
      <w:r>
        <w:rPr>
          <w:rFonts w:hint="eastAsia" w:ascii="宋体" w:hAnsi="宋体" w:eastAsia="宋体" w:cs="宋体"/>
          <w:color w:val="auto"/>
          <w:highlight w:val="none"/>
        </w:rPr>
        <w:t>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6D085B83">
      <w:pPr>
        <w:pStyle w:val="12"/>
        <w:spacing w:beforeAutospacing="0" w:afterAutospacing="0" w:line="0" w:lineRule="atLeast"/>
        <w:ind w:firstLine="600"/>
        <w:jc w:val="both"/>
        <w:rPr>
          <w:highlight w:val="none"/>
        </w:rPr>
      </w:pPr>
      <w:r>
        <w:rPr>
          <w:rFonts w:hint="eastAsia" w:ascii="宋体" w:hAnsi="宋体" w:eastAsia="宋体" w:cs="宋体"/>
          <w:color w:val="auto"/>
          <w:highlight w:val="none"/>
        </w:rPr>
        <w:t>29.2中标通知书将是合同的一个组成部分。对采购人和中标人均具有法律</w:t>
      </w:r>
      <w:r>
        <w:rPr>
          <w:rFonts w:hint="eastAsia" w:ascii="宋体" w:hAnsi="宋体" w:eastAsia="宋体" w:cs="宋体"/>
          <w:color w:val="000000"/>
          <w:highlight w:val="none"/>
        </w:rPr>
        <w:t>效力。中标通知书发出后，采购人改变中标结果的，或者中标人放弃中标项目的，应当依法承担法律责任。</w:t>
      </w:r>
    </w:p>
    <w:p w14:paraId="26154D1C">
      <w:pPr>
        <w:pStyle w:val="12"/>
        <w:keepNext/>
        <w:keepLines/>
        <w:spacing w:before="145" w:beforeAutospacing="0" w:after="145" w:afterAutospacing="0" w:line="360" w:lineRule="auto"/>
        <w:jc w:val="both"/>
        <w:rPr>
          <w:highlight w:val="none"/>
        </w:rPr>
      </w:pPr>
      <w:bookmarkStart w:id="164" w:name="_Toc16938552"/>
      <w:bookmarkStart w:id="165" w:name="_Toc120614220"/>
      <w:bookmarkStart w:id="166" w:name="_Toc20823308"/>
      <w:bookmarkStart w:id="167" w:name="_Toc513029236"/>
      <w:r>
        <w:rPr>
          <w:rFonts w:ascii="Times New Roman" w:hAnsi="Times New Roman"/>
          <w:b/>
          <w:color w:val="000000"/>
          <w:sz w:val="32"/>
          <w:szCs w:val="32"/>
          <w:highlight w:val="none"/>
        </w:rPr>
        <w:t>七、授予合同</w:t>
      </w:r>
      <w:bookmarkEnd w:id="164"/>
      <w:bookmarkEnd w:id="165"/>
      <w:bookmarkEnd w:id="166"/>
      <w:bookmarkEnd w:id="167"/>
    </w:p>
    <w:p w14:paraId="75C13D6E">
      <w:pPr>
        <w:pStyle w:val="12"/>
        <w:keepNext/>
        <w:keepLines/>
        <w:spacing w:beforeAutospacing="0" w:afterAutospacing="0"/>
        <w:ind w:firstLine="600"/>
        <w:jc w:val="both"/>
        <w:rPr>
          <w:highlight w:val="none"/>
        </w:rPr>
      </w:pPr>
      <w:bookmarkStart w:id="168" w:name="_Toc16938553"/>
      <w:bookmarkStart w:id="169" w:name="_Toc513029237"/>
      <w:bookmarkStart w:id="170" w:name="_Toc20823309"/>
      <w:r>
        <w:rPr>
          <w:rFonts w:hint="eastAsia" w:ascii="黑体" w:hAnsi="宋体" w:eastAsia="黑体" w:cs="黑体"/>
          <w:color w:val="000000"/>
          <w:sz w:val="30"/>
          <w:szCs w:val="30"/>
          <w:highlight w:val="none"/>
        </w:rPr>
        <w:t>30.签订合同</w:t>
      </w:r>
      <w:bookmarkEnd w:id="168"/>
      <w:bookmarkEnd w:id="169"/>
      <w:bookmarkEnd w:id="170"/>
    </w:p>
    <w:p w14:paraId="1A93424E">
      <w:pPr>
        <w:pStyle w:val="12"/>
        <w:spacing w:beforeAutospacing="0" w:afterAutospacing="0" w:line="0" w:lineRule="atLeast"/>
        <w:ind w:firstLine="600"/>
        <w:jc w:val="both"/>
        <w:rPr>
          <w:highlight w:val="none"/>
        </w:rPr>
      </w:pPr>
      <w:r>
        <w:rPr>
          <w:rFonts w:hint="eastAsia" w:ascii="宋体" w:hAnsi="宋体" w:eastAsia="宋体" w:cs="宋体"/>
          <w:color w:val="000000"/>
          <w:highlight w:val="none"/>
        </w:rPr>
        <w:t>30.l中标人应当在中标通知书发出之日起三十日内，按照招标文件确定的事项与采购人签订政府采购合同。</w:t>
      </w:r>
    </w:p>
    <w:p w14:paraId="31D1594F">
      <w:pPr>
        <w:pStyle w:val="12"/>
        <w:spacing w:beforeAutospacing="0" w:afterAutospacing="0" w:line="0" w:lineRule="atLeast"/>
        <w:ind w:firstLine="600"/>
        <w:jc w:val="both"/>
        <w:rPr>
          <w:highlight w:val="none"/>
        </w:rPr>
      </w:pPr>
      <w:r>
        <w:rPr>
          <w:rFonts w:hint="eastAsia" w:ascii="宋体" w:hAnsi="宋体" w:eastAsia="宋体" w:cs="宋体"/>
          <w:color w:val="000000"/>
          <w:highlight w:val="none"/>
        </w:rPr>
        <w:t>30.2招标文件、中标人的投标文件及招标过程中有关澄清、承诺文件均应作为合同附件。</w:t>
      </w:r>
    </w:p>
    <w:p w14:paraId="3D7D489F">
      <w:pPr>
        <w:pStyle w:val="12"/>
        <w:spacing w:beforeAutospacing="0" w:afterAutospacing="0" w:line="0" w:lineRule="atLeast"/>
        <w:ind w:firstLine="600"/>
        <w:jc w:val="both"/>
        <w:rPr>
          <w:highlight w:val="none"/>
        </w:rPr>
      </w:pPr>
      <w:r>
        <w:rPr>
          <w:rFonts w:hint="eastAsia" w:ascii="宋体" w:hAnsi="宋体" w:eastAsia="宋体" w:cs="宋体"/>
          <w:color w:val="000000"/>
          <w:highlight w:val="none"/>
        </w:rPr>
        <w:t>30.3签订合同后，</w:t>
      </w:r>
      <w:r>
        <w:rPr>
          <w:rFonts w:hint="eastAsia" w:ascii="宋体" w:hAnsi="宋体" w:eastAsia="宋体" w:cs="宋体"/>
          <w:i/>
          <w:color w:val="000000"/>
          <w:highlight w:val="none"/>
          <w:u w:val="single"/>
        </w:rPr>
        <w:t>中标人不得将合同标的进行转包</w:t>
      </w:r>
      <w:r>
        <w:rPr>
          <w:rFonts w:hint="eastAsia" w:ascii="宋体" w:hAnsi="宋体" w:eastAsia="宋体" w:cs="宋体"/>
          <w:color w:val="000000"/>
          <w:highlight w:val="none"/>
        </w:rPr>
        <w:t>。未经采购人同意，中标人也不得采用分包的形式履行合同，否则采购人有权终止合同。转包或分包造成采购人损失的，中标人应承担相应赔偿责任。</w:t>
      </w:r>
    </w:p>
    <w:p w14:paraId="65D988A5">
      <w:pPr>
        <w:pStyle w:val="12"/>
        <w:keepNext/>
        <w:keepLines/>
        <w:spacing w:beforeAutospacing="0" w:afterAutospacing="0"/>
        <w:ind w:firstLine="600"/>
        <w:jc w:val="both"/>
        <w:rPr>
          <w:highlight w:val="none"/>
        </w:rPr>
      </w:pPr>
      <w:r>
        <w:rPr>
          <w:rFonts w:hint="eastAsia" w:ascii="黑体" w:hAnsi="宋体" w:eastAsia="黑体" w:cs="黑体"/>
          <w:color w:val="000000"/>
          <w:sz w:val="30"/>
          <w:szCs w:val="30"/>
          <w:highlight w:val="none"/>
        </w:rPr>
        <w:t>31、服务（包含与服务相关的货物）的追加</w:t>
      </w:r>
    </w:p>
    <w:p w14:paraId="25D2AF83">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31.1政府采购合同履行中，采购人需追加与合同标的相同的服务（包含与服务相关的货物），在不改变合同其他条款的前提下，可以与中标人协商签订补充合同，但所有补充合同的采购金额不超过原合同金额10%。</w:t>
      </w:r>
    </w:p>
    <w:p w14:paraId="4A2A9ECF">
      <w:pPr>
        <w:pStyle w:val="12"/>
        <w:keepNext/>
        <w:keepLines/>
        <w:spacing w:beforeAutospacing="0" w:afterAutospacing="0"/>
        <w:ind w:firstLine="600"/>
        <w:jc w:val="both"/>
        <w:rPr>
          <w:highlight w:val="none"/>
        </w:rPr>
      </w:pPr>
      <w:bookmarkStart w:id="171" w:name="_Toc16938558"/>
      <w:bookmarkStart w:id="172" w:name="_Toc479757207"/>
      <w:bookmarkStart w:id="173" w:name="_Toc20823314"/>
      <w:bookmarkStart w:id="174" w:name="_Toc513029242"/>
      <w:bookmarkStart w:id="175" w:name="_Toc120614221"/>
      <w:r>
        <w:rPr>
          <w:rFonts w:hint="eastAsia" w:ascii="黑体" w:hAnsi="宋体" w:eastAsia="黑体" w:cs="黑体"/>
          <w:color w:val="000000"/>
          <w:sz w:val="30"/>
          <w:szCs w:val="30"/>
          <w:highlight w:val="none"/>
        </w:rPr>
        <w:t>32、</w:t>
      </w:r>
      <w:bookmarkEnd w:id="171"/>
      <w:bookmarkEnd w:id="172"/>
      <w:bookmarkEnd w:id="173"/>
      <w:bookmarkEnd w:id="174"/>
      <w:bookmarkEnd w:id="175"/>
      <w:r>
        <w:rPr>
          <w:rFonts w:hint="eastAsia" w:ascii="黑体" w:hAnsi="宋体" w:eastAsia="黑体" w:cs="黑体"/>
          <w:color w:val="000000"/>
          <w:sz w:val="30"/>
          <w:szCs w:val="30"/>
          <w:highlight w:val="none"/>
        </w:rPr>
        <w:t>政府采购</w:t>
      </w:r>
      <w:r>
        <w:rPr>
          <w:rFonts w:hint="eastAsia" w:ascii="黑体" w:hAnsi="宋体" w:eastAsia="黑体" w:cs="黑体"/>
          <w:color w:val="000000"/>
          <w:sz w:val="30"/>
          <w:szCs w:val="30"/>
          <w:highlight w:val="none"/>
          <w:lang w:eastAsia="zh-CN"/>
        </w:rPr>
        <w:t>线上合同信用融资</w:t>
      </w:r>
      <w:r>
        <w:rPr>
          <w:rFonts w:hint="eastAsia" w:ascii="黑体" w:hAnsi="宋体" w:eastAsia="黑体" w:cs="黑体"/>
          <w:color w:val="000000"/>
          <w:sz w:val="30"/>
          <w:szCs w:val="30"/>
          <w:highlight w:val="none"/>
        </w:rPr>
        <w:t>政策</w:t>
      </w:r>
    </w:p>
    <w:p w14:paraId="6A663489">
      <w:pPr>
        <w:pStyle w:val="12"/>
        <w:keepNext/>
        <w:spacing w:beforeAutospacing="0" w:afterAutospacing="0"/>
        <w:ind w:firstLine="480" w:firstLineChars="200"/>
        <w:rPr>
          <w:highlight w:val="none"/>
        </w:rPr>
      </w:pPr>
      <w:r>
        <w:rPr>
          <w:rFonts w:hint="eastAsia" w:ascii="宋体" w:hAnsi="宋体" w:eastAsia="宋体" w:cs="宋体"/>
          <w:color w:val="000000"/>
          <w:highlight w:val="none"/>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w:t>
      </w:r>
      <w:r>
        <w:rPr>
          <w:rFonts w:hint="eastAsia" w:ascii="宋体" w:hAnsi="宋体" w:eastAsia="宋体" w:cs="宋体"/>
          <w:highlight w:val="none"/>
        </w:rPr>
        <w:t>具体操作流程请参考苏采云系统中供应商操作手册</w:t>
      </w:r>
      <w:r>
        <w:rPr>
          <w:rFonts w:ascii="宋体" w:hAnsi="宋体" w:eastAsia="宋体" w:cs="宋体"/>
          <w:highlight w:val="none"/>
        </w:rPr>
        <w:t>。</w:t>
      </w:r>
      <w:r>
        <w:rPr>
          <w:highlight w:val="none"/>
        </w:rPr>
        <w:t> </w:t>
      </w:r>
    </w:p>
    <w:p w14:paraId="63FE0692">
      <w:pPr>
        <w:pStyle w:val="12"/>
        <w:spacing w:beforeAutospacing="0" w:afterAutospacing="0"/>
        <w:ind w:firstLine="420"/>
        <w:jc w:val="both"/>
        <w:rPr>
          <w:rFonts w:hint="eastAsia" w:eastAsia="黑体"/>
          <w:highlight w:val="none"/>
          <w:lang w:eastAsia="zh-CN"/>
        </w:rPr>
      </w:pPr>
      <w:r>
        <w:rPr>
          <w:highlight w:val="none"/>
        </w:rPr>
        <w:t> </w:t>
      </w:r>
      <w:r>
        <w:rPr>
          <w:rFonts w:hint="eastAsia" w:ascii="黑体" w:hAnsi="宋体" w:eastAsia="黑体" w:cs="黑体"/>
          <w:color w:val="000000"/>
          <w:sz w:val="30"/>
          <w:szCs w:val="30"/>
          <w:highlight w:val="none"/>
        </w:rPr>
        <w:t>3</w:t>
      </w:r>
      <w:r>
        <w:rPr>
          <w:rFonts w:hint="eastAsia" w:ascii="黑体" w:hAnsi="宋体" w:eastAsia="黑体" w:cs="黑体"/>
          <w:color w:val="000000"/>
          <w:sz w:val="30"/>
          <w:szCs w:val="30"/>
          <w:highlight w:val="none"/>
          <w:lang w:val="en-US" w:eastAsia="zh-CN"/>
        </w:rPr>
        <w:t>3</w:t>
      </w:r>
      <w:r>
        <w:rPr>
          <w:rFonts w:hint="eastAsia" w:ascii="黑体" w:hAnsi="宋体" w:eastAsia="黑体" w:cs="黑体"/>
          <w:color w:val="000000"/>
          <w:sz w:val="30"/>
          <w:szCs w:val="30"/>
          <w:highlight w:val="none"/>
        </w:rPr>
        <w:t>、</w:t>
      </w:r>
      <w:r>
        <w:rPr>
          <w:rFonts w:hint="eastAsia" w:ascii="黑体" w:hAnsi="宋体" w:eastAsia="黑体" w:cs="黑体"/>
          <w:color w:val="000000"/>
          <w:sz w:val="30"/>
          <w:szCs w:val="30"/>
          <w:highlight w:val="none"/>
          <w:lang w:eastAsia="zh-CN"/>
        </w:rPr>
        <w:t>其他</w:t>
      </w:r>
    </w:p>
    <w:p w14:paraId="660C6B49">
      <w:pPr>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33.1</w:t>
      </w:r>
      <w:r>
        <w:rPr>
          <w:rFonts w:hint="eastAsia" w:ascii="宋体" w:hAnsi="宋体" w:eastAsia="宋体" w:cs="宋体"/>
          <w:color w:val="000000" w:themeColor="text1"/>
          <w:kern w:val="0"/>
          <w:sz w:val="24"/>
          <w:highlight w:val="none"/>
          <w14:textFill>
            <w14:solidFill>
              <w14:schemeClr w14:val="tx1"/>
            </w14:solidFill>
          </w14:textFill>
        </w:rPr>
        <w:t>供应商对于投标产品的商品包装、快递包装应按照《关于印发《商品包装政府采购需求标准（试行）》、《快递包装政府采购需求标准（试行）》的通知》</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财办库〔2020〕123号</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执行。</w:t>
      </w:r>
    </w:p>
    <w:p w14:paraId="18C39B43">
      <w:pPr>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本文件中若涉及到数据中心采购，应按照《&lt;绿色数据中心政府采购需求标准（试行）&gt;的通知》（财库〔2023〕7号）执行。</w:t>
      </w:r>
    </w:p>
    <w:p w14:paraId="148C1162">
      <w:pPr>
        <w:pStyle w:val="12"/>
        <w:spacing w:beforeAutospacing="0" w:afterAutospacing="0" w:line="0" w:lineRule="atLeast"/>
        <w:ind w:firstLine="480"/>
        <w:jc w:val="both"/>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34.3 本项目落实预付款制度，预付款比例为30%。在签订合同时，中标、成交供应商明确书面表示无需预付款或者主动要求降低预付款比例的，采购人可就预付款比例作相应调整。</w:t>
      </w:r>
    </w:p>
    <w:p w14:paraId="7F704092">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 </w:t>
      </w:r>
    </w:p>
    <w:p w14:paraId="291D50D9">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 </w:t>
      </w:r>
    </w:p>
    <w:p w14:paraId="62B0C512">
      <w:pPr>
        <w:pStyle w:val="12"/>
        <w:spacing w:beforeAutospacing="0" w:afterAutospacing="0"/>
        <w:jc w:val="both"/>
        <w:rPr>
          <w:highlight w:val="none"/>
        </w:rPr>
      </w:pPr>
      <w:r>
        <w:rPr>
          <w:highlight w:val="none"/>
        </w:rPr>
        <w:t> </w:t>
      </w:r>
    </w:p>
    <w:p w14:paraId="48D89C44">
      <w:pPr>
        <w:pStyle w:val="12"/>
        <w:spacing w:beforeAutospacing="0" w:afterAutospacing="0"/>
        <w:jc w:val="both"/>
        <w:rPr>
          <w:highlight w:val="none"/>
        </w:rPr>
      </w:pPr>
      <w:r>
        <w:rPr>
          <w:highlight w:val="none"/>
        </w:rPr>
        <w:t> </w:t>
      </w:r>
    </w:p>
    <w:p w14:paraId="23AE72F6">
      <w:pPr>
        <w:pStyle w:val="12"/>
        <w:spacing w:beforeAutospacing="0" w:afterAutospacing="0"/>
        <w:jc w:val="both"/>
        <w:rPr>
          <w:highlight w:val="none"/>
        </w:rPr>
      </w:pPr>
      <w:r>
        <w:rPr>
          <w:highlight w:val="none"/>
        </w:rPr>
        <w:t> </w:t>
      </w:r>
    </w:p>
    <w:p w14:paraId="14443D8A">
      <w:pPr>
        <w:pStyle w:val="12"/>
        <w:spacing w:beforeAutospacing="0" w:afterAutospacing="0"/>
        <w:jc w:val="both"/>
        <w:rPr>
          <w:highlight w:val="none"/>
        </w:rPr>
      </w:pPr>
      <w:r>
        <w:rPr>
          <w:highlight w:val="none"/>
        </w:rPr>
        <w:t> </w:t>
      </w:r>
    </w:p>
    <w:p w14:paraId="3D73CB34">
      <w:pPr>
        <w:pStyle w:val="12"/>
        <w:spacing w:beforeAutospacing="0" w:afterAutospacing="0"/>
        <w:jc w:val="both"/>
        <w:rPr>
          <w:highlight w:val="none"/>
        </w:rPr>
      </w:pPr>
      <w:r>
        <w:rPr>
          <w:highlight w:val="none"/>
        </w:rPr>
        <w:t> </w:t>
      </w:r>
    </w:p>
    <w:p w14:paraId="647491C7">
      <w:pPr>
        <w:pStyle w:val="12"/>
        <w:spacing w:beforeAutospacing="0" w:afterAutospacing="0"/>
        <w:jc w:val="both"/>
        <w:rPr>
          <w:highlight w:val="none"/>
        </w:rPr>
      </w:pPr>
      <w:r>
        <w:rPr>
          <w:highlight w:val="none"/>
        </w:rPr>
        <w:t> </w:t>
      </w:r>
    </w:p>
    <w:p w14:paraId="1E0AAF0F">
      <w:pPr>
        <w:pStyle w:val="12"/>
        <w:spacing w:beforeAutospacing="0" w:afterAutospacing="0"/>
        <w:jc w:val="both"/>
        <w:rPr>
          <w:highlight w:val="none"/>
        </w:rPr>
      </w:pPr>
      <w:r>
        <w:rPr>
          <w:highlight w:val="none"/>
        </w:rPr>
        <w:t> </w:t>
      </w:r>
    </w:p>
    <w:p w14:paraId="644C1621">
      <w:pPr>
        <w:pStyle w:val="12"/>
        <w:spacing w:beforeAutospacing="0" w:afterAutospacing="0"/>
        <w:jc w:val="both"/>
        <w:rPr>
          <w:highlight w:val="none"/>
        </w:rPr>
      </w:pPr>
      <w:r>
        <w:rPr>
          <w:highlight w:val="none"/>
        </w:rPr>
        <w:t> </w:t>
      </w:r>
    </w:p>
    <w:p w14:paraId="2AB8210D">
      <w:pPr>
        <w:pStyle w:val="12"/>
        <w:spacing w:beforeAutospacing="0" w:afterAutospacing="0"/>
        <w:jc w:val="both"/>
        <w:rPr>
          <w:highlight w:val="none"/>
        </w:rPr>
      </w:pPr>
      <w:r>
        <w:rPr>
          <w:highlight w:val="none"/>
        </w:rPr>
        <w:t> </w:t>
      </w:r>
    </w:p>
    <w:p w14:paraId="633D045F">
      <w:pPr>
        <w:pStyle w:val="12"/>
        <w:spacing w:beforeAutospacing="0" w:afterAutospacing="0"/>
        <w:jc w:val="both"/>
        <w:rPr>
          <w:highlight w:val="none"/>
        </w:rPr>
      </w:pPr>
      <w:r>
        <w:rPr>
          <w:highlight w:val="none"/>
        </w:rPr>
        <w:t> </w:t>
      </w:r>
    </w:p>
    <w:p w14:paraId="13F773B1">
      <w:pPr>
        <w:pStyle w:val="12"/>
        <w:spacing w:beforeAutospacing="0" w:afterAutospacing="0"/>
        <w:jc w:val="both"/>
        <w:rPr>
          <w:highlight w:val="none"/>
        </w:rPr>
      </w:pPr>
      <w:r>
        <w:rPr>
          <w:highlight w:val="none"/>
        </w:rPr>
        <w:t> </w:t>
      </w:r>
      <w:r>
        <w:rPr>
          <w:highlight w:val="none"/>
        </w:rPr>
        <w:br w:type="textWrapping"/>
      </w:r>
      <w:r>
        <w:rPr>
          <w:highlight w:val="none"/>
        </w:rPr>
        <w:br w:type="textWrapping"/>
      </w:r>
      <w:r>
        <w:rPr>
          <w:highlight w:val="none"/>
        </w:rPr>
        <w:br w:type="textWrapping"/>
      </w:r>
    </w:p>
    <w:p w14:paraId="5900C64B">
      <w:pPr>
        <w:pStyle w:val="12"/>
        <w:spacing w:beforeAutospacing="0" w:afterAutospacing="0"/>
        <w:jc w:val="both"/>
        <w:rPr>
          <w:highlight w:val="none"/>
        </w:rPr>
      </w:pPr>
    </w:p>
    <w:p w14:paraId="4C24D097">
      <w:pPr>
        <w:pStyle w:val="12"/>
        <w:keepNext/>
        <w:spacing w:beforeAutospacing="0" w:afterAutospacing="0"/>
        <w:jc w:val="center"/>
        <w:rPr>
          <w:rFonts w:ascii="黑体" w:hAnsi="宋体" w:eastAsia="黑体" w:cs="黑体"/>
          <w:color w:val="000000"/>
          <w:sz w:val="44"/>
          <w:szCs w:val="44"/>
          <w:highlight w:val="none"/>
        </w:rPr>
      </w:pPr>
    </w:p>
    <w:p w14:paraId="77EBC47E">
      <w:pPr>
        <w:jc w:val="center"/>
        <w:rPr>
          <w:highlight w:val="none"/>
        </w:rPr>
      </w:pPr>
      <w:r>
        <w:rPr>
          <w:rFonts w:hint="eastAsia" w:ascii="黑体" w:hAnsi="宋体" w:eastAsia="黑体" w:cs="黑体"/>
          <w:color w:val="000000"/>
          <w:sz w:val="44"/>
          <w:szCs w:val="44"/>
          <w:highlight w:val="none"/>
        </w:rPr>
        <w:t>第三章  合同文本</w:t>
      </w:r>
    </w:p>
    <w:p w14:paraId="44F56806">
      <w:pPr>
        <w:pStyle w:val="12"/>
        <w:spacing w:beforeAutospacing="0" w:afterAutospacing="0" w:line="0" w:lineRule="atLeast"/>
        <w:ind w:firstLine="480"/>
        <w:jc w:val="both"/>
        <w:rPr>
          <w:highlight w:val="none"/>
        </w:rPr>
      </w:pPr>
      <w:bookmarkStart w:id="176" w:name="_Toc20823315"/>
      <w:bookmarkStart w:id="177" w:name="_Toc16938559"/>
      <w:bookmarkStart w:id="178" w:name="_Toc513029243"/>
      <w:r>
        <w:rPr>
          <w:rFonts w:hint="eastAsia" w:ascii="宋体" w:hAnsi="宋体" w:eastAsia="宋体" w:cs="宋体"/>
          <w:color w:val="000000"/>
          <w:highlight w:val="none"/>
        </w:rPr>
        <w:t>以下为中标后签定本项目合同的通用条款，中标人不得提出实质性的修改。</w:t>
      </w:r>
      <w:bookmarkEnd w:id="176"/>
      <w:bookmarkEnd w:id="177"/>
      <w:bookmarkEnd w:id="178"/>
    </w:p>
    <w:p w14:paraId="35F6920B">
      <w:pPr>
        <w:pStyle w:val="12"/>
        <w:spacing w:before="145" w:beforeAutospacing="0" w:after="145" w:afterAutospacing="0"/>
        <w:jc w:val="center"/>
        <w:rPr>
          <w:highlight w:val="none"/>
        </w:rPr>
      </w:pPr>
      <w:r>
        <w:rPr>
          <w:highlight w:val="none"/>
        </w:rPr>
        <w:t> </w:t>
      </w:r>
    </w:p>
    <w:p w14:paraId="103B6F2C">
      <w:pPr>
        <w:pStyle w:val="12"/>
        <w:spacing w:before="145" w:beforeAutospacing="0" w:after="145" w:afterAutospacing="0"/>
        <w:jc w:val="center"/>
        <w:rPr>
          <w:highlight w:val="none"/>
        </w:rPr>
      </w:pPr>
      <w:r>
        <w:rPr>
          <w:rFonts w:hint="eastAsia" w:ascii="宋体" w:hAnsi="宋体" w:eastAsia="宋体" w:cs="宋体"/>
          <w:b/>
          <w:color w:val="000000"/>
          <w:sz w:val="30"/>
          <w:szCs w:val="30"/>
          <w:highlight w:val="none"/>
        </w:rPr>
        <w:t>盐城市政府采购合同（服务）（合同编号）</w:t>
      </w:r>
    </w:p>
    <w:p w14:paraId="30D63E01">
      <w:pPr>
        <w:pStyle w:val="12"/>
        <w:spacing w:before="120" w:beforeAutospacing="0" w:after="120" w:afterAutospacing="0"/>
        <w:jc w:val="both"/>
        <w:rPr>
          <w:rFonts w:hint="eastAsia" w:ascii="宋体" w:hAnsi="宋体" w:eastAsia="宋体" w:cs="宋体"/>
          <w:color w:val="000000"/>
          <w:highlight w:val="none"/>
        </w:rPr>
      </w:pPr>
      <w:r>
        <w:rPr>
          <w:rFonts w:hint="eastAsia" w:ascii="宋体" w:hAnsi="宋体" w:eastAsia="宋体" w:cs="宋体"/>
          <w:color w:val="000000"/>
          <w:highlight w:val="none"/>
        </w:rPr>
        <w:t>项目名称：响水经济开发区空气站运维项目</w:t>
      </w:r>
    </w:p>
    <w:p w14:paraId="66EBF4CC">
      <w:pPr>
        <w:pStyle w:val="12"/>
        <w:spacing w:before="120" w:beforeAutospacing="0" w:after="120" w:afterAutospacing="0"/>
        <w:jc w:val="both"/>
        <w:rPr>
          <w:highlight w:val="none"/>
        </w:rPr>
      </w:pPr>
      <w:r>
        <w:rPr>
          <w:rFonts w:hint="eastAsia" w:ascii="宋体" w:hAnsi="宋体" w:eastAsia="宋体" w:cs="宋体"/>
          <w:color w:val="000000"/>
          <w:highlight w:val="none"/>
        </w:rPr>
        <w:t>项目编号：</w:t>
      </w:r>
      <w:r>
        <w:rPr>
          <w:rFonts w:ascii="Segoe UI" w:hAnsi="Segoe UI" w:eastAsia="Segoe UI" w:cs="Segoe UI"/>
          <w:i w:val="0"/>
          <w:iCs w:val="0"/>
          <w:caps w:val="0"/>
          <w:spacing w:val="0"/>
          <w:sz w:val="21"/>
          <w:szCs w:val="21"/>
          <w:shd w:val="clear" w:fill="FFFFFF"/>
        </w:rPr>
        <w:t>JSZC-320921-YCJH-G2024-0002</w:t>
      </w:r>
    </w:p>
    <w:p w14:paraId="591117E4">
      <w:pPr>
        <w:pStyle w:val="12"/>
        <w:spacing w:before="120" w:beforeAutospacing="0" w:after="120" w:afterAutospacing="0"/>
        <w:jc w:val="both"/>
        <w:rPr>
          <w:highlight w:val="none"/>
        </w:rPr>
      </w:pPr>
      <w:r>
        <w:rPr>
          <w:rFonts w:hint="eastAsia" w:ascii="宋体" w:hAnsi="宋体" w:eastAsia="宋体" w:cs="宋体"/>
          <w:color w:val="000000"/>
          <w:highlight w:val="none"/>
        </w:rPr>
        <w:t>甲方：（买方）_________</w:t>
      </w:r>
    </w:p>
    <w:p w14:paraId="754E7270">
      <w:pPr>
        <w:pStyle w:val="12"/>
        <w:spacing w:before="120" w:beforeAutospacing="0" w:after="120" w:afterAutospacing="0"/>
        <w:jc w:val="both"/>
        <w:rPr>
          <w:highlight w:val="none"/>
        </w:rPr>
      </w:pPr>
      <w:r>
        <w:rPr>
          <w:rFonts w:hint="eastAsia" w:ascii="宋体" w:hAnsi="宋体" w:eastAsia="宋体" w:cs="宋体"/>
          <w:color w:val="000000"/>
          <w:highlight w:val="none"/>
        </w:rPr>
        <w:t>乙方：（卖方）_________</w:t>
      </w:r>
    </w:p>
    <w:p w14:paraId="352CACB7">
      <w:pPr>
        <w:pStyle w:val="12"/>
        <w:spacing w:before="120" w:beforeAutospacing="0" w:after="120" w:afterAutospacing="0"/>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甲、乙双方根据</w:t>
      </w:r>
      <w:r>
        <w:rPr>
          <w:rFonts w:hint="eastAsia" w:ascii="宋体" w:hAnsi="宋体" w:eastAsia="宋体" w:cs="宋体"/>
          <w:color w:val="000000"/>
          <w:highlight w:val="none"/>
          <w:lang w:eastAsia="zh-CN"/>
        </w:rPr>
        <w:t>盐城金弘项目管理有限公司</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项目公开招标的结果，签署本合同。</w:t>
      </w:r>
    </w:p>
    <w:p w14:paraId="6132428E">
      <w:pPr>
        <w:pStyle w:val="12"/>
        <w:spacing w:before="120" w:beforeAutospacing="0" w:after="120" w:afterAutospacing="0"/>
        <w:jc w:val="both"/>
        <w:rPr>
          <w:highlight w:val="none"/>
        </w:rPr>
      </w:pPr>
      <w:r>
        <w:rPr>
          <w:rFonts w:hint="eastAsia" w:ascii="宋体" w:hAnsi="宋体" w:eastAsia="宋体" w:cs="宋体"/>
          <w:b/>
          <w:color w:val="000000"/>
          <w:highlight w:val="none"/>
        </w:rPr>
        <w:t>一、合同内容</w:t>
      </w:r>
    </w:p>
    <w:p w14:paraId="59C2A455">
      <w:pPr>
        <w:pStyle w:val="12"/>
        <w:spacing w:before="120" w:beforeAutospacing="0" w:after="120" w:afterAutospacing="0"/>
        <w:jc w:val="both"/>
        <w:rPr>
          <w:highlight w:val="none"/>
        </w:rPr>
      </w:pPr>
      <w:r>
        <w:rPr>
          <w:rFonts w:hint="eastAsia" w:ascii="宋体" w:hAnsi="宋体" w:eastAsia="宋体" w:cs="宋体"/>
          <w:color w:val="000000"/>
          <w:highlight w:val="none"/>
        </w:rPr>
        <w:t>1.1 标的名称：</w:t>
      </w:r>
    </w:p>
    <w:p w14:paraId="540E9A3D">
      <w:pPr>
        <w:pStyle w:val="12"/>
        <w:spacing w:before="120" w:beforeAutospacing="0" w:after="120" w:afterAutospacing="0"/>
        <w:jc w:val="both"/>
        <w:rPr>
          <w:highlight w:val="none"/>
        </w:rPr>
      </w:pPr>
      <w:r>
        <w:rPr>
          <w:rFonts w:hint="eastAsia" w:ascii="宋体" w:hAnsi="宋体" w:eastAsia="宋体" w:cs="宋体"/>
          <w:color w:val="000000"/>
          <w:highlight w:val="none"/>
        </w:rPr>
        <w:t>1.2标的质量：</w:t>
      </w:r>
    </w:p>
    <w:p w14:paraId="1C7B0B5E">
      <w:pPr>
        <w:pStyle w:val="12"/>
        <w:spacing w:before="120" w:beforeAutospacing="0" w:after="120" w:afterAutospacing="0"/>
        <w:jc w:val="both"/>
        <w:rPr>
          <w:highlight w:val="none"/>
        </w:rPr>
      </w:pPr>
      <w:r>
        <w:rPr>
          <w:rFonts w:hint="eastAsia" w:ascii="宋体" w:hAnsi="宋体" w:eastAsia="宋体" w:cs="宋体"/>
          <w:color w:val="000000"/>
          <w:highlight w:val="none"/>
        </w:rPr>
        <w:t>1.3 标的数量（规模）：</w:t>
      </w:r>
    </w:p>
    <w:p w14:paraId="16D0CC23">
      <w:pPr>
        <w:pStyle w:val="12"/>
        <w:spacing w:before="120" w:beforeAutospacing="0" w:after="120" w:afterAutospacing="0"/>
        <w:jc w:val="both"/>
        <w:rPr>
          <w:highlight w:val="none"/>
        </w:rPr>
      </w:pPr>
      <w:r>
        <w:rPr>
          <w:rFonts w:hint="eastAsia" w:ascii="宋体" w:hAnsi="宋体" w:eastAsia="宋体" w:cs="宋体"/>
          <w:color w:val="000000"/>
          <w:highlight w:val="none"/>
        </w:rPr>
        <w:t>1.4 履行时间（期限）：</w:t>
      </w:r>
    </w:p>
    <w:p w14:paraId="71352957">
      <w:pPr>
        <w:pStyle w:val="12"/>
        <w:spacing w:before="120" w:beforeAutospacing="0" w:after="120" w:afterAutospacing="0"/>
        <w:jc w:val="both"/>
        <w:rPr>
          <w:highlight w:val="none"/>
        </w:rPr>
      </w:pPr>
      <w:r>
        <w:rPr>
          <w:rFonts w:hint="eastAsia" w:ascii="宋体" w:hAnsi="宋体" w:eastAsia="宋体" w:cs="宋体"/>
          <w:color w:val="000000"/>
          <w:highlight w:val="none"/>
        </w:rPr>
        <w:t>1.5 履行地点：</w:t>
      </w:r>
    </w:p>
    <w:p w14:paraId="19A84B97">
      <w:pPr>
        <w:pStyle w:val="12"/>
        <w:spacing w:before="120" w:beforeAutospacing="0" w:after="120" w:afterAutospacing="0"/>
        <w:jc w:val="both"/>
        <w:rPr>
          <w:highlight w:val="none"/>
        </w:rPr>
      </w:pPr>
      <w:r>
        <w:rPr>
          <w:rFonts w:hint="eastAsia" w:ascii="宋体" w:hAnsi="宋体" w:eastAsia="宋体" w:cs="宋体"/>
          <w:color w:val="000000"/>
          <w:highlight w:val="none"/>
        </w:rPr>
        <w:t>1.6履行方式：</w:t>
      </w:r>
    </w:p>
    <w:p w14:paraId="783AA1E6">
      <w:pPr>
        <w:pStyle w:val="12"/>
        <w:spacing w:before="120" w:beforeAutospacing="0" w:after="120" w:afterAutospacing="0"/>
        <w:jc w:val="both"/>
        <w:rPr>
          <w:highlight w:val="none"/>
        </w:rPr>
      </w:pPr>
      <w:r>
        <w:rPr>
          <w:rFonts w:hint="eastAsia" w:ascii="宋体" w:hAnsi="宋体" w:eastAsia="宋体" w:cs="宋体"/>
          <w:b/>
          <w:color w:val="000000"/>
          <w:highlight w:val="none"/>
        </w:rPr>
        <w:t>二、合同金额</w:t>
      </w:r>
    </w:p>
    <w:p w14:paraId="45A74977">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2.1本合同金额为（大写）：____________________________________圆（_______________元）人民币或其他币种。</w:t>
      </w:r>
    </w:p>
    <w:p w14:paraId="45DD2312">
      <w:pPr>
        <w:pStyle w:val="12"/>
        <w:spacing w:before="120" w:beforeAutospacing="0" w:after="120" w:afterAutospacing="0"/>
        <w:jc w:val="both"/>
        <w:rPr>
          <w:highlight w:val="none"/>
        </w:rPr>
      </w:pPr>
      <w:r>
        <w:rPr>
          <w:rFonts w:hint="eastAsia" w:ascii="宋体" w:hAnsi="宋体" w:eastAsia="宋体" w:cs="宋体"/>
          <w:b/>
          <w:color w:val="000000"/>
          <w:highlight w:val="none"/>
        </w:rPr>
        <w:t>三、技术资料</w:t>
      </w:r>
    </w:p>
    <w:p w14:paraId="743FD3A7">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3.1乙方应按招标文件规定的时间向甲方提供服务（包含与服务相关的货物）的有关技术资料。</w:t>
      </w:r>
    </w:p>
    <w:p w14:paraId="1E9CCDBE">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C52D95">
      <w:pPr>
        <w:pStyle w:val="12"/>
        <w:spacing w:before="120" w:beforeAutospacing="0" w:after="120" w:afterAutospacing="0"/>
        <w:ind w:left="412" w:hanging="412"/>
        <w:jc w:val="both"/>
        <w:rPr>
          <w:highlight w:val="none"/>
        </w:rPr>
      </w:pPr>
      <w:r>
        <w:rPr>
          <w:rFonts w:hint="eastAsia" w:ascii="宋体" w:hAnsi="宋体" w:eastAsia="宋体" w:cs="宋体"/>
          <w:b/>
          <w:color w:val="000000"/>
          <w:highlight w:val="none"/>
        </w:rPr>
        <w:t>四、知识产权</w:t>
      </w:r>
    </w:p>
    <w:p w14:paraId="2EC22D2A">
      <w:pPr>
        <w:pStyle w:val="12"/>
        <w:spacing w:before="120" w:beforeAutospacing="0" w:after="120" w:afterAutospacing="0"/>
        <w:ind w:left="408" w:hanging="408"/>
        <w:jc w:val="both"/>
        <w:rPr>
          <w:highlight w:val="none"/>
        </w:rPr>
      </w:pPr>
      <w:r>
        <w:rPr>
          <w:rFonts w:hint="eastAsia" w:ascii="宋体" w:hAnsi="宋体" w:eastAsia="宋体" w:cs="宋体"/>
          <w:color w:val="000000"/>
          <w:highlight w:val="none"/>
        </w:rPr>
        <w:t>4.1乙方应保证甲方在使用、接受本合同服务（包含与服务相关的货物）或其任何一部分时不受第三方提出侵犯其专利权、版权、商标权和工业设计权等知识产权的起诉。一旦出现侵权，由乙方负全部责任。</w:t>
      </w:r>
    </w:p>
    <w:p w14:paraId="4C21561E">
      <w:pPr>
        <w:pStyle w:val="12"/>
        <w:spacing w:before="120" w:beforeAutospacing="0" w:after="120" w:afterAutospacing="0"/>
        <w:jc w:val="both"/>
        <w:rPr>
          <w:highlight w:val="none"/>
        </w:rPr>
      </w:pPr>
      <w:r>
        <w:rPr>
          <w:rFonts w:hint="eastAsia" w:ascii="宋体" w:hAnsi="宋体" w:eastAsia="宋体" w:cs="宋体"/>
          <w:b/>
          <w:color w:val="000000"/>
          <w:highlight w:val="none"/>
        </w:rPr>
        <w:t>五、产权担保</w:t>
      </w:r>
    </w:p>
    <w:p w14:paraId="3562F63B">
      <w:pPr>
        <w:pStyle w:val="12"/>
        <w:spacing w:before="120" w:beforeAutospacing="0" w:after="120" w:afterAutospacing="0"/>
        <w:ind w:left="408" w:hanging="408"/>
        <w:jc w:val="both"/>
        <w:rPr>
          <w:highlight w:val="none"/>
        </w:rPr>
      </w:pPr>
      <w:r>
        <w:rPr>
          <w:rFonts w:hint="eastAsia" w:ascii="宋体" w:hAnsi="宋体" w:eastAsia="宋体" w:cs="宋体"/>
          <w:color w:val="000000"/>
          <w:highlight w:val="none"/>
        </w:rPr>
        <w:t>5.1乙方保证所交付的服务（包含与服务相关的货物）的所有权完全属于乙方且无任何抵押、查封等产权瑕疵。</w:t>
      </w:r>
    </w:p>
    <w:p w14:paraId="0C178AEC">
      <w:pPr>
        <w:pStyle w:val="12"/>
        <w:spacing w:before="120" w:beforeAutospacing="0" w:after="120" w:afterAutospacing="0"/>
        <w:ind w:left="410" w:hanging="410"/>
        <w:jc w:val="both"/>
        <w:rPr>
          <w:highlight w:val="none"/>
        </w:rPr>
      </w:pPr>
      <w:r>
        <w:rPr>
          <w:rFonts w:hint="eastAsia" w:ascii="宋体" w:hAnsi="宋体" w:eastAsia="宋体" w:cs="宋体"/>
          <w:b/>
          <w:color w:val="000000"/>
          <w:highlight w:val="none"/>
        </w:rPr>
        <w:t>六、履约保证金</w:t>
      </w:r>
    </w:p>
    <w:p w14:paraId="73380C95">
      <w:pPr>
        <w:pStyle w:val="12"/>
        <w:spacing w:before="120" w:beforeAutospacing="0" w:after="120" w:afterAutospacing="0"/>
        <w:jc w:val="both"/>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highlight w:val="none"/>
        </w:rPr>
        <w:t>6.1</w:t>
      </w:r>
      <w:r>
        <w:rPr>
          <w:rFonts w:hint="eastAsia" w:ascii="宋体" w:hAnsi="宋体" w:eastAsia="宋体" w:cs="宋体"/>
          <w:color w:val="000000"/>
          <w:highlight w:val="none"/>
          <w:lang w:val="en-US" w:eastAsia="zh-CN"/>
        </w:rPr>
        <w:t>本项目无需缴纳履约保证金</w:t>
      </w:r>
      <w:r>
        <w:rPr>
          <w:rFonts w:hint="eastAsia" w:ascii="宋体" w:hAnsi="宋体" w:eastAsia="宋体" w:cs="宋体"/>
          <w:color w:val="000000"/>
          <w:highlight w:val="none"/>
        </w:rPr>
        <w:t>。</w:t>
      </w:r>
    </w:p>
    <w:p w14:paraId="2C1FE8B3">
      <w:pPr>
        <w:pStyle w:val="12"/>
        <w:spacing w:before="145" w:beforeAutospacing="0" w:after="145" w:afterAutospacing="0"/>
        <w:jc w:val="both"/>
        <w:rPr>
          <w:highlight w:val="none"/>
        </w:rPr>
      </w:pPr>
      <w:r>
        <w:rPr>
          <w:rFonts w:hint="eastAsia" w:ascii="宋体" w:hAnsi="宋体" w:eastAsia="宋体" w:cs="宋体"/>
          <w:b/>
          <w:color w:val="000000"/>
          <w:highlight w:val="none"/>
        </w:rPr>
        <w:t>七、合同转包或分包</w:t>
      </w:r>
    </w:p>
    <w:p w14:paraId="17ECD1B9">
      <w:pPr>
        <w:pStyle w:val="12"/>
        <w:spacing w:before="145" w:beforeAutospacing="0" w:after="145" w:afterAutospacing="0"/>
        <w:jc w:val="both"/>
        <w:rPr>
          <w:highlight w:val="none"/>
        </w:rPr>
      </w:pPr>
      <w:r>
        <w:rPr>
          <w:rFonts w:hint="eastAsia" w:ascii="宋体" w:hAnsi="宋体" w:eastAsia="宋体" w:cs="宋体"/>
          <w:color w:val="000000"/>
          <w:highlight w:val="none"/>
        </w:rPr>
        <w:t>7.1乙方不得将合同标的转包给他人履行。</w:t>
      </w:r>
    </w:p>
    <w:p w14:paraId="7DAF23B3">
      <w:pPr>
        <w:pStyle w:val="12"/>
        <w:spacing w:before="145" w:beforeAutospacing="0" w:after="145" w:afterAutospacing="0"/>
        <w:jc w:val="both"/>
        <w:rPr>
          <w:highlight w:val="none"/>
        </w:rPr>
      </w:pPr>
      <w:r>
        <w:rPr>
          <w:rFonts w:hint="eastAsia" w:ascii="宋体" w:hAnsi="宋体" w:eastAsia="宋体" w:cs="宋体"/>
          <w:color w:val="000000"/>
          <w:highlight w:val="none"/>
        </w:rPr>
        <w:t>7.2乙方不得将合同标的分包给他人履行。</w:t>
      </w:r>
    </w:p>
    <w:p w14:paraId="73343F63">
      <w:pPr>
        <w:pStyle w:val="12"/>
        <w:spacing w:before="145" w:beforeAutospacing="0" w:after="145" w:afterAutospacing="0"/>
        <w:jc w:val="both"/>
        <w:rPr>
          <w:highlight w:val="none"/>
        </w:rPr>
      </w:pPr>
      <w:r>
        <w:rPr>
          <w:rFonts w:hint="eastAsia" w:ascii="宋体" w:hAnsi="宋体" w:eastAsia="宋体" w:cs="宋体"/>
          <w:color w:val="000000"/>
          <w:highlight w:val="none"/>
        </w:rPr>
        <w:t>7.3乙方如有转包或未经甲方同意的分包行为，甲方有权解除合同。</w:t>
      </w:r>
    </w:p>
    <w:p w14:paraId="0580E7CA">
      <w:pPr>
        <w:pStyle w:val="12"/>
        <w:spacing w:before="120" w:beforeAutospacing="0" w:after="120" w:afterAutospacing="0"/>
        <w:jc w:val="both"/>
        <w:rPr>
          <w:highlight w:val="none"/>
        </w:rPr>
      </w:pPr>
      <w:r>
        <w:rPr>
          <w:rFonts w:hint="eastAsia" w:ascii="宋体" w:hAnsi="宋体" w:eastAsia="宋体" w:cs="宋体"/>
          <w:b/>
          <w:color w:val="000000"/>
          <w:highlight w:val="none"/>
        </w:rPr>
        <w:t>八、合同款项支付</w:t>
      </w:r>
    </w:p>
    <w:p w14:paraId="29703BE3">
      <w:pPr>
        <w:pStyle w:val="12"/>
        <w:spacing w:before="120" w:beforeAutospacing="0" w:after="120" w:afterAutospacing="0"/>
        <w:jc w:val="both"/>
        <w:rPr>
          <w:highlight w:val="none"/>
        </w:rPr>
      </w:pPr>
      <w:r>
        <w:rPr>
          <w:rFonts w:hint="eastAsia" w:ascii="宋体" w:hAnsi="宋体" w:eastAsia="宋体" w:cs="宋体"/>
          <w:color w:val="000000"/>
          <w:highlight w:val="none"/>
        </w:rPr>
        <w:t>8.1合同款项的支付方式及进度安排</w:t>
      </w:r>
    </w:p>
    <w:p w14:paraId="5B07D7E9">
      <w:pPr>
        <w:pStyle w:val="12"/>
        <w:spacing w:before="120" w:beforeAutospacing="0" w:after="120" w:afterAutospacing="0"/>
        <w:jc w:val="both"/>
        <w:rPr>
          <w:highlight w:val="none"/>
          <w:u w:val="none"/>
        </w:rPr>
      </w:pPr>
      <w:r>
        <w:rPr>
          <w:rFonts w:hint="eastAsia" w:ascii="宋体" w:hAnsi="宋体" w:eastAsia="宋体" w:cs="宋体"/>
          <w:color w:val="000000"/>
          <w:highlight w:val="none"/>
          <w:u w:val="none"/>
        </w:rPr>
        <w:t>8.1.1 预付款</w:t>
      </w:r>
      <w:r>
        <w:rPr>
          <w:rFonts w:hint="eastAsia" w:ascii="宋体" w:hAnsi="宋体" w:eastAsia="宋体" w:cs="宋体"/>
          <w:color w:val="000000"/>
          <w:highlight w:val="none"/>
          <w:u w:val="none"/>
          <w:lang w:val="en-US" w:eastAsia="zh-CN"/>
        </w:rPr>
        <w:t xml:space="preserve">  </w:t>
      </w:r>
      <w:r>
        <w:rPr>
          <w:rFonts w:hint="eastAsia" w:ascii="宋体" w:hAnsi="宋体" w:eastAsia="宋体" w:cs="宋体"/>
          <w:color w:val="000000"/>
          <w:highlight w:val="none"/>
          <w:u w:val="none"/>
        </w:rPr>
        <w:t>支付时间：合</w:t>
      </w:r>
      <w:r>
        <w:rPr>
          <w:rFonts w:hint="eastAsia" w:ascii="宋体" w:hAnsi="宋体" w:eastAsia="宋体" w:cs="宋体"/>
          <w:color w:val="000000"/>
          <w:highlight w:val="none"/>
        </w:rPr>
        <w:t>同签订后</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采购人收到</w:t>
      </w:r>
      <w:r>
        <w:rPr>
          <w:rFonts w:hint="eastAsia" w:ascii="宋体" w:hAnsi="宋体" w:eastAsia="宋体" w:cs="宋体"/>
          <w:color w:val="000000"/>
          <w:highlight w:val="none"/>
          <w:lang w:eastAsia="zh-CN"/>
        </w:rPr>
        <w:t>预付款</w:t>
      </w:r>
      <w:r>
        <w:rPr>
          <w:rFonts w:hint="eastAsia" w:ascii="宋体" w:hAnsi="宋体" w:eastAsia="宋体" w:cs="宋体"/>
          <w:color w:val="000000"/>
          <w:highlight w:val="none"/>
        </w:rPr>
        <w:t>发票后10个工作日内，</w:t>
      </w:r>
      <w:r>
        <w:rPr>
          <w:rFonts w:hint="eastAsia" w:ascii="宋体" w:hAnsi="宋体" w:eastAsia="宋体" w:cs="宋体"/>
          <w:color w:val="000000"/>
          <w:highlight w:val="none"/>
          <w:u w:val="none"/>
        </w:rPr>
        <w:t>预付款支付比例：合同金额的</w:t>
      </w:r>
      <w:r>
        <w:rPr>
          <w:rFonts w:hint="eastAsia" w:ascii="宋体" w:hAnsi="宋体" w:eastAsia="宋体" w:cs="宋体"/>
          <w:color w:val="000000"/>
          <w:highlight w:val="none"/>
          <w:u w:val="none"/>
          <w:lang w:val="en-US" w:eastAsia="zh-CN"/>
        </w:rPr>
        <w:t>30</w:t>
      </w:r>
      <w:r>
        <w:rPr>
          <w:rFonts w:hint="eastAsia" w:ascii="宋体" w:hAnsi="宋体" w:eastAsia="宋体" w:cs="宋体"/>
          <w:color w:val="000000"/>
          <w:highlight w:val="none"/>
          <w:u w:val="none"/>
        </w:rPr>
        <w:t>%。</w:t>
      </w:r>
    </w:p>
    <w:p w14:paraId="222EFAB6">
      <w:pPr>
        <w:pStyle w:val="12"/>
        <w:spacing w:before="120" w:beforeAutospacing="0" w:after="120" w:afterAutospacing="0"/>
        <w:jc w:val="both"/>
        <w:rPr>
          <w:highlight w:val="none"/>
          <w:u w:val="none"/>
        </w:rPr>
      </w:pPr>
      <w:r>
        <w:rPr>
          <w:rFonts w:hint="eastAsia" w:ascii="宋体" w:hAnsi="宋体" w:eastAsia="宋体" w:cs="宋体"/>
          <w:color w:val="000000"/>
          <w:highlight w:val="none"/>
          <w:u w:val="none"/>
        </w:rPr>
        <w:t>8.1.2 尾款</w:t>
      </w:r>
      <w:r>
        <w:rPr>
          <w:rFonts w:hint="eastAsia" w:ascii="宋体" w:hAnsi="宋体" w:eastAsia="宋体" w:cs="宋体"/>
          <w:color w:val="000000"/>
          <w:highlight w:val="none"/>
          <w:u w:val="none"/>
          <w:lang w:val="en-US" w:eastAsia="zh-CN"/>
        </w:rPr>
        <w:t xml:space="preserve"> </w:t>
      </w:r>
      <w:r>
        <w:rPr>
          <w:rFonts w:hint="eastAsia" w:ascii="宋体" w:hAnsi="宋体" w:eastAsia="宋体" w:cs="宋体"/>
          <w:color w:val="000000"/>
          <w:highlight w:val="none"/>
          <w:u w:val="none"/>
        </w:rPr>
        <w:t>支付时间：第一年</w:t>
      </w:r>
      <w:r>
        <w:rPr>
          <w:rFonts w:hint="eastAsia" w:ascii="宋体" w:hAnsi="宋体" w:eastAsia="宋体" w:cs="宋体"/>
          <w:color w:val="000000"/>
          <w:highlight w:val="none"/>
          <w:u w:val="none"/>
          <w:lang w:val="en-US" w:eastAsia="zh-CN"/>
        </w:rPr>
        <w:t>付至中标价的</w:t>
      </w:r>
      <w:r>
        <w:rPr>
          <w:rFonts w:hint="eastAsia" w:ascii="宋体" w:hAnsi="宋体" w:eastAsia="宋体" w:cs="宋体"/>
          <w:color w:val="000000"/>
          <w:highlight w:val="none"/>
          <w:u w:val="none"/>
        </w:rPr>
        <w:t>百分之六十，第二年付至</w:t>
      </w:r>
      <w:r>
        <w:rPr>
          <w:rFonts w:hint="eastAsia" w:ascii="宋体" w:hAnsi="宋体" w:eastAsia="宋体" w:cs="宋体"/>
          <w:color w:val="000000"/>
          <w:highlight w:val="none"/>
          <w:u w:val="none"/>
          <w:lang w:val="en-US" w:eastAsia="zh-CN"/>
        </w:rPr>
        <w:t>中标价的</w:t>
      </w:r>
      <w:r>
        <w:rPr>
          <w:rFonts w:hint="eastAsia" w:ascii="宋体" w:hAnsi="宋体" w:eastAsia="宋体" w:cs="宋体"/>
          <w:color w:val="000000"/>
          <w:highlight w:val="none"/>
          <w:u w:val="none"/>
        </w:rPr>
        <w:t>百分之九十，剩余百分之十运维结束后付款。</w:t>
      </w:r>
    </w:p>
    <w:p w14:paraId="1D5E282D">
      <w:pPr>
        <w:pStyle w:val="12"/>
        <w:spacing w:before="145" w:beforeAutospacing="0" w:after="145" w:afterAutospacing="0"/>
        <w:jc w:val="both"/>
        <w:rPr>
          <w:highlight w:val="none"/>
        </w:rPr>
      </w:pPr>
      <w:r>
        <w:rPr>
          <w:rFonts w:hint="eastAsia" w:ascii="宋体" w:hAnsi="宋体" w:eastAsia="宋体" w:cs="宋体"/>
          <w:b/>
          <w:color w:val="000000"/>
          <w:highlight w:val="none"/>
        </w:rPr>
        <w:t>九、税费</w:t>
      </w:r>
    </w:p>
    <w:p w14:paraId="0C57AF98">
      <w:pPr>
        <w:pStyle w:val="12"/>
        <w:spacing w:before="145" w:beforeAutospacing="0" w:after="145" w:afterAutospacing="0"/>
        <w:jc w:val="both"/>
        <w:rPr>
          <w:highlight w:val="none"/>
        </w:rPr>
      </w:pPr>
      <w:r>
        <w:rPr>
          <w:rFonts w:hint="eastAsia" w:ascii="宋体" w:hAnsi="宋体" w:eastAsia="宋体" w:cs="宋体"/>
          <w:color w:val="000000"/>
          <w:highlight w:val="none"/>
        </w:rPr>
        <w:t>9.1本合同执行中相关的一切税费均由乙方负担。</w:t>
      </w:r>
    </w:p>
    <w:p w14:paraId="021C20B6">
      <w:pPr>
        <w:pStyle w:val="12"/>
        <w:spacing w:before="120" w:beforeAutospacing="0" w:after="120" w:afterAutospacing="0"/>
        <w:jc w:val="both"/>
        <w:rPr>
          <w:highlight w:val="none"/>
        </w:rPr>
      </w:pPr>
      <w:r>
        <w:rPr>
          <w:rFonts w:hint="eastAsia" w:ascii="宋体" w:hAnsi="宋体" w:eastAsia="宋体" w:cs="宋体"/>
          <w:b/>
          <w:color w:val="000000"/>
          <w:highlight w:val="none"/>
        </w:rPr>
        <w:t>十、项目验收</w:t>
      </w:r>
    </w:p>
    <w:p w14:paraId="7FAD089F">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10.1甲方依法组织履约验收工作。</w:t>
      </w:r>
    </w:p>
    <w:p w14:paraId="7F23E3B3">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B313459">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10.3对于实际使用人和甲方分离的项目，甲方邀请实际使用人参与验收。</w:t>
      </w:r>
    </w:p>
    <w:p w14:paraId="3147B13F">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10.4如有必要，甲方邀请参加本项目的其他供应商或第三方专业机构及专家参与验收，相关意见将作为验收书的参考资料。</w:t>
      </w:r>
    </w:p>
    <w:p w14:paraId="5D0BD947">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10.5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条件挂钩。履约验收的各项资料存档备查。</w:t>
      </w:r>
    </w:p>
    <w:p w14:paraId="3B8DE36C">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10.6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7EFA0C96">
      <w:pPr>
        <w:pStyle w:val="12"/>
        <w:spacing w:before="120" w:beforeAutospacing="0" w:after="120" w:afterAutospacing="0"/>
        <w:jc w:val="both"/>
        <w:rPr>
          <w:highlight w:val="none"/>
        </w:rPr>
      </w:pPr>
      <w:r>
        <w:rPr>
          <w:rFonts w:hint="eastAsia" w:ascii="宋体" w:hAnsi="宋体" w:eastAsia="宋体" w:cs="宋体"/>
          <w:b/>
          <w:color w:val="000000"/>
          <w:highlight w:val="none"/>
        </w:rPr>
        <w:t>十一、违约责任</w:t>
      </w:r>
    </w:p>
    <w:p w14:paraId="1AD49E32">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11.1甲方无正当理由拒绝接受乙方提供服务的，甲方向乙方偿付拒绝接受服务合同价款总值</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的违约金。</w:t>
      </w:r>
    </w:p>
    <w:p w14:paraId="0B4A3AEC">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11.2甲方无故逾期验收和办理合同款项支付手续的,甲方应按逾期付款总额</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每日向乙方支付违约金。</w:t>
      </w:r>
    </w:p>
    <w:p w14:paraId="0CE9C86A">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11.3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的违约金，如造成甲方损失超过违约金的，超出部分由乙方继续承担赔偿责任。 </w:t>
      </w:r>
    </w:p>
    <w:p w14:paraId="0E23A18B">
      <w:pPr>
        <w:pStyle w:val="12"/>
        <w:spacing w:before="120" w:beforeAutospacing="0" w:after="120" w:afterAutospacing="0"/>
        <w:ind w:left="410" w:hanging="410"/>
        <w:jc w:val="both"/>
        <w:rPr>
          <w:highlight w:val="none"/>
        </w:rPr>
      </w:pPr>
      <w:r>
        <w:rPr>
          <w:rFonts w:hint="eastAsia" w:ascii="宋体" w:hAnsi="宋体" w:eastAsia="宋体" w:cs="宋体"/>
          <w:color w:val="000000"/>
          <w:highlight w:val="none"/>
        </w:rPr>
        <w:t>11.4乙方所提供服务的标准不符合合同规定及招标文件规定标准的，甲方有权拒绝接受服务，并可单方面解除合同。</w:t>
      </w:r>
    </w:p>
    <w:p w14:paraId="0B9CBB42">
      <w:pPr>
        <w:pStyle w:val="12"/>
        <w:spacing w:before="120" w:beforeAutospacing="0" w:after="120" w:afterAutospacing="0"/>
        <w:jc w:val="both"/>
        <w:rPr>
          <w:highlight w:val="none"/>
        </w:rPr>
      </w:pPr>
      <w:r>
        <w:rPr>
          <w:rFonts w:hint="eastAsia" w:ascii="宋体" w:hAnsi="宋体" w:eastAsia="宋体" w:cs="宋体"/>
          <w:b/>
          <w:color w:val="000000"/>
          <w:highlight w:val="none"/>
        </w:rPr>
        <w:t>十二、不可抗力事件处理</w:t>
      </w:r>
    </w:p>
    <w:p w14:paraId="4B55B91E">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12.1在合同有效期内，任何一方因不可抗力事件导致不能履行合同，则合同履行期可延长，其延长期与不可抗力影响 期相同。</w:t>
      </w:r>
    </w:p>
    <w:p w14:paraId="3C7E135C">
      <w:pPr>
        <w:pStyle w:val="12"/>
        <w:spacing w:before="120" w:beforeAutospacing="0" w:after="120" w:afterAutospacing="0"/>
        <w:jc w:val="both"/>
        <w:rPr>
          <w:highlight w:val="none"/>
        </w:rPr>
      </w:pPr>
      <w:r>
        <w:rPr>
          <w:rFonts w:hint="eastAsia" w:ascii="宋体" w:hAnsi="宋体" w:eastAsia="宋体" w:cs="宋体"/>
          <w:color w:val="000000"/>
          <w:highlight w:val="none"/>
        </w:rPr>
        <w:t>12.2不可抗力事件发生后，应立即通知对方，并寄送有关权威机构出具的证明。</w:t>
      </w:r>
    </w:p>
    <w:p w14:paraId="16E20FED">
      <w:pPr>
        <w:pStyle w:val="12"/>
        <w:spacing w:before="120" w:beforeAutospacing="0" w:after="120" w:afterAutospacing="0"/>
        <w:jc w:val="both"/>
        <w:rPr>
          <w:highlight w:val="none"/>
        </w:rPr>
      </w:pPr>
      <w:r>
        <w:rPr>
          <w:rFonts w:hint="eastAsia" w:ascii="宋体" w:hAnsi="宋体" w:eastAsia="宋体" w:cs="宋体"/>
          <w:color w:val="000000"/>
          <w:highlight w:val="none"/>
        </w:rPr>
        <w:t>12.3不可抗力事件延续120天以上，双方应通过友好协商，确定是否继续履行合同。</w:t>
      </w:r>
    </w:p>
    <w:p w14:paraId="41CC57DE">
      <w:pPr>
        <w:pStyle w:val="12"/>
        <w:spacing w:before="120" w:beforeAutospacing="0" w:after="120" w:afterAutospacing="0"/>
        <w:jc w:val="both"/>
        <w:rPr>
          <w:highlight w:val="none"/>
        </w:rPr>
      </w:pPr>
      <w:r>
        <w:rPr>
          <w:rFonts w:hint="eastAsia" w:ascii="宋体" w:hAnsi="宋体" w:eastAsia="宋体" w:cs="宋体"/>
          <w:b/>
          <w:color w:val="000000"/>
          <w:highlight w:val="none"/>
        </w:rPr>
        <w:t>十三、解决争议的方法</w:t>
      </w:r>
    </w:p>
    <w:p w14:paraId="26B52509">
      <w:pPr>
        <w:pStyle w:val="12"/>
        <w:spacing w:before="120" w:beforeAutospacing="0" w:after="120" w:afterAutospacing="0"/>
        <w:jc w:val="both"/>
        <w:rPr>
          <w:highlight w:val="none"/>
        </w:rPr>
      </w:pPr>
      <w:r>
        <w:rPr>
          <w:rFonts w:hint="eastAsia" w:ascii="宋体" w:hAnsi="宋体" w:eastAsia="宋体" w:cs="宋体"/>
          <w:color w:val="000000"/>
          <w:highlight w:val="none"/>
        </w:rPr>
        <w:t>13.1双方在签订、履行合同中所发生的一切争议，应通过友好协商解决。如协商不成，由甲方住所地人民法院管辖。</w:t>
      </w:r>
    </w:p>
    <w:p w14:paraId="4AADB7D2">
      <w:pPr>
        <w:pStyle w:val="12"/>
        <w:spacing w:before="120" w:beforeAutospacing="0" w:after="120" w:afterAutospacing="0"/>
        <w:jc w:val="both"/>
        <w:rPr>
          <w:highlight w:val="none"/>
        </w:rPr>
      </w:pPr>
      <w:r>
        <w:rPr>
          <w:rFonts w:hint="eastAsia" w:ascii="宋体" w:hAnsi="宋体" w:eastAsia="宋体" w:cs="宋体"/>
          <w:b/>
          <w:color w:val="000000"/>
          <w:highlight w:val="none"/>
        </w:rPr>
        <w:t>十四、合同生效及其它</w:t>
      </w:r>
    </w:p>
    <w:p w14:paraId="340ECF99">
      <w:pPr>
        <w:pStyle w:val="12"/>
        <w:spacing w:before="120" w:beforeAutospacing="0" w:after="120" w:afterAutospacing="0"/>
        <w:jc w:val="both"/>
        <w:rPr>
          <w:highlight w:val="none"/>
        </w:rPr>
      </w:pPr>
      <w:r>
        <w:rPr>
          <w:rFonts w:hint="eastAsia" w:ascii="宋体" w:hAnsi="宋体" w:eastAsia="宋体" w:cs="宋体"/>
          <w:color w:val="000000"/>
          <w:highlight w:val="none"/>
        </w:rPr>
        <w:t>14.1合同经双方法定代表人或授权委托代表人签字并加盖单位公章后生效。</w:t>
      </w:r>
    </w:p>
    <w:p w14:paraId="6F431B5E">
      <w:pPr>
        <w:pStyle w:val="12"/>
        <w:spacing w:before="120" w:beforeAutospacing="0" w:after="120" w:afterAutospacing="0"/>
        <w:jc w:val="both"/>
        <w:rPr>
          <w:highlight w:val="none"/>
        </w:rPr>
      </w:pPr>
      <w:r>
        <w:rPr>
          <w:rFonts w:hint="eastAsia" w:ascii="宋体" w:hAnsi="宋体" w:eastAsia="宋体" w:cs="宋体"/>
          <w:color w:val="000000"/>
          <w:highlight w:val="none"/>
        </w:rPr>
        <w:t>14.2本合同未尽事宜，遵照《民法典》、《政府采购法》有关条文执行。</w:t>
      </w:r>
    </w:p>
    <w:p w14:paraId="5589750B">
      <w:pPr>
        <w:pStyle w:val="12"/>
        <w:spacing w:before="120" w:beforeAutospacing="0" w:after="120" w:afterAutospacing="0"/>
        <w:ind w:left="480" w:hanging="480"/>
        <w:jc w:val="both"/>
        <w:rPr>
          <w:highlight w:val="none"/>
        </w:rPr>
      </w:pPr>
      <w:r>
        <w:rPr>
          <w:rFonts w:hint="eastAsia" w:ascii="宋体" w:hAnsi="宋体" w:eastAsia="宋体" w:cs="宋体"/>
          <w:color w:val="000000"/>
          <w:highlight w:val="none"/>
        </w:rPr>
        <w:t>14.3 本合同正本一式两份，具有同等法律效力，甲方、乙方各执一份。</w:t>
      </w:r>
    </w:p>
    <w:p w14:paraId="552B2431">
      <w:pPr>
        <w:pStyle w:val="12"/>
        <w:spacing w:before="120" w:beforeAutospacing="0" w:after="120" w:afterAutospacing="0" w:line="0" w:lineRule="atLeast"/>
        <w:ind w:left="480" w:hanging="480"/>
        <w:jc w:val="both"/>
        <w:rPr>
          <w:highlight w:val="none"/>
        </w:rPr>
      </w:pPr>
      <w:r>
        <w:rPr>
          <w:rFonts w:hint="eastAsia" w:ascii="宋体" w:hAnsi="宋体" w:eastAsia="宋体" w:cs="宋体"/>
          <w:color w:val="000000"/>
          <w:highlight w:val="none"/>
        </w:rPr>
        <w:t xml:space="preserve">  甲方：                        乙方： </w:t>
      </w:r>
    </w:p>
    <w:p w14:paraId="50C9D85B">
      <w:pPr>
        <w:pStyle w:val="12"/>
        <w:spacing w:before="120" w:beforeAutospacing="0" w:after="120" w:afterAutospacing="0" w:line="0" w:lineRule="atLeast"/>
        <w:jc w:val="both"/>
        <w:rPr>
          <w:highlight w:val="none"/>
        </w:rPr>
      </w:pPr>
      <w:r>
        <w:rPr>
          <w:rFonts w:hint="eastAsia" w:ascii="宋体" w:hAnsi="宋体" w:eastAsia="宋体" w:cs="宋体"/>
          <w:color w:val="000000"/>
          <w:highlight w:val="none"/>
        </w:rPr>
        <w:t xml:space="preserve">  地址：                        地址： </w:t>
      </w:r>
    </w:p>
    <w:p w14:paraId="6A43F556">
      <w:pPr>
        <w:pStyle w:val="12"/>
        <w:spacing w:before="120" w:beforeAutospacing="0" w:after="120" w:afterAutospacing="0" w:line="0" w:lineRule="atLeast"/>
        <w:jc w:val="both"/>
        <w:rPr>
          <w:highlight w:val="none"/>
        </w:rPr>
      </w:pPr>
      <w:r>
        <w:rPr>
          <w:rFonts w:hint="eastAsia" w:ascii="宋体" w:hAnsi="宋体" w:eastAsia="宋体" w:cs="宋体"/>
          <w:color w:val="000000"/>
          <w:highlight w:val="none"/>
        </w:rPr>
        <w:t>  法定代表人或授权代表：        法定代表人或授权代表：</w:t>
      </w:r>
    </w:p>
    <w:p w14:paraId="261ED03B">
      <w:pPr>
        <w:pStyle w:val="12"/>
        <w:spacing w:before="120" w:beforeAutospacing="0" w:after="120" w:afterAutospacing="0" w:line="0" w:lineRule="atLeast"/>
        <w:ind w:firstLine="240"/>
        <w:jc w:val="both"/>
        <w:rPr>
          <w:highlight w:val="none"/>
        </w:rPr>
      </w:pPr>
      <w:r>
        <w:rPr>
          <w:rFonts w:hint="eastAsia" w:ascii="宋体" w:hAnsi="宋体" w:eastAsia="宋体" w:cs="宋体"/>
          <w:color w:val="000000"/>
          <w:highlight w:val="none"/>
        </w:rPr>
        <w:t xml:space="preserve">联系电话：                    联系电话：          </w:t>
      </w:r>
    </w:p>
    <w:p w14:paraId="15AF93E9">
      <w:pPr>
        <w:pStyle w:val="12"/>
        <w:spacing w:before="120" w:beforeAutospacing="0" w:after="120" w:afterAutospacing="0" w:line="0" w:lineRule="atLeast"/>
        <w:jc w:val="center"/>
        <w:rPr>
          <w:highlight w:val="none"/>
        </w:rPr>
      </w:pPr>
      <w:r>
        <w:rPr>
          <w:rFonts w:hint="eastAsia" w:ascii="宋体" w:hAnsi="宋体" w:eastAsia="宋体" w:cs="宋体"/>
          <w:color w:val="000000"/>
          <w:sz w:val="21"/>
          <w:szCs w:val="21"/>
          <w:highlight w:val="none"/>
        </w:rPr>
        <w:t>                                          签订日期：      年    月   日</w:t>
      </w:r>
      <w:bookmarkStart w:id="179" w:name="_Toc479757211"/>
      <w:bookmarkStart w:id="180" w:name="_Toc20823346"/>
      <w:bookmarkStart w:id="181" w:name="_Toc16938590"/>
      <w:bookmarkStart w:id="182" w:name="_Hlt16619350"/>
      <w:bookmarkStart w:id="183" w:name="_Toc462564139"/>
      <w:bookmarkStart w:id="184" w:name="_Toc120614244"/>
      <w:bookmarkStart w:id="185" w:name="_Hlt16619369"/>
      <w:r>
        <w:rPr>
          <w:rFonts w:hint="eastAsia" w:ascii="黑体" w:hAnsi="宋体" w:eastAsia="黑体" w:cs="黑体"/>
          <w:color w:val="000000"/>
          <w:sz w:val="44"/>
          <w:szCs w:val="44"/>
          <w:highlight w:val="none"/>
        </w:rPr>
        <w:br w:type="page"/>
      </w:r>
      <w:r>
        <w:rPr>
          <w:rFonts w:hint="eastAsia" w:ascii="黑体" w:hAnsi="宋体" w:eastAsia="黑体" w:cs="黑体"/>
          <w:color w:val="000000"/>
          <w:sz w:val="44"/>
          <w:szCs w:val="44"/>
          <w:highlight w:val="none"/>
        </w:rPr>
        <w:t> 第</w:t>
      </w:r>
      <w:bookmarkEnd w:id="179"/>
      <w:r>
        <w:rPr>
          <w:rFonts w:hint="eastAsia" w:ascii="黑体" w:hAnsi="宋体" w:eastAsia="黑体" w:cs="黑体"/>
          <w:color w:val="000000"/>
          <w:sz w:val="44"/>
          <w:szCs w:val="44"/>
          <w:highlight w:val="none"/>
        </w:rPr>
        <w:t>四章 采购需求</w:t>
      </w:r>
      <w:bookmarkEnd w:id="180"/>
      <w:bookmarkEnd w:id="181"/>
      <w:bookmarkEnd w:id="182"/>
      <w:bookmarkEnd w:id="183"/>
      <w:bookmarkEnd w:id="184"/>
    </w:p>
    <w:p w14:paraId="7D1A8163">
      <w:pPr>
        <w:spacing w:line="360" w:lineRule="auto"/>
        <w:rPr>
          <w:rFonts w:ascii="宋体" w:hAnsi="宋体" w:cs="宋体"/>
          <w:b/>
          <w:bCs/>
          <w:sz w:val="32"/>
          <w:szCs w:val="32"/>
          <w:highlight w:val="none"/>
        </w:rPr>
      </w:pPr>
      <w:bookmarkStart w:id="186" w:name="_Toc49090575"/>
      <w:bookmarkStart w:id="187" w:name="_Toc26554093"/>
      <w:r>
        <w:rPr>
          <w:rFonts w:hint="eastAsia" w:ascii="宋体" w:hAnsi="宋体" w:eastAsia="宋体" w:cs="宋体"/>
          <w:color w:val="000000"/>
          <w:highlight w:val="none"/>
        </w:rPr>
        <w:t>项目属性:服务类项目。</w:t>
      </w:r>
      <w:bookmarkEnd w:id="186"/>
      <w:bookmarkEnd w:id="187"/>
      <w:r>
        <w:rPr>
          <w:highlight w:val="none"/>
        </w:rPr>
        <w:t> </w:t>
      </w:r>
      <w:r>
        <w:rPr>
          <w:highlight w:val="none"/>
        </w:rPr>
        <w:br w:type="textWrapping"/>
      </w:r>
      <w:r>
        <w:rPr>
          <w:rFonts w:hint="eastAsia" w:ascii="宋体" w:hAnsi="宋体" w:cs="宋体"/>
          <w:b/>
          <w:bCs/>
          <w:sz w:val="32"/>
          <w:szCs w:val="32"/>
          <w:highlight w:val="none"/>
        </w:rPr>
        <w:t>一、项目概况</w:t>
      </w:r>
    </w:p>
    <w:p w14:paraId="6116B441">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 xml:space="preserve">1.响水经济开发区环境在线监测站2024-2026年度设备运维，运营、维护环境监测设备及监测数据对比工作。同时根据监测数据情况结合化工园区实际情况利用信息化手段辅助园区开展污染溯源工作，协助园区开展环境应急工作。设备明细如下：常规空气站2座、挥发性有机物2座、环境空气微型站39座。 </w:t>
      </w:r>
    </w:p>
    <w:p w14:paraId="6805B311">
      <w:pPr>
        <w:pStyle w:val="8"/>
        <w:spacing w:line="360" w:lineRule="auto"/>
        <w:ind w:firstLine="240" w:firstLineChars="100"/>
        <w:jc w:val="left"/>
        <w:rPr>
          <w:rFonts w:hint="default" w:ascii="宋体" w:hAnsi="宋体" w:eastAsia="宋体" w:cs="宋体"/>
          <w:b w:val="0"/>
          <w:bCs w:val="0"/>
          <w:color w:val="auto"/>
          <w:sz w:val="24"/>
          <w:szCs w:val="21"/>
          <w:highlight w:val="none"/>
          <w:lang w:val="en-US" w:eastAsia="zh-CN"/>
        </w:rPr>
      </w:pPr>
      <w:r>
        <w:rPr>
          <w:rFonts w:hint="default" w:ascii="宋体" w:hAnsi="宋体" w:eastAsia="宋体" w:cs="宋体"/>
          <w:b w:val="0"/>
          <w:bCs w:val="0"/>
          <w:color w:val="auto"/>
          <w:sz w:val="24"/>
          <w:szCs w:val="21"/>
          <w:highlight w:val="none"/>
          <w:lang w:val="en-US" w:eastAsia="zh-CN"/>
        </w:rPr>
        <w:t>2．本项目采购内容主要包含</w:t>
      </w:r>
      <w:r>
        <w:rPr>
          <w:rFonts w:hint="eastAsia" w:ascii="宋体" w:hAnsi="宋体" w:eastAsia="宋体" w:cs="宋体"/>
          <w:b w:val="0"/>
          <w:bCs w:val="0"/>
          <w:color w:val="auto"/>
          <w:sz w:val="24"/>
          <w:szCs w:val="21"/>
          <w:highlight w:val="none"/>
          <w:lang w:val="en-US" w:eastAsia="zh-CN"/>
        </w:rPr>
        <w:t>设备明细如下：常规空气站2座、挥发性有机物VOC2座、环境空气微型站39座</w:t>
      </w:r>
      <w:r>
        <w:rPr>
          <w:rFonts w:hint="default" w:ascii="宋体" w:hAnsi="宋体" w:eastAsia="宋体" w:cs="宋体"/>
          <w:b w:val="0"/>
          <w:bCs w:val="0"/>
          <w:color w:val="auto"/>
          <w:sz w:val="24"/>
          <w:szCs w:val="21"/>
          <w:highlight w:val="none"/>
          <w:lang w:val="en-US" w:eastAsia="zh-CN"/>
        </w:rPr>
        <w:t>。</w:t>
      </w:r>
    </w:p>
    <w:p w14:paraId="4E15CD74">
      <w:pPr>
        <w:pStyle w:val="8"/>
        <w:spacing w:line="360" w:lineRule="auto"/>
        <w:ind w:firstLine="240" w:firstLineChars="100"/>
        <w:jc w:val="left"/>
        <w:rPr>
          <w:rFonts w:hint="default" w:ascii="宋体" w:hAnsi="宋体" w:eastAsia="宋体" w:cs="宋体"/>
          <w:b w:val="0"/>
          <w:bCs w:val="0"/>
          <w:color w:val="auto"/>
          <w:sz w:val="24"/>
          <w:szCs w:val="21"/>
          <w:highlight w:val="none"/>
          <w:lang w:val="en-US" w:eastAsia="zh-CN"/>
        </w:rPr>
      </w:pPr>
      <w:r>
        <w:rPr>
          <w:rFonts w:hint="default" w:ascii="宋体" w:hAnsi="宋体" w:eastAsia="宋体" w:cs="宋体"/>
          <w:b w:val="0"/>
          <w:bCs w:val="0"/>
          <w:color w:val="auto"/>
          <w:sz w:val="24"/>
          <w:szCs w:val="21"/>
          <w:highlight w:val="none"/>
          <w:lang w:val="en-US" w:eastAsia="zh-CN"/>
        </w:rPr>
        <w:t>3.中标人负责上述所有设备设施的日常保养、维修维护、设备耗材、零部件更换等。以及所有设施维护维修保养。</w:t>
      </w:r>
    </w:p>
    <w:p w14:paraId="3B0E60BC">
      <w:pPr>
        <w:spacing w:line="360" w:lineRule="auto"/>
        <w:ind w:firstLine="480" w:firstLineChars="200"/>
        <w:rPr>
          <w:rFonts w:hint="eastAsia" w:ascii="宋体" w:hAnsi="宋体" w:eastAsia="宋体" w:cs="宋体"/>
          <w:b/>
          <w:bCs/>
          <w:sz w:val="32"/>
          <w:szCs w:val="32"/>
          <w:highlight w:val="none"/>
          <w:lang w:val="en-US" w:eastAsia="zh-CN"/>
        </w:rPr>
      </w:pPr>
      <w:r>
        <w:rPr>
          <w:rFonts w:hint="default" w:ascii="宋体" w:hAnsi="宋体" w:eastAsia="宋体" w:cs="宋体"/>
          <w:b w:val="0"/>
          <w:bCs w:val="0"/>
          <w:color w:val="auto"/>
          <w:sz w:val="24"/>
          <w:szCs w:val="21"/>
          <w:highlight w:val="none"/>
          <w:lang w:val="en-US" w:eastAsia="zh-CN"/>
        </w:rPr>
        <w:t>4.运维服务期：</w:t>
      </w:r>
      <w:r>
        <w:rPr>
          <w:rFonts w:hint="eastAsia" w:ascii="宋体" w:hAnsi="宋体" w:eastAsia="宋体" w:cs="宋体"/>
          <w:b w:val="0"/>
          <w:bCs w:val="0"/>
          <w:color w:val="auto"/>
          <w:sz w:val="24"/>
          <w:szCs w:val="21"/>
          <w:highlight w:val="none"/>
          <w:lang w:val="en-US" w:eastAsia="zh-CN"/>
        </w:rPr>
        <w:t>2</w:t>
      </w:r>
      <w:r>
        <w:rPr>
          <w:rFonts w:hint="default" w:ascii="宋体" w:hAnsi="宋体" w:eastAsia="宋体" w:cs="宋体"/>
          <w:b w:val="0"/>
          <w:bCs w:val="0"/>
          <w:color w:val="auto"/>
          <w:sz w:val="24"/>
          <w:szCs w:val="21"/>
          <w:highlight w:val="none"/>
          <w:lang w:val="en-US" w:eastAsia="zh-CN"/>
        </w:rPr>
        <w:t>年</w:t>
      </w:r>
      <w:r>
        <w:rPr>
          <w:rFonts w:hint="default" w:ascii="宋体" w:hAnsi="宋体" w:eastAsia="宋体" w:cs="宋体"/>
          <w:b w:val="0"/>
          <w:bCs w:val="0"/>
          <w:color w:val="auto"/>
          <w:sz w:val="24"/>
          <w:szCs w:val="21"/>
          <w:highlight w:val="none"/>
          <w:lang w:val="en-US" w:eastAsia="zh-CN"/>
        </w:rPr>
        <w:br w:type="textWrapping"/>
      </w:r>
      <w:r>
        <w:rPr>
          <w:rFonts w:hint="eastAsia" w:ascii="宋体" w:hAnsi="宋体" w:eastAsia="宋体" w:cs="宋体"/>
          <w:b/>
          <w:bCs/>
          <w:sz w:val="32"/>
          <w:szCs w:val="32"/>
          <w:highlight w:val="none"/>
          <w:lang w:val="en-US" w:eastAsia="zh-CN"/>
        </w:rPr>
        <w:t>二、服务技术要求</w:t>
      </w:r>
    </w:p>
    <w:p w14:paraId="1FAF2394">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1、运行维护主要依据：根据规范、规定要求进行子站仪器的单点和多点校标、流量校准、采样管道清洗、仪器保养与维护等工作。</w:t>
      </w:r>
    </w:p>
    <w:p w14:paraId="0A8B49BA">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2、系统运营维护总体目标：除校准、停电、维护保养等工作外，以及不可抗拒力因素造成数据缺失不计入内，仪器24小时正常开机，正常运行时间占总运行时间的85%以上；基本保证系统各子站分布均匀的有效日均监测数据在监控中心平台上数据获取率达到全年的85%以上。定期按照监测规范和规程对仪器设备进行校准，确保上传的数据准确有效。</w:t>
      </w:r>
      <w:bookmarkStart w:id="188" w:name="_Toc1956"/>
    </w:p>
    <w:p w14:paraId="1FC8E196">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3、人员、车辆、设备配备要求：</w:t>
      </w:r>
      <w:bookmarkEnd w:id="188"/>
    </w:p>
    <w:p w14:paraId="172F992C">
      <w:pPr>
        <w:pStyle w:val="8"/>
        <w:spacing w:line="360" w:lineRule="auto"/>
        <w:ind w:firstLine="240" w:firstLineChars="100"/>
        <w:jc w:val="left"/>
        <w:rPr>
          <w:rFonts w:hint="eastAsia" w:ascii="宋体" w:hAnsi="宋体" w:eastAsia="宋体" w:cs="宋体"/>
          <w:b w:val="0"/>
          <w:bCs w:val="0"/>
          <w:i/>
          <w:iCs/>
          <w:color w:val="auto"/>
          <w:sz w:val="24"/>
          <w:szCs w:val="21"/>
          <w:highlight w:val="none"/>
          <w:u w:val="single"/>
          <w:lang w:val="en-US" w:eastAsia="zh-CN"/>
        </w:rPr>
      </w:pPr>
      <w:r>
        <w:rPr>
          <w:rFonts w:hint="eastAsia" w:ascii="宋体" w:hAnsi="宋体" w:eastAsia="宋体" w:cs="宋体"/>
          <w:b w:val="0"/>
          <w:bCs w:val="0"/>
          <w:i/>
          <w:iCs/>
          <w:color w:val="auto"/>
          <w:sz w:val="24"/>
          <w:szCs w:val="21"/>
          <w:highlight w:val="none"/>
          <w:u w:val="single"/>
          <w:lang w:val="en-US" w:eastAsia="zh-CN"/>
        </w:rPr>
        <w:t>★(1) 人员：运维单位须为本项目配置至少4名人员，具体要求如下：</w:t>
      </w:r>
    </w:p>
    <w:p w14:paraId="6EFF37DD">
      <w:pPr>
        <w:pStyle w:val="8"/>
        <w:spacing w:line="360" w:lineRule="auto"/>
        <w:ind w:firstLine="240" w:firstLineChars="100"/>
        <w:jc w:val="left"/>
        <w:rPr>
          <w:rFonts w:hint="eastAsia" w:ascii="宋体" w:hAnsi="宋体" w:eastAsia="宋体" w:cs="宋体"/>
          <w:b w:val="0"/>
          <w:bCs w:val="0"/>
          <w:i/>
          <w:iCs/>
          <w:color w:val="auto"/>
          <w:sz w:val="24"/>
          <w:szCs w:val="21"/>
          <w:highlight w:val="none"/>
          <w:u w:val="single"/>
          <w:lang w:val="en-US" w:eastAsia="zh-CN"/>
        </w:rPr>
      </w:pPr>
      <w:r>
        <w:rPr>
          <w:rFonts w:hint="eastAsia" w:ascii="宋体" w:hAnsi="宋体" w:eastAsia="宋体" w:cs="宋体"/>
          <w:b w:val="0"/>
          <w:bCs w:val="0"/>
          <w:i/>
          <w:iCs/>
          <w:color w:val="auto"/>
          <w:sz w:val="24"/>
          <w:szCs w:val="21"/>
          <w:highlight w:val="none"/>
          <w:u w:val="single"/>
          <w:lang w:val="en-US" w:eastAsia="zh-CN"/>
        </w:rPr>
        <w:t>项目经理1人，为本项目负责人；</w:t>
      </w:r>
    </w:p>
    <w:p w14:paraId="3BE93214">
      <w:pPr>
        <w:pStyle w:val="8"/>
        <w:spacing w:line="360" w:lineRule="auto"/>
        <w:ind w:firstLine="240" w:firstLineChars="100"/>
        <w:jc w:val="left"/>
        <w:rPr>
          <w:rFonts w:hint="eastAsia" w:ascii="宋体" w:hAnsi="宋体" w:eastAsia="宋体" w:cs="宋体"/>
          <w:b w:val="0"/>
          <w:bCs w:val="0"/>
          <w:i/>
          <w:iCs/>
          <w:color w:val="auto"/>
          <w:sz w:val="24"/>
          <w:szCs w:val="21"/>
          <w:highlight w:val="none"/>
          <w:u w:val="single"/>
          <w:lang w:val="en-US" w:eastAsia="zh-CN"/>
        </w:rPr>
      </w:pPr>
      <w:r>
        <w:rPr>
          <w:rFonts w:hint="eastAsia" w:ascii="宋体" w:hAnsi="宋体" w:eastAsia="宋体" w:cs="宋体"/>
          <w:b w:val="0"/>
          <w:bCs w:val="0"/>
          <w:i/>
          <w:iCs/>
          <w:color w:val="auto"/>
          <w:sz w:val="24"/>
          <w:szCs w:val="21"/>
          <w:highlight w:val="none"/>
          <w:u w:val="single"/>
          <w:lang w:val="en-US" w:eastAsia="zh-CN"/>
        </w:rPr>
        <w:t>大气运维人员2人；</w:t>
      </w:r>
    </w:p>
    <w:p w14:paraId="14BB8385">
      <w:pPr>
        <w:pStyle w:val="8"/>
        <w:spacing w:line="360" w:lineRule="auto"/>
        <w:ind w:firstLine="240" w:firstLineChars="100"/>
        <w:jc w:val="left"/>
        <w:rPr>
          <w:rFonts w:hint="eastAsia" w:ascii="宋体" w:hAnsi="宋体" w:eastAsia="宋体" w:cs="宋体"/>
          <w:b w:val="0"/>
          <w:bCs w:val="0"/>
          <w:i/>
          <w:iCs/>
          <w:color w:val="auto"/>
          <w:sz w:val="24"/>
          <w:szCs w:val="21"/>
          <w:highlight w:val="none"/>
          <w:u w:val="single"/>
          <w:lang w:val="en-US" w:eastAsia="zh-CN"/>
        </w:rPr>
      </w:pPr>
      <w:r>
        <w:rPr>
          <w:rFonts w:hint="eastAsia" w:ascii="宋体" w:hAnsi="宋体" w:eastAsia="宋体" w:cs="宋体"/>
          <w:b w:val="0"/>
          <w:bCs w:val="0"/>
          <w:i/>
          <w:iCs/>
          <w:color w:val="auto"/>
          <w:sz w:val="24"/>
          <w:szCs w:val="21"/>
          <w:highlight w:val="none"/>
          <w:u w:val="single"/>
          <w:lang w:val="en-US" w:eastAsia="zh-CN"/>
        </w:rPr>
        <w:t>数据审核及分析人员1人，协助业主参与园区平台日常运维。</w:t>
      </w:r>
    </w:p>
    <w:p w14:paraId="5237C2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i/>
          <w:iCs/>
          <w:color w:val="auto"/>
          <w:sz w:val="24"/>
          <w:szCs w:val="21"/>
          <w:highlight w:val="none"/>
          <w:u w:val="single"/>
          <w:lang w:val="en-US" w:eastAsia="zh-CN"/>
        </w:rPr>
      </w:pPr>
      <w:r>
        <w:rPr>
          <w:rFonts w:hint="eastAsia" w:ascii="宋体" w:hAnsi="宋体" w:eastAsia="宋体" w:cs="宋体"/>
          <w:b w:val="0"/>
          <w:bCs w:val="0"/>
          <w:i/>
          <w:iCs/>
          <w:color w:val="auto"/>
          <w:sz w:val="24"/>
          <w:szCs w:val="21"/>
          <w:highlight w:val="none"/>
          <w:u w:val="single"/>
          <w:lang w:val="en-US" w:eastAsia="zh-CN"/>
        </w:rPr>
        <w:t xml:space="preserve"> ★（2）车辆：运维单位须为本项目配备专车用于日常巡检，应保证配备的专用巡检车辆数量不少于2辆，提供行驶证（行驶证名称须为投标人）或中标后提供租赁合同。</w:t>
      </w:r>
    </w:p>
    <w:p w14:paraId="48E4F5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trike w:val="0"/>
          <w:dstrike w:val="0"/>
          <w:kern w:val="2"/>
          <w:sz w:val="24"/>
          <w:szCs w:val="24"/>
          <w:highlight w:val="none"/>
          <w:lang w:val="en-US" w:eastAsia="zh-CN" w:bidi="ar-SA"/>
        </w:rPr>
      </w:pPr>
      <w:r>
        <w:rPr>
          <w:rFonts w:hint="eastAsia" w:ascii="宋体" w:hAnsi="宋体" w:eastAsia="宋体" w:cs="宋体"/>
          <w:b/>
          <w:bCs/>
          <w:strike w:val="0"/>
          <w:dstrike w:val="0"/>
          <w:kern w:val="2"/>
          <w:sz w:val="24"/>
          <w:szCs w:val="24"/>
          <w:highlight w:val="none"/>
          <w:lang w:val="en-US" w:eastAsia="zh-CN" w:bidi="ar-SA"/>
        </w:rPr>
        <w:t>(3) 设备配备：</w:t>
      </w:r>
    </w:p>
    <w:p w14:paraId="3BFDD4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iCs/>
          <w:sz w:val="24"/>
          <w:szCs w:val="24"/>
          <w:highlight w:val="none"/>
          <w:u w:val="single"/>
          <w:lang w:val="en-US" w:eastAsia="zh-CN"/>
        </w:rPr>
      </w:pPr>
      <w:r>
        <w:rPr>
          <w:rFonts w:hint="eastAsia" w:ascii="宋体" w:hAnsi="宋体" w:eastAsia="宋体" w:cs="宋体"/>
          <w:i/>
          <w:iCs/>
          <w:sz w:val="24"/>
          <w:szCs w:val="24"/>
          <w:highlight w:val="none"/>
          <w:u w:val="single"/>
          <w:lang w:val="en-US" w:eastAsia="zh-CN"/>
        </w:rPr>
        <w:t>a、</w:t>
      </w:r>
      <w:r>
        <w:rPr>
          <w:rFonts w:hint="eastAsia" w:ascii="宋体" w:hAnsi="宋体" w:eastAsia="宋体" w:cs="宋体"/>
          <w:i/>
          <w:iCs/>
          <w:strike w:val="0"/>
          <w:dstrike w:val="0"/>
          <w:sz w:val="24"/>
          <w:szCs w:val="24"/>
          <w:highlight w:val="none"/>
          <w:u w:val="single"/>
          <w:lang w:val="en-US" w:eastAsia="zh-CN"/>
        </w:rPr>
        <w:t>★</w:t>
      </w:r>
      <w:r>
        <w:rPr>
          <w:rFonts w:hint="eastAsia" w:ascii="宋体" w:hAnsi="宋体" w:eastAsia="宋体" w:cs="宋体"/>
          <w:i/>
          <w:iCs/>
          <w:sz w:val="24"/>
          <w:szCs w:val="24"/>
          <w:highlight w:val="none"/>
          <w:u w:val="single"/>
          <w:lang w:val="en-US" w:eastAsia="zh-CN"/>
        </w:rPr>
        <w:t>运维单位</w:t>
      </w:r>
      <w:r>
        <w:rPr>
          <w:rFonts w:hint="eastAsia" w:ascii="宋体" w:hAnsi="宋体" w:cs="宋体"/>
          <w:i/>
          <w:iCs/>
          <w:sz w:val="24"/>
          <w:szCs w:val="24"/>
          <w:highlight w:val="none"/>
          <w:u w:val="single"/>
          <w:lang w:val="en-US" w:eastAsia="zh-CN"/>
        </w:rPr>
        <w:t>须承诺为本项目</w:t>
      </w:r>
      <w:r>
        <w:rPr>
          <w:rFonts w:hint="eastAsia" w:ascii="宋体" w:hAnsi="宋体" w:eastAsia="宋体" w:cs="宋体"/>
          <w:i/>
          <w:iCs/>
          <w:sz w:val="24"/>
          <w:szCs w:val="24"/>
          <w:highlight w:val="none"/>
          <w:u w:val="single"/>
          <w:lang w:val="en-US" w:eastAsia="zh-CN"/>
        </w:rPr>
        <w:t>配备</w:t>
      </w:r>
      <w:r>
        <w:rPr>
          <w:rFonts w:hint="eastAsia" w:ascii="宋体" w:hAnsi="宋体" w:cs="宋体"/>
          <w:i/>
          <w:iCs/>
          <w:sz w:val="24"/>
          <w:szCs w:val="24"/>
          <w:highlight w:val="none"/>
          <w:u w:val="single"/>
          <w:lang w:val="en-US" w:eastAsia="zh-CN"/>
        </w:rPr>
        <w:t>专用</w:t>
      </w:r>
      <w:r>
        <w:rPr>
          <w:rFonts w:hint="eastAsia" w:ascii="宋体" w:hAnsi="宋体" w:eastAsia="宋体" w:cs="宋体"/>
          <w:i/>
          <w:iCs/>
          <w:sz w:val="24"/>
          <w:szCs w:val="24"/>
          <w:highlight w:val="none"/>
          <w:u w:val="single"/>
          <w:lang w:val="en-US" w:eastAsia="zh-CN"/>
        </w:rPr>
        <w:t>的质量控制</w:t>
      </w:r>
      <w:r>
        <w:rPr>
          <w:rFonts w:hint="eastAsia" w:ascii="宋体" w:hAnsi="宋体" w:cs="宋体"/>
          <w:i/>
          <w:iCs/>
          <w:sz w:val="24"/>
          <w:szCs w:val="24"/>
          <w:highlight w:val="none"/>
          <w:u w:val="single"/>
          <w:lang w:val="en-US" w:eastAsia="zh-CN"/>
        </w:rPr>
        <w:t>、应急、污染溯源</w:t>
      </w:r>
      <w:r>
        <w:rPr>
          <w:rFonts w:hint="eastAsia" w:ascii="宋体" w:hAnsi="宋体" w:eastAsia="宋体" w:cs="宋体"/>
          <w:i/>
          <w:iCs/>
          <w:sz w:val="24"/>
          <w:szCs w:val="24"/>
          <w:highlight w:val="none"/>
          <w:u w:val="single"/>
          <w:lang w:val="en-US" w:eastAsia="zh-CN"/>
        </w:rPr>
        <w:t>设备，</w:t>
      </w:r>
      <w:r>
        <w:rPr>
          <w:rFonts w:hint="eastAsia" w:ascii="宋体" w:hAnsi="宋体" w:cs="宋体"/>
          <w:i/>
          <w:iCs/>
          <w:sz w:val="24"/>
          <w:szCs w:val="24"/>
          <w:highlight w:val="none"/>
          <w:u w:val="single"/>
          <w:lang w:val="en-US" w:eastAsia="zh-CN"/>
        </w:rPr>
        <w:t>须</w:t>
      </w:r>
      <w:r>
        <w:rPr>
          <w:rFonts w:hint="eastAsia" w:ascii="宋体" w:hAnsi="宋体" w:eastAsia="宋体" w:cs="宋体"/>
          <w:i/>
          <w:iCs/>
          <w:sz w:val="24"/>
          <w:szCs w:val="24"/>
          <w:highlight w:val="none"/>
          <w:u w:val="single"/>
          <w:lang w:val="en-US" w:eastAsia="zh-CN"/>
        </w:rPr>
        <w:t>配备</w:t>
      </w:r>
      <w:r>
        <w:rPr>
          <w:rFonts w:hint="eastAsia" w:ascii="宋体" w:hAnsi="宋体" w:cs="宋体"/>
          <w:b/>
          <w:bCs/>
          <w:i/>
          <w:iCs/>
          <w:color w:val="FF0000"/>
          <w:sz w:val="24"/>
          <w:szCs w:val="24"/>
          <w:highlight w:val="none"/>
          <w:u w:val="single"/>
          <w:lang w:val="en-US" w:eastAsia="zh-CN"/>
        </w:rPr>
        <w:t>全</w:t>
      </w:r>
      <w:r>
        <w:rPr>
          <w:rFonts w:hint="eastAsia" w:ascii="宋体" w:hAnsi="宋体" w:eastAsia="宋体" w:cs="宋体"/>
          <w:b/>
          <w:bCs/>
          <w:i/>
          <w:iCs/>
          <w:color w:val="FF0000"/>
          <w:sz w:val="24"/>
          <w:szCs w:val="24"/>
          <w:highlight w:val="none"/>
          <w:u w:val="single"/>
          <w:lang w:val="en-US" w:eastAsia="zh-CN"/>
        </w:rPr>
        <w:t>自动校准</w:t>
      </w:r>
      <w:r>
        <w:rPr>
          <w:rFonts w:hint="eastAsia" w:ascii="宋体" w:hAnsi="宋体" w:cs="宋体"/>
          <w:b/>
          <w:bCs/>
          <w:i/>
          <w:iCs/>
          <w:color w:val="FF0000"/>
          <w:sz w:val="24"/>
          <w:szCs w:val="24"/>
          <w:highlight w:val="none"/>
          <w:u w:val="single"/>
          <w:lang w:val="en-US" w:eastAsia="zh-CN"/>
        </w:rPr>
        <w:t>仪、便携傅里叶红外分析仪、便携非甲烷总烃检测仪、手持式VOC检测仪、红外热成像气体泄漏检测仪、便携气质联用仪</w:t>
      </w:r>
      <w:r>
        <w:rPr>
          <w:rFonts w:hint="eastAsia" w:ascii="宋体" w:hAnsi="宋体" w:eastAsia="宋体" w:cs="宋体"/>
          <w:b/>
          <w:bCs/>
          <w:i/>
          <w:iCs/>
          <w:color w:val="FF0000"/>
          <w:sz w:val="24"/>
          <w:szCs w:val="24"/>
          <w:highlight w:val="none"/>
          <w:u w:val="single"/>
          <w:lang w:val="en-US" w:eastAsia="zh-CN"/>
        </w:rPr>
        <w:t>各1套</w:t>
      </w:r>
      <w:r>
        <w:rPr>
          <w:rFonts w:hint="eastAsia" w:ascii="宋体" w:hAnsi="宋体" w:cs="宋体"/>
          <w:b/>
          <w:bCs/>
          <w:i/>
          <w:iCs/>
          <w:sz w:val="24"/>
          <w:szCs w:val="24"/>
          <w:highlight w:val="none"/>
          <w:u w:val="single"/>
          <w:lang w:val="en-US" w:eastAsia="zh-CN"/>
        </w:rPr>
        <w:t>（投标人提供承诺书并加盖公章，格式自拟），投标人中标后，须在10天内将本项所列仪器设备运输至运维现场，由招标人检查设备情况，如发现弄虚作假行为，取消其中标资格。运维服务期间，设备须存放在招标人指定地点，运维结束后，投标人可将以上设备收回</w:t>
      </w:r>
      <w:r>
        <w:rPr>
          <w:rFonts w:hint="eastAsia" w:ascii="宋体" w:hAnsi="宋体" w:eastAsia="宋体" w:cs="宋体"/>
          <w:i/>
          <w:iCs/>
          <w:sz w:val="24"/>
          <w:szCs w:val="24"/>
          <w:highlight w:val="none"/>
          <w:u w:val="single"/>
          <w:lang w:val="en-US" w:eastAsia="zh-CN"/>
        </w:rPr>
        <w:t>。</w:t>
      </w:r>
    </w:p>
    <w:p w14:paraId="1AAF032A">
      <w:pPr>
        <w:pStyle w:val="8"/>
        <w:spacing w:line="360" w:lineRule="auto"/>
        <w:ind w:firstLine="480" w:firstLineChars="200"/>
        <w:jc w:val="left"/>
        <w:rPr>
          <w:rFonts w:hint="eastAsia" w:ascii="宋体" w:hAnsi="宋体" w:eastAsia="宋体" w:cs="宋体"/>
          <w:b/>
          <w:bCs/>
          <w:i/>
          <w:iCs/>
          <w:color w:val="auto"/>
          <w:sz w:val="24"/>
          <w:szCs w:val="24"/>
          <w:highlight w:val="none"/>
          <w:u w:val="single"/>
          <w:lang w:val="en-US" w:eastAsia="zh-CN"/>
        </w:rPr>
      </w:pPr>
      <w:r>
        <w:rPr>
          <w:rFonts w:hint="eastAsia" w:ascii="宋体" w:hAnsi="宋体" w:eastAsia="宋体" w:cs="宋体"/>
          <w:i/>
          <w:iCs/>
          <w:color w:val="auto"/>
          <w:sz w:val="24"/>
          <w:szCs w:val="24"/>
          <w:highlight w:val="none"/>
          <w:u w:val="single"/>
          <w:lang w:val="en-US" w:eastAsia="zh-CN"/>
        </w:rPr>
        <w:t>b、</w:t>
      </w:r>
      <w:r>
        <w:rPr>
          <w:rFonts w:hint="eastAsia" w:ascii="宋体" w:hAnsi="宋体" w:eastAsia="宋体" w:cs="宋体"/>
          <w:i/>
          <w:iCs/>
          <w:strike w:val="0"/>
          <w:dstrike w:val="0"/>
          <w:color w:val="auto"/>
          <w:sz w:val="24"/>
          <w:szCs w:val="24"/>
          <w:highlight w:val="none"/>
          <w:u w:val="single"/>
          <w:lang w:val="en-US" w:eastAsia="zh-CN"/>
        </w:rPr>
        <w:t>★</w:t>
      </w:r>
      <w:r>
        <w:rPr>
          <w:rFonts w:hint="eastAsia" w:ascii="宋体" w:hAnsi="宋体" w:eastAsia="宋体" w:cs="宋体"/>
          <w:b/>
          <w:bCs/>
          <w:i/>
          <w:iCs/>
          <w:color w:val="auto"/>
          <w:sz w:val="24"/>
          <w:szCs w:val="24"/>
          <w:highlight w:val="none"/>
          <w:u w:val="single"/>
          <w:lang w:val="en-US"/>
        </w:rPr>
        <w:t>所有</w:t>
      </w:r>
      <w:r>
        <w:rPr>
          <w:rFonts w:hint="eastAsia" w:ascii="宋体" w:hAnsi="宋体" w:eastAsia="宋体" w:cs="宋体"/>
          <w:b/>
          <w:bCs/>
          <w:i/>
          <w:iCs/>
          <w:color w:val="auto"/>
          <w:sz w:val="24"/>
          <w:szCs w:val="24"/>
          <w:highlight w:val="none"/>
          <w:u w:val="single"/>
          <w:lang w:val="en-US" w:eastAsia="zh-CN"/>
        </w:rPr>
        <w:t>检测工具（全自动校准仪、便携傅里叶红外分析仪、便携非甲烷总烃检测仪、手持式VOC检测仪、红外热成像气体泄漏检测仪、便携气质联用仪）</w:t>
      </w:r>
      <w:r>
        <w:rPr>
          <w:rFonts w:hint="eastAsia" w:ascii="宋体" w:hAnsi="宋体" w:eastAsia="宋体" w:cs="宋体"/>
          <w:b/>
          <w:bCs/>
          <w:i/>
          <w:iCs/>
          <w:color w:val="auto"/>
          <w:sz w:val="24"/>
          <w:szCs w:val="24"/>
          <w:highlight w:val="none"/>
          <w:u w:val="single"/>
          <w:lang w:val="en-US"/>
        </w:rPr>
        <w:t>的技术参数须提供技术参数偏离表，所有技术参数必须响应招标文件技术参数要求，否则作无效标处理</w:t>
      </w:r>
      <w:r>
        <w:rPr>
          <w:rFonts w:hint="eastAsia" w:ascii="宋体" w:hAnsi="宋体" w:eastAsia="宋体" w:cs="宋体"/>
          <w:b/>
          <w:bCs/>
          <w:i/>
          <w:iCs/>
          <w:color w:val="auto"/>
          <w:sz w:val="24"/>
          <w:szCs w:val="24"/>
          <w:highlight w:val="none"/>
          <w:u w:val="single"/>
          <w:lang w:val="en-US" w:eastAsia="zh-CN"/>
        </w:rPr>
        <w:t>：</w:t>
      </w:r>
    </w:p>
    <w:p w14:paraId="52F84675">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1.全自动校准仪：</w:t>
      </w:r>
    </w:p>
    <w:p w14:paraId="50100546">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1.1设备用途：能依据外接标准气体种类提供精确浓度的标准气体输出，完成大气自动监测分析仪器的零点、跨度、精密度及多点校准工作</w:t>
      </w:r>
    </w:p>
    <w:p w14:paraId="769887AA">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1.2技术参数要求</w:t>
      </w:r>
    </w:p>
    <w:p w14:paraId="427D2B8C">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1.2.1.基本单元</w:t>
      </w:r>
    </w:p>
    <w:p w14:paraId="4E20FD08">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1.2.1.1稀释气流量范围：(0~10)SLPM，可扩展；</w:t>
      </w:r>
    </w:p>
    <w:p w14:paraId="041D113C">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流量线性误差：±1%读数（包含20%-80%满量程范围内）</w:t>
      </w:r>
    </w:p>
    <w:p w14:paraId="68C39F8B">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1.2.1.2标气流量范围：(0~100)SCCM，可扩展；</w:t>
      </w:r>
    </w:p>
    <w:p w14:paraId="78C3B800">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流量线性误差：±1%读数（包含20%-80%满量程范围内）</w:t>
      </w:r>
    </w:p>
    <w:p w14:paraId="4D8ABD1A">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1.2.2.臭氧配气模块</w:t>
      </w:r>
    </w:p>
    <w:p w14:paraId="7E64B9A0">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1.2.2.1线性度：±1% F.S；</w:t>
      </w:r>
    </w:p>
    <w:p w14:paraId="048DDF98">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1.2.2.2重复性：≤1% F.S；</w:t>
      </w:r>
    </w:p>
    <w:p w14:paraId="3EB5DA4F">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1.2.2.3稳定时间：（T98）≤300s；</w:t>
      </w:r>
    </w:p>
    <w:p w14:paraId="6C40A83A">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1.2.2.4零点漂移（24 h）：±1ppb；</w:t>
      </w:r>
    </w:p>
    <w:p w14:paraId="2260782B">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1.2.2.5量程漂移：±5 ppb；</w:t>
      </w:r>
    </w:p>
    <w:p w14:paraId="1C4E335C">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1.2.2.6臭氧发生浓度误差：±2%读数（包含50-500ppb范围）</w:t>
      </w:r>
    </w:p>
    <w:p w14:paraId="6C2B80F9">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1.3.产品性能要求</w:t>
      </w:r>
    </w:p>
    <w:p w14:paraId="1D7F521A">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1.3.1.具有中文触摸式彩屏，方便查询、操作维护；</w:t>
      </w:r>
    </w:p>
    <w:p w14:paraId="4BE49D9D">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1.3.2.具备开机自检和运行自诊断功能；</w:t>
      </w:r>
    </w:p>
    <w:p w14:paraId="71E8C957">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1.3.3.采用高精度质量流量计进行流量控制，最大可实现1:1000的样气配比；</w:t>
      </w:r>
    </w:p>
    <w:p w14:paraId="6BAA6511">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1.3.4.具备光强衰减自检功能</w:t>
      </w:r>
    </w:p>
    <w:p w14:paraId="567D0FAD">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2.便携傅里叶红外分析仪</w:t>
      </w:r>
    </w:p>
    <w:p w14:paraId="67EEFDFD">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2.1.</w:t>
      </w:r>
      <w:r>
        <w:rPr>
          <w:rFonts w:hint="eastAsia" w:ascii="宋体" w:hAnsi="宋体" w:eastAsia="宋体" w:cs="宋体"/>
          <w:b w:val="0"/>
          <w:bCs w:val="0"/>
          <w:color w:val="auto"/>
          <w:sz w:val="24"/>
          <w:szCs w:val="21"/>
          <w:highlight w:val="none"/>
          <w:lang w:val="en-US"/>
        </w:rPr>
        <w:t>基本要求</w:t>
      </w:r>
    </w:p>
    <w:p w14:paraId="47029A7B">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rPr>
        <w:t>用于空气应急和固定污染源两种应用场景下的无机、有机气体监测，无需制样、直接采样，能在现场进行长时间的监测，无需值守，符合《环境空气 无机有害气体的应急监测便携式傅里叶红外仪法》（HJ920-2017）、《环境空气 挥发性有机物的测定便携式傅里叶红外仪法》（HJ919-2017）和《固定污染源废气 气态污染物（SO</w:t>
      </w:r>
      <w:r>
        <w:rPr>
          <w:rFonts w:hint="eastAsia" w:ascii="宋体" w:hAnsi="宋体" w:eastAsia="宋体" w:cs="宋体"/>
          <w:b w:val="0"/>
          <w:bCs w:val="0"/>
          <w:color w:val="auto"/>
          <w:sz w:val="24"/>
          <w:szCs w:val="21"/>
          <w:highlight w:val="none"/>
          <w:vertAlign w:val="baseline"/>
          <w:lang w:val="en-US"/>
        </w:rPr>
        <w:t>2</w:t>
      </w:r>
      <w:r>
        <w:rPr>
          <w:rFonts w:hint="eastAsia" w:ascii="宋体" w:hAnsi="宋体" w:eastAsia="宋体" w:cs="宋体"/>
          <w:b w:val="0"/>
          <w:bCs w:val="0"/>
          <w:color w:val="auto"/>
          <w:sz w:val="24"/>
          <w:szCs w:val="21"/>
          <w:highlight w:val="none"/>
          <w:lang w:val="en-US"/>
        </w:rPr>
        <w:t>、NO、NO</w:t>
      </w:r>
      <w:r>
        <w:rPr>
          <w:rFonts w:hint="eastAsia" w:ascii="宋体" w:hAnsi="宋体" w:eastAsia="宋体" w:cs="宋体"/>
          <w:b w:val="0"/>
          <w:bCs w:val="0"/>
          <w:color w:val="auto"/>
          <w:sz w:val="24"/>
          <w:szCs w:val="21"/>
          <w:highlight w:val="none"/>
          <w:vertAlign w:val="baseline"/>
          <w:lang w:val="en-US"/>
        </w:rPr>
        <w:t>2</w:t>
      </w:r>
      <w:r>
        <w:rPr>
          <w:rFonts w:hint="eastAsia" w:ascii="宋体" w:hAnsi="宋体" w:eastAsia="宋体" w:cs="宋体"/>
          <w:b w:val="0"/>
          <w:bCs w:val="0"/>
          <w:color w:val="auto"/>
          <w:sz w:val="24"/>
          <w:szCs w:val="21"/>
          <w:highlight w:val="none"/>
          <w:lang w:val="en-US"/>
        </w:rPr>
        <w:t>、CO、CO</w:t>
      </w:r>
      <w:r>
        <w:rPr>
          <w:rFonts w:hint="eastAsia" w:ascii="宋体" w:hAnsi="宋体" w:eastAsia="宋体" w:cs="宋体"/>
          <w:b w:val="0"/>
          <w:bCs w:val="0"/>
          <w:color w:val="auto"/>
          <w:sz w:val="24"/>
          <w:szCs w:val="21"/>
          <w:highlight w:val="none"/>
          <w:vertAlign w:val="baseline"/>
          <w:lang w:val="en-US"/>
        </w:rPr>
        <w:t>2</w:t>
      </w:r>
      <w:r>
        <w:rPr>
          <w:rFonts w:hint="eastAsia" w:ascii="宋体" w:hAnsi="宋体" w:eastAsia="宋体" w:cs="宋体"/>
          <w:b w:val="0"/>
          <w:bCs w:val="0"/>
          <w:color w:val="auto"/>
          <w:sz w:val="24"/>
          <w:szCs w:val="21"/>
          <w:highlight w:val="none"/>
          <w:lang w:val="en-US"/>
        </w:rPr>
        <w:t>）的测定 便携式傅立叶 变换红外光谱法》（HJ1240-2021)、《环境空气和废气  挥发性有机物组分便携式傅里叶红外检测技术要求及检测方法》（HJ 1011-2018)的标准要求。</w:t>
      </w:r>
    </w:p>
    <w:p w14:paraId="6B20E062">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2.1.2</w:t>
      </w:r>
      <w:r>
        <w:rPr>
          <w:rFonts w:hint="eastAsia" w:ascii="宋体" w:hAnsi="宋体" w:eastAsia="宋体" w:cs="宋体"/>
          <w:b w:val="0"/>
          <w:bCs w:val="0"/>
          <w:color w:val="auto"/>
          <w:sz w:val="24"/>
          <w:szCs w:val="21"/>
          <w:highlight w:val="none"/>
          <w:lang w:val="en-US"/>
        </w:rPr>
        <w:t>原理：傅里叶变换红外分析原理。</w:t>
      </w:r>
    </w:p>
    <w:p w14:paraId="0F444E41">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2.2</w:t>
      </w:r>
      <w:r>
        <w:rPr>
          <w:rFonts w:hint="eastAsia" w:ascii="宋体" w:hAnsi="宋体" w:eastAsia="宋体" w:cs="宋体"/>
          <w:b w:val="0"/>
          <w:bCs w:val="0"/>
          <w:color w:val="auto"/>
          <w:sz w:val="24"/>
          <w:szCs w:val="21"/>
          <w:highlight w:val="none"/>
          <w:lang w:val="en-US"/>
        </w:rPr>
        <w:t>供电方式：具备市电和内置电池供电两种方式，采用内置电池供电时，续航不低于4小时。</w:t>
      </w:r>
    </w:p>
    <w:p w14:paraId="6B1C0809">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2.2.1</w:t>
      </w:r>
      <w:r>
        <w:rPr>
          <w:rFonts w:hint="eastAsia" w:ascii="宋体" w:hAnsi="宋体" w:eastAsia="宋体" w:cs="宋体"/>
          <w:b w:val="0"/>
          <w:bCs w:val="0"/>
          <w:color w:val="auto"/>
          <w:sz w:val="24"/>
          <w:szCs w:val="21"/>
          <w:highlight w:val="none"/>
          <w:lang w:val="en-US"/>
        </w:rPr>
        <w:t>便携式，仪器具有高集成度。主机内内置采样泵、氧气传感器。分析仪主机应不超过15kg。</w:t>
      </w:r>
    </w:p>
    <w:p w14:paraId="09488D33">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2.2.2.</w:t>
      </w:r>
      <w:r>
        <w:rPr>
          <w:rFonts w:hint="eastAsia" w:ascii="宋体" w:hAnsi="宋体" w:eastAsia="宋体" w:cs="宋体"/>
          <w:b w:val="0"/>
          <w:bCs w:val="0"/>
          <w:color w:val="auto"/>
          <w:sz w:val="24"/>
          <w:szCs w:val="21"/>
          <w:highlight w:val="none"/>
          <w:lang w:val="en-US"/>
        </w:rPr>
        <w:t>全中文分析软件。</w:t>
      </w:r>
    </w:p>
    <w:p w14:paraId="3C38EE9D">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w:t>
      </w:r>
      <w:r>
        <w:rPr>
          <w:rFonts w:hint="eastAsia" w:ascii="宋体" w:hAnsi="宋体" w:eastAsia="宋体" w:cs="宋体"/>
          <w:b w:val="0"/>
          <w:bCs w:val="0"/>
          <w:color w:val="auto"/>
          <w:sz w:val="24"/>
          <w:szCs w:val="21"/>
          <w:highlight w:val="none"/>
          <w:lang w:val="en-US"/>
        </w:rPr>
        <w:t>参数要求</w:t>
      </w:r>
    </w:p>
    <w:p w14:paraId="73433610">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w:t>
      </w:r>
      <w:r>
        <w:rPr>
          <w:rFonts w:hint="eastAsia" w:ascii="宋体" w:hAnsi="宋体" w:eastAsia="宋体" w:cs="宋体"/>
          <w:b w:val="0"/>
          <w:bCs w:val="0"/>
          <w:color w:val="auto"/>
          <w:sz w:val="24"/>
          <w:szCs w:val="21"/>
          <w:highlight w:val="none"/>
          <w:lang w:val="en-US"/>
        </w:rPr>
        <w:t>分析仪主机</w:t>
      </w:r>
    </w:p>
    <w:p w14:paraId="6291DE02">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rPr>
        <w:t>采用角镜型干涉仪，结构坚固，抗震性强；</w:t>
      </w:r>
    </w:p>
    <w:p w14:paraId="038A709F">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2.3.2</w:t>
      </w:r>
      <w:r>
        <w:rPr>
          <w:rFonts w:hint="eastAsia" w:ascii="宋体" w:hAnsi="宋体" w:eastAsia="宋体" w:cs="宋体"/>
          <w:b w:val="0"/>
          <w:bCs w:val="0"/>
          <w:color w:val="auto"/>
          <w:sz w:val="24"/>
          <w:szCs w:val="21"/>
          <w:highlight w:val="none"/>
          <w:lang w:val="en-US"/>
        </w:rPr>
        <w:t>光谱分辨率：优于8cm</w:t>
      </w:r>
      <w:r>
        <w:rPr>
          <w:rFonts w:hint="eastAsia" w:ascii="宋体" w:hAnsi="宋体" w:eastAsia="宋体" w:cs="宋体"/>
          <w:b w:val="0"/>
          <w:bCs w:val="0"/>
          <w:color w:val="auto"/>
          <w:sz w:val="24"/>
          <w:szCs w:val="21"/>
          <w:highlight w:val="none"/>
          <w:vertAlign w:val="baseline"/>
          <w:lang w:val="en-US"/>
        </w:rPr>
        <w:t>-1</w:t>
      </w:r>
      <w:r>
        <w:rPr>
          <w:rFonts w:hint="eastAsia" w:ascii="宋体" w:hAnsi="宋体" w:eastAsia="宋体" w:cs="宋体"/>
          <w:b w:val="0"/>
          <w:bCs w:val="0"/>
          <w:color w:val="auto"/>
          <w:sz w:val="24"/>
          <w:szCs w:val="21"/>
          <w:highlight w:val="none"/>
          <w:lang w:val="en-US"/>
        </w:rPr>
        <w:t>。</w:t>
      </w:r>
    </w:p>
    <w:p w14:paraId="19CDFC93">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2.3.3</w:t>
      </w:r>
      <w:r>
        <w:rPr>
          <w:rFonts w:hint="eastAsia" w:ascii="宋体" w:hAnsi="宋体" w:eastAsia="宋体" w:cs="宋体"/>
          <w:b w:val="0"/>
          <w:bCs w:val="0"/>
          <w:color w:val="auto"/>
          <w:sz w:val="24"/>
          <w:szCs w:val="21"/>
          <w:highlight w:val="none"/>
          <w:lang w:val="en-US"/>
        </w:rPr>
        <w:t>波数范围：至少满足600~4500cm</w:t>
      </w:r>
      <w:r>
        <w:rPr>
          <w:rFonts w:hint="eastAsia" w:ascii="宋体" w:hAnsi="宋体" w:eastAsia="宋体" w:cs="宋体"/>
          <w:b w:val="0"/>
          <w:bCs w:val="0"/>
          <w:color w:val="auto"/>
          <w:sz w:val="24"/>
          <w:szCs w:val="21"/>
          <w:highlight w:val="none"/>
          <w:vertAlign w:val="baseline"/>
          <w:lang w:val="en-US"/>
        </w:rPr>
        <w:t>-1</w:t>
      </w:r>
      <w:r>
        <w:rPr>
          <w:rFonts w:hint="eastAsia" w:ascii="宋体" w:hAnsi="宋体" w:eastAsia="宋体" w:cs="宋体"/>
          <w:b w:val="0"/>
          <w:bCs w:val="0"/>
          <w:color w:val="auto"/>
          <w:sz w:val="24"/>
          <w:szCs w:val="21"/>
          <w:highlight w:val="none"/>
          <w:lang w:val="en-US"/>
        </w:rPr>
        <w:t>；</w:t>
      </w:r>
    </w:p>
    <w:p w14:paraId="6C3E71A6">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2.3.4</w:t>
      </w:r>
      <w:r>
        <w:rPr>
          <w:rFonts w:hint="eastAsia" w:ascii="宋体" w:hAnsi="宋体" w:eastAsia="宋体" w:cs="宋体"/>
          <w:b w:val="0"/>
          <w:bCs w:val="0"/>
          <w:color w:val="auto"/>
          <w:sz w:val="24"/>
          <w:szCs w:val="21"/>
          <w:highlight w:val="none"/>
          <w:lang w:val="en-US"/>
        </w:rPr>
        <w:t>检测器：TEC（半导体内置制冷器）制冷MCT，激光器的显示温度波动≤0.1℃</w:t>
      </w:r>
    </w:p>
    <w:p w14:paraId="24A5CD0E">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2.3.5</w:t>
      </w:r>
      <w:r>
        <w:rPr>
          <w:rFonts w:hint="eastAsia" w:ascii="宋体" w:hAnsi="宋体" w:eastAsia="宋体" w:cs="宋体"/>
          <w:b w:val="0"/>
          <w:bCs w:val="0"/>
          <w:color w:val="auto"/>
          <w:sz w:val="24"/>
          <w:szCs w:val="21"/>
          <w:highlight w:val="none"/>
          <w:lang w:val="en-US"/>
        </w:rPr>
        <w:t>示值误差≤±5%；</w:t>
      </w:r>
    </w:p>
    <w:p w14:paraId="349697D3">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2.3.6</w:t>
      </w:r>
      <w:r>
        <w:rPr>
          <w:rFonts w:hint="eastAsia" w:ascii="宋体" w:hAnsi="宋体" w:eastAsia="宋体" w:cs="宋体"/>
          <w:b w:val="0"/>
          <w:bCs w:val="0"/>
          <w:color w:val="auto"/>
          <w:sz w:val="24"/>
          <w:szCs w:val="21"/>
          <w:highlight w:val="none"/>
          <w:lang w:val="en-US"/>
        </w:rPr>
        <w:t>重复性：≤±2%；</w:t>
      </w:r>
    </w:p>
    <w:p w14:paraId="6F41D1F2">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2.3.7</w:t>
      </w:r>
      <w:r>
        <w:rPr>
          <w:rFonts w:hint="eastAsia" w:ascii="宋体" w:hAnsi="宋体" w:eastAsia="宋体" w:cs="宋体"/>
          <w:b w:val="0"/>
          <w:bCs w:val="0"/>
          <w:color w:val="auto"/>
          <w:sz w:val="24"/>
          <w:szCs w:val="21"/>
          <w:highlight w:val="none"/>
          <w:lang w:val="en-US"/>
        </w:rPr>
        <w:t>响应时间：不大于90s；</w:t>
      </w:r>
    </w:p>
    <w:p w14:paraId="41913C3C">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2.3.8</w:t>
      </w:r>
      <w:r>
        <w:rPr>
          <w:rFonts w:hint="eastAsia" w:ascii="宋体" w:hAnsi="宋体" w:eastAsia="宋体" w:cs="宋体"/>
          <w:b w:val="0"/>
          <w:bCs w:val="0"/>
          <w:color w:val="auto"/>
          <w:sz w:val="24"/>
          <w:szCs w:val="21"/>
          <w:highlight w:val="none"/>
          <w:lang w:val="en-US"/>
        </w:rPr>
        <w:t>稳定性≤±2%h；</w:t>
      </w:r>
    </w:p>
    <w:p w14:paraId="46BED2C2">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2.3.9</w:t>
      </w:r>
      <w:r>
        <w:rPr>
          <w:rFonts w:hint="eastAsia" w:ascii="宋体" w:hAnsi="宋体" w:eastAsia="宋体" w:cs="宋体"/>
          <w:b w:val="0"/>
          <w:bCs w:val="0"/>
          <w:color w:val="auto"/>
          <w:sz w:val="24"/>
          <w:szCs w:val="21"/>
          <w:highlight w:val="none"/>
          <w:lang w:val="en-US"/>
        </w:rPr>
        <w:t>零点漂移≤±2%FS/24；</w:t>
      </w:r>
    </w:p>
    <w:p w14:paraId="3FEC57D9">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2.3.10.</w:t>
      </w:r>
      <w:r>
        <w:rPr>
          <w:rFonts w:hint="eastAsia" w:ascii="宋体" w:hAnsi="宋体" w:eastAsia="宋体" w:cs="宋体"/>
          <w:b w:val="0"/>
          <w:bCs w:val="0"/>
          <w:color w:val="auto"/>
          <w:sz w:val="24"/>
          <w:szCs w:val="21"/>
          <w:highlight w:val="none"/>
          <w:lang w:val="en-US"/>
        </w:rPr>
        <w:t>量程漂移≤±2%FS/24；</w:t>
      </w:r>
    </w:p>
    <w:p w14:paraId="4A998670">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2.3.11</w:t>
      </w:r>
      <w:r>
        <w:rPr>
          <w:rFonts w:hint="eastAsia" w:ascii="宋体" w:hAnsi="宋体" w:eastAsia="宋体" w:cs="宋体"/>
          <w:b w:val="0"/>
          <w:bCs w:val="0"/>
          <w:color w:val="auto"/>
          <w:sz w:val="24"/>
          <w:szCs w:val="21"/>
          <w:highlight w:val="none"/>
          <w:lang w:val="en-US"/>
        </w:rPr>
        <w:t>仪器环境适应性，仪器通过高温测试（至少达到40℃，持续2小时）、低温测试（至少达到5℃，持续2小时）、高温贮存试验（至少达到55℃，持续8小时）、低温贮存实验（至少达到-20℃，持续8小时），在上述条件下仪器的示值误差≤±5%；</w:t>
      </w:r>
    </w:p>
    <w:p w14:paraId="45D32C0F">
      <w:pPr>
        <w:pStyle w:val="8"/>
        <w:spacing w:line="360" w:lineRule="auto"/>
        <w:ind w:left="420"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rPr>
        <w:t>注：5）~11）（测试因子至少包括SO</w:t>
      </w:r>
      <w:r>
        <w:rPr>
          <w:rFonts w:hint="eastAsia" w:ascii="宋体" w:hAnsi="宋体" w:eastAsia="宋体" w:cs="宋体"/>
          <w:b w:val="0"/>
          <w:bCs w:val="0"/>
          <w:color w:val="auto"/>
          <w:sz w:val="24"/>
          <w:szCs w:val="21"/>
          <w:highlight w:val="none"/>
          <w:vertAlign w:val="baseline"/>
          <w:lang w:val="en-US"/>
        </w:rPr>
        <w:t>2</w:t>
      </w:r>
      <w:r>
        <w:rPr>
          <w:rFonts w:hint="eastAsia" w:ascii="宋体" w:hAnsi="宋体" w:eastAsia="宋体" w:cs="宋体"/>
          <w:b w:val="0"/>
          <w:bCs w:val="0"/>
          <w:color w:val="auto"/>
          <w:sz w:val="24"/>
          <w:szCs w:val="21"/>
          <w:highlight w:val="none"/>
          <w:lang w:val="en-US"/>
        </w:rPr>
        <w:t>、NO、NO</w:t>
      </w:r>
      <w:r>
        <w:rPr>
          <w:rFonts w:hint="eastAsia" w:ascii="宋体" w:hAnsi="宋体" w:eastAsia="宋体" w:cs="宋体"/>
          <w:b w:val="0"/>
          <w:bCs w:val="0"/>
          <w:color w:val="auto"/>
          <w:sz w:val="24"/>
          <w:szCs w:val="21"/>
          <w:highlight w:val="none"/>
          <w:vertAlign w:val="baseline"/>
          <w:lang w:val="en-US"/>
        </w:rPr>
        <w:t>2</w:t>
      </w:r>
      <w:r>
        <w:rPr>
          <w:rFonts w:hint="eastAsia" w:ascii="宋体" w:hAnsi="宋体" w:eastAsia="宋体" w:cs="宋体"/>
          <w:b w:val="0"/>
          <w:bCs w:val="0"/>
          <w:color w:val="auto"/>
          <w:sz w:val="24"/>
          <w:szCs w:val="21"/>
          <w:highlight w:val="none"/>
          <w:lang w:val="en-US"/>
        </w:rPr>
        <w:t>、CO、NH</w:t>
      </w:r>
      <w:r>
        <w:rPr>
          <w:rFonts w:hint="eastAsia" w:ascii="宋体" w:hAnsi="宋体" w:eastAsia="宋体" w:cs="宋体"/>
          <w:b w:val="0"/>
          <w:bCs w:val="0"/>
          <w:color w:val="auto"/>
          <w:sz w:val="24"/>
          <w:szCs w:val="21"/>
          <w:highlight w:val="none"/>
          <w:vertAlign w:val="baseline"/>
          <w:lang w:val="en-US"/>
        </w:rPr>
        <w:t>3</w:t>
      </w:r>
      <w:r>
        <w:rPr>
          <w:rFonts w:hint="eastAsia" w:ascii="宋体" w:hAnsi="宋体" w:eastAsia="宋体" w:cs="宋体"/>
          <w:b w:val="0"/>
          <w:bCs w:val="0"/>
          <w:color w:val="auto"/>
          <w:sz w:val="24"/>
          <w:szCs w:val="21"/>
          <w:highlight w:val="none"/>
          <w:lang w:val="en-US"/>
        </w:rPr>
        <w:t>、HCL、C</w:t>
      </w:r>
      <w:r>
        <w:rPr>
          <w:rFonts w:hint="eastAsia" w:ascii="宋体" w:hAnsi="宋体" w:eastAsia="宋体" w:cs="宋体"/>
          <w:b w:val="0"/>
          <w:bCs w:val="0"/>
          <w:color w:val="auto"/>
          <w:sz w:val="24"/>
          <w:szCs w:val="21"/>
          <w:highlight w:val="none"/>
          <w:vertAlign w:val="baseline"/>
          <w:lang w:val="en-US"/>
        </w:rPr>
        <w:t>6</w:t>
      </w:r>
      <w:r>
        <w:rPr>
          <w:rFonts w:hint="eastAsia" w:ascii="宋体" w:hAnsi="宋体" w:eastAsia="宋体" w:cs="宋体"/>
          <w:b w:val="0"/>
          <w:bCs w:val="0"/>
          <w:color w:val="auto"/>
          <w:sz w:val="24"/>
          <w:szCs w:val="21"/>
          <w:highlight w:val="none"/>
          <w:lang w:val="en-US"/>
        </w:rPr>
        <w:t>H</w:t>
      </w:r>
      <w:r>
        <w:rPr>
          <w:rFonts w:hint="eastAsia" w:ascii="宋体" w:hAnsi="宋体" w:eastAsia="宋体" w:cs="宋体"/>
          <w:b w:val="0"/>
          <w:bCs w:val="0"/>
          <w:color w:val="auto"/>
          <w:sz w:val="24"/>
          <w:szCs w:val="21"/>
          <w:highlight w:val="none"/>
          <w:vertAlign w:val="baseline"/>
          <w:lang w:val="en-US"/>
        </w:rPr>
        <w:t>6</w:t>
      </w:r>
      <w:r>
        <w:rPr>
          <w:rFonts w:hint="eastAsia" w:ascii="宋体" w:hAnsi="宋体" w:eastAsia="宋体" w:cs="宋体"/>
          <w:b w:val="0"/>
          <w:bCs w:val="0"/>
          <w:color w:val="auto"/>
          <w:sz w:val="24"/>
          <w:szCs w:val="21"/>
          <w:highlight w:val="none"/>
          <w:lang w:val="en-US"/>
        </w:rPr>
        <w:t>、C</w:t>
      </w:r>
      <w:r>
        <w:rPr>
          <w:rFonts w:hint="eastAsia" w:ascii="宋体" w:hAnsi="宋体" w:eastAsia="宋体" w:cs="宋体"/>
          <w:b w:val="0"/>
          <w:bCs w:val="0"/>
          <w:color w:val="auto"/>
          <w:sz w:val="24"/>
          <w:szCs w:val="21"/>
          <w:highlight w:val="none"/>
          <w:vertAlign w:val="baseline"/>
          <w:lang w:val="en-US"/>
        </w:rPr>
        <w:t>7</w:t>
      </w:r>
      <w:r>
        <w:rPr>
          <w:rFonts w:hint="eastAsia" w:ascii="宋体" w:hAnsi="宋体" w:eastAsia="宋体" w:cs="宋体"/>
          <w:b w:val="0"/>
          <w:bCs w:val="0"/>
          <w:color w:val="auto"/>
          <w:sz w:val="24"/>
          <w:szCs w:val="21"/>
          <w:highlight w:val="none"/>
          <w:lang w:val="en-US"/>
        </w:rPr>
        <w:t>H</w:t>
      </w:r>
      <w:r>
        <w:rPr>
          <w:rFonts w:hint="eastAsia" w:ascii="宋体" w:hAnsi="宋体" w:eastAsia="宋体" w:cs="宋体"/>
          <w:b w:val="0"/>
          <w:bCs w:val="0"/>
          <w:color w:val="auto"/>
          <w:sz w:val="24"/>
          <w:szCs w:val="21"/>
          <w:highlight w:val="none"/>
          <w:vertAlign w:val="baseline"/>
          <w:lang w:val="en-US"/>
        </w:rPr>
        <w:t>8</w:t>
      </w:r>
      <w:r>
        <w:rPr>
          <w:rFonts w:hint="eastAsia" w:ascii="宋体" w:hAnsi="宋体" w:eastAsia="宋体" w:cs="宋体"/>
          <w:b w:val="0"/>
          <w:bCs w:val="0"/>
          <w:color w:val="auto"/>
          <w:sz w:val="24"/>
          <w:szCs w:val="21"/>
          <w:highlight w:val="none"/>
          <w:lang w:val="en-US"/>
        </w:rPr>
        <w:t>计）。</w:t>
      </w:r>
    </w:p>
    <w:p w14:paraId="1A826491">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2.3.12</w:t>
      </w:r>
      <w:r>
        <w:rPr>
          <w:rFonts w:hint="eastAsia" w:ascii="宋体" w:hAnsi="宋体" w:eastAsia="宋体" w:cs="宋体"/>
          <w:b w:val="0"/>
          <w:bCs w:val="0"/>
          <w:color w:val="auto"/>
          <w:sz w:val="24"/>
          <w:szCs w:val="21"/>
          <w:highlight w:val="none"/>
          <w:lang w:val="en-US"/>
        </w:rPr>
        <w:t>仪器的主机采用不低于5英寸的触摸屏，显示内容不少于组分浓度、氧气测试结果、数据结果的地理位置等。同时可设置并查看气体传输管和气体室的温度信息。</w:t>
      </w:r>
    </w:p>
    <w:p w14:paraId="04A5190A">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2.3.13.</w:t>
      </w:r>
      <w:r>
        <w:rPr>
          <w:rFonts w:hint="eastAsia" w:ascii="宋体" w:hAnsi="宋体" w:eastAsia="宋体" w:cs="宋体"/>
          <w:b w:val="0"/>
          <w:bCs w:val="0"/>
          <w:color w:val="auto"/>
          <w:sz w:val="24"/>
          <w:szCs w:val="21"/>
          <w:highlight w:val="none"/>
          <w:lang w:val="en-US"/>
        </w:rPr>
        <w:t>仪器集成数据采集、分析计算和结果显示功能，同时兼具外接电脑能力。</w:t>
      </w:r>
    </w:p>
    <w:p w14:paraId="1A0BD125">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2.3.14</w:t>
      </w:r>
      <w:r>
        <w:rPr>
          <w:rFonts w:hint="eastAsia" w:ascii="宋体" w:hAnsi="宋体" w:eastAsia="宋体" w:cs="宋体"/>
          <w:b w:val="0"/>
          <w:bCs w:val="0"/>
          <w:color w:val="auto"/>
          <w:sz w:val="24"/>
          <w:szCs w:val="21"/>
          <w:highlight w:val="none"/>
          <w:lang w:val="en-US"/>
        </w:rPr>
        <w:t>通讯模式：蓝牙或WIFI。</w:t>
      </w:r>
    </w:p>
    <w:p w14:paraId="38AA9C62">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2.3.15</w:t>
      </w:r>
      <w:r>
        <w:rPr>
          <w:rFonts w:hint="eastAsia" w:ascii="宋体" w:hAnsi="宋体" w:eastAsia="宋体" w:cs="宋体"/>
          <w:b w:val="0"/>
          <w:bCs w:val="0"/>
          <w:color w:val="auto"/>
          <w:sz w:val="24"/>
          <w:szCs w:val="21"/>
          <w:highlight w:val="none"/>
          <w:lang w:val="en-US"/>
        </w:rPr>
        <w:t>主机内置地理定位信息模块（包括但不限于北斗、GPS等），仪器检测出的每一条光谱中均嵌入地理经纬度信息，可以通过测试数据得知监测点位。</w:t>
      </w:r>
    </w:p>
    <w:p w14:paraId="7E78E683">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2.3.16</w:t>
      </w:r>
      <w:r>
        <w:rPr>
          <w:rFonts w:hint="eastAsia" w:ascii="宋体" w:hAnsi="宋体" w:eastAsia="宋体" w:cs="宋体"/>
          <w:b w:val="0"/>
          <w:bCs w:val="0"/>
          <w:color w:val="auto"/>
          <w:sz w:val="24"/>
          <w:szCs w:val="21"/>
          <w:highlight w:val="none"/>
          <w:lang w:val="en-US"/>
        </w:rPr>
        <w:t>气体室</w:t>
      </w:r>
    </w:p>
    <w:p w14:paraId="0D61522D">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eastAsia="宋体" w:cs="宋体"/>
          <w:b w:val="0"/>
          <w:bCs w:val="0"/>
          <w:color w:val="auto"/>
          <w:sz w:val="24"/>
          <w:szCs w:val="21"/>
          <w:highlight w:val="none"/>
          <w:lang w:val="en-US" w:eastAsia="zh-CN"/>
        </w:rPr>
        <w:t>2.3.16.1</w:t>
      </w:r>
      <w:r>
        <w:rPr>
          <w:rFonts w:hint="eastAsia" w:ascii="宋体" w:hAnsi="宋体" w:eastAsia="宋体" w:cs="宋体"/>
          <w:b w:val="0"/>
          <w:bCs w:val="0"/>
          <w:color w:val="auto"/>
          <w:sz w:val="24"/>
          <w:szCs w:val="21"/>
          <w:highlight w:val="none"/>
          <w:lang w:val="en-US"/>
        </w:rPr>
        <w:t>工作温度：可同时设置空气模式</w:t>
      </w:r>
      <w:r>
        <w:rPr>
          <w:rFonts w:hint="eastAsia" w:ascii="宋体" w:hAnsi="宋体" w:eastAsia="宋体" w:cs="宋体"/>
          <w:b w:val="0"/>
          <w:bCs w:val="0"/>
          <w:color w:val="000000" w:themeColor="text1"/>
          <w:sz w:val="24"/>
          <w:szCs w:val="21"/>
          <w:highlight w:val="none"/>
          <w:lang w:val="en-US"/>
          <w14:textFill>
            <w14:solidFill>
              <w14:schemeClr w14:val="tx1"/>
            </w14:solidFill>
          </w14:textFill>
        </w:rPr>
        <w:t>（50℃）和烟气模式（180℃）</w:t>
      </w:r>
      <w:r>
        <w:rPr>
          <w:rFonts w:hint="eastAsia" w:ascii="宋体" w:hAnsi="宋体" w:eastAsia="宋体" w:cs="宋体"/>
          <w:b w:val="0"/>
          <w:bCs w:val="0"/>
          <w:color w:val="auto"/>
          <w:sz w:val="24"/>
          <w:szCs w:val="21"/>
          <w:highlight w:val="none"/>
          <w:lang w:val="en-US"/>
        </w:rPr>
        <w:t>；</w:t>
      </w:r>
    </w:p>
    <w:p w14:paraId="3846E8BC">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2.3.16.2</w:t>
      </w:r>
      <w:r>
        <w:rPr>
          <w:rFonts w:hint="eastAsia" w:ascii="宋体" w:hAnsi="宋体" w:eastAsia="宋体" w:cs="宋体"/>
          <w:b w:val="0"/>
          <w:bCs w:val="0"/>
          <w:color w:val="auto"/>
          <w:sz w:val="24"/>
          <w:szCs w:val="21"/>
          <w:highlight w:val="none"/>
          <w:lang w:val="en-US"/>
        </w:rPr>
        <w:t>气体室耐腐蚀，气体室内光学反射镜为贵金属镀层；</w:t>
      </w:r>
    </w:p>
    <w:p w14:paraId="7F474B1A">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2.3.16.3</w:t>
      </w:r>
      <w:r>
        <w:rPr>
          <w:rFonts w:hint="eastAsia" w:ascii="宋体" w:hAnsi="宋体" w:eastAsia="宋体" w:cs="宋体"/>
          <w:b w:val="0"/>
          <w:bCs w:val="0"/>
          <w:color w:val="auto"/>
          <w:sz w:val="24"/>
          <w:szCs w:val="21"/>
          <w:highlight w:val="none"/>
          <w:lang w:val="en-US"/>
        </w:rPr>
        <w:t>光程长度：≥9 m 。</w:t>
      </w:r>
    </w:p>
    <w:p w14:paraId="3694B5AA">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2.3.16.4</w:t>
      </w:r>
      <w:r>
        <w:rPr>
          <w:rFonts w:hint="eastAsia" w:ascii="宋体" w:hAnsi="宋体" w:eastAsia="宋体" w:cs="宋体"/>
          <w:b w:val="0"/>
          <w:bCs w:val="0"/>
          <w:color w:val="auto"/>
          <w:sz w:val="24"/>
          <w:szCs w:val="21"/>
          <w:highlight w:val="none"/>
          <w:lang w:val="en-US"/>
        </w:rPr>
        <w:t>气体池集成带温控功能的粉尘滤芯进气装置，起到保护气体池的左右；滤芯可拆卸。</w:t>
      </w:r>
    </w:p>
    <w:p w14:paraId="34C1E4B3">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2.3.17</w:t>
      </w:r>
      <w:r>
        <w:rPr>
          <w:rFonts w:hint="eastAsia" w:ascii="宋体" w:hAnsi="宋体" w:eastAsia="宋体" w:cs="宋体"/>
          <w:b w:val="0"/>
          <w:bCs w:val="0"/>
          <w:color w:val="auto"/>
          <w:sz w:val="24"/>
          <w:szCs w:val="21"/>
          <w:highlight w:val="none"/>
          <w:lang w:val="en-US"/>
        </w:rPr>
        <w:t>烟气采样枪</w:t>
      </w:r>
    </w:p>
    <w:p w14:paraId="6B4CA007">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2.3.17.1</w:t>
      </w:r>
      <w:r>
        <w:rPr>
          <w:rFonts w:hint="eastAsia" w:ascii="宋体" w:hAnsi="宋体" w:eastAsia="宋体" w:cs="宋体"/>
          <w:b w:val="0"/>
          <w:bCs w:val="0"/>
          <w:color w:val="auto"/>
          <w:sz w:val="24"/>
          <w:szCs w:val="21"/>
          <w:highlight w:val="none"/>
          <w:lang w:val="en-US"/>
        </w:rPr>
        <w:t>伴热管：采样枪到主机3米长，导管加热恒温180℃；</w:t>
      </w:r>
    </w:p>
    <w:p w14:paraId="635074B3">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2.3.17.2</w:t>
      </w:r>
      <w:r>
        <w:rPr>
          <w:rFonts w:hint="eastAsia" w:ascii="宋体" w:hAnsi="宋体" w:eastAsia="宋体" w:cs="宋体"/>
          <w:b w:val="0"/>
          <w:bCs w:val="0"/>
          <w:color w:val="auto"/>
          <w:sz w:val="24"/>
          <w:szCs w:val="21"/>
          <w:highlight w:val="none"/>
          <w:lang w:val="en-US"/>
        </w:rPr>
        <w:t>过滤系统，粉尘过滤不大于5µm；</w:t>
      </w:r>
    </w:p>
    <w:p w14:paraId="37190747">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2.3.18.</w:t>
      </w:r>
      <w:r>
        <w:rPr>
          <w:rFonts w:hint="eastAsia" w:ascii="宋体" w:hAnsi="宋体" w:eastAsia="宋体" w:cs="宋体"/>
          <w:b w:val="0"/>
          <w:bCs w:val="0"/>
          <w:color w:val="auto"/>
          <w:sz w:val="24"/>
          <w:szCs w:val="21"/>
          <w:highlight w:val="none"/>
          <w:lang w:val="en-US"/>
        </w:rPr>
        <w:t>分析软件需同时显示全部标定组分浓度、大气压力、气体室温度、气体室压强、氧化锆测试结果、测量数据的地理位置信息。</w:t>
      </w:r>
    </w:p>
    <w:p w14:paraId="45C558F4">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2.3.19</w:t>
      </w:r>
      <w:r>
        <w:rPr>
          <w:rFonts w:hint="eastAsia" w:ascii="宋体" w:hAnsi="宋体" w:eastAsia="宋体" w:cs="宋体"/>
          <w:b w:val="0"/>
          <w:bCs w:val="0"/>
          <w:color w:val="auto"/>
          <w:sz w:val="24"/>
          <w:szCs w:val="21"/>
          <w:highlight w:val="none"/>
          <w:lang w:val="en-US"/>
        </w:rPr>
        <w:t>测量时间可选，可进行无人值守的连续测量。</w:t>
      </w:r>
    </w:p>
    <w:p w14:paraId="5ECF5A37">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2.3.20.</w:t>
      </w:r>
      <w:r>
        <w:rPr>
          <w:rFonts w:hint="eastAsia" w:ascii="宋体" w:hAnsi="宋体" w:eastAsia="宋体" w:cs="宋体"/>
          <w:b w:val="0"/>
          <w:bCs w:val="0"/>
          <w:color w:val="auto"/>
          <w:sz w:val="24"/>
          <w:szCs w:val="21"/>
          <w:highlight w:val="none"/>
          <w:lang w:val="en-US"/>
        </w:rPr>
        <w:t>仪器工作站须具有数据库进行文件自动记录与存储、历史数据查询、再处理的功能。</w:t>
      </w:r>
    </w:p>
    <w:p w14:paraId="226092CF">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2.3.21</w:t>
      </w:r>
      <w:r>
        <w:rPr>
          <w:rFonts w:hint="eastAsia" w:ascii="宋体" w:hAnsi="宋体" w:eastAsia="宋体" w:cs="宋体"/>
          <w:b w:val="0"/>
          <w:bCs w:val="0"/>
          <w:color w:val="auto"/>
          <w:sz w:val="24"/>
          <w:szCs w:val="21"/>
          <w:highlight w:val="none"/>
          <w:lang w:val="en-US"/>
        </w:rPr>
        <w:t>能够进行未知气体的自动查找和判定；</w:t>
      </w:r>
    </w:p>
    <w:p w14:paraId="1EDF2548">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2.3.22</w:t>
      </w:r>
      <w:r>
        <w:rPr>
          <w:rFonts w:hint="eastAsia" w:ascii="宋体" w:hAnsi="宋体" w:eastAsia="宋体" w:cs="宋体"/>
          <w:b w:val="0"/>
          <w:bCs w:val="0"/>
          <w:color w:val="auto"/>
          <w:sz w:val="24"/>
          <w:szCs w:val="21"/>
          <w:highlight w:val="none"/>
          <w:lang w:val="en-US"/>
        </w:rPr>
        <w:t>能进行ppm与mg/m</w:t>
      </w:r>
      <w:r>
        <w:rPr>
          <w:rFonts w:hint="eastAsia" w:ascii="宋体" w:hAnsi="宋体" w:eastAsia="宋体" w:cs="宋体"/>
          <w:b w:val="0"/>
          <w:bCs w:val="0"/>
          <w:color w:val="auto"/>
          <w:sz w:val="24"/>
          <w:szCs w:val="21"/>
          <w:highlight w:val="none"/>
          <w:vertAlign w:val="baseline"/>
          <w:lang w:val="en-US"/>
        </w:rPr>
        <w:t>3</w:t>
      </w:r>
      <w:r>
        <w:rPr>
          <w:rFonts w:hint="eastAsia" w:ascii="宋体" w:hAnsi="宋体" w:eastAsia="宋体" w:cs="宋体"/>
          <w:b w:val="0"/>
          <w:bCs w:val="0"/>
          <w:color w:val="auto"/>
          <w:sz w:val="24"/>
          <w:szCs w:val="21"/>
          <w:highlight w:val="none"/>
          <w:lang w:val="en-US"/>
        </w:rPr>
        <w:t>以及干、湿气体浓度的测量及转换；</w:t>
      </w:r>
    </w:p>
    <w:p w14:paraId="10708631">
      <w:pPr>
        <w:pStyle w:val="8"/>
        <w:widowControl/>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eastAsia="zh-CN"/>
        </w:rPr>
        <w:t>2.3.23</w:t>
      </w:r>
      <w:r>
        <w:rPr>
          <w:rFonts w:hint="eastAsia" w:ascii="宋体" w:hAnsi="宋体" w:eastAsia="宋体" w:cs="宋体"/>
          <w:b w:val="0"/>
          <w:bCs w:val="0"/>
          <w:color w:val="auto"/>
          <w:sz w:val="24"/>
          <w:szCs w:val="21"/>
          <w:highlight w:val="none"/>
          <w:lang w:val="en-US"/>
        </w:rPr>
        <w:t>用户可根据需要远程查看仪器工作状态和测试数据，对仪器数据进行下载制作报表。</w:t>
      </w:r>
    </w:p>
    <w:p w14:paraId="175B5949">
      <w:pPr>
        <w:pStyle w:val="8"/>
        <w:spacing w:line="360" w:lineRule="auto"/>
        <w:ind w:firstLine="240" w:firstLineChars="100"/>
        <w:jc w:val="left"/>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2.3.25</w:t>
      </w:r>
      <w:r>
        <w:rPr>
          <w:rFonts w:hint="default" w:ascii="宋体" w:hAnsi="宋体" w:eastAsia="宋体" w:cs="宋体"/>
          <w:b w:val="0"/>
          <w:bCs w:val="0"/>
          <w:color w:val="auto"/>
          <w:sz w:val="24"/>
          <w:szCs w:val="21"/>
          <w:highlight w:val="none"/>
          <w:lang w:val="en-US" w:eastAsia="zh-CN"/>
        </w:rPr>
        <w:t>仪器具有气密性检查功能。</w:t>
      </w:r>
    </w:p>
    <w:p w14:paraId="03668461">
      <w:pPr>
        <w:pStyle w:val="19"/>
        <w:rPr>
          <w:rFonts w:hint="default"/>
          <w:b w:val="0"/>
          <w:bCs w:val="0"/>
          <w:highlight w:val="none"/>
          <w:lang w:val="en-US" w:eastAsia="zh-CN"/>
        </w:rPr>
      </w:pPr>
    </w:p>
    <w:p w14:paraId="6A787E7D">
      <w:pPr>
        <w:pStyle w:val="19"/>
        <w:numPr>
          <w:ilvl w:val="0"/>
          <w:numId w:val="3"/>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便携非甲烷总烃检测仪</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5"/>
        <w:gridCol w:w="6287"/>
      </w:tblGrid>
      <w:tr w14:paraId="0B07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39A21352">
            <w:pPr>
              <w:jc w:val="center"/>
              <w:rPr>
                <w:rFonts w:ascii="宋体" w:hAnsi="宋体"/>
                <w:b/>
                <w:color w:val="000000"/>
                <w:sz w:val="22"/>
                <w:szCs w:val="22"/>
                <w:highlight w:val="none"/>
              </w:rPr>
            </w:pPr>
            <w:r>
              <w:rPr>
                <w:rFonts w:hint="eastAsia" w:ascii="宋体" w:hAnsi="宋体"/>
                <w:b/>
                <w:color w:val="000000"/>
                <w:sz w:val="22"/>
                <w:highlight w:val="none"/>
              </w:rPr>
              <w:t>项目</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0DE34776">
            <w:pPr>
              <w:jc w:val="center"/>
              <w:rPr>
                <w:rFonts w:ascii="宋体" w:hAnsi="宋体"/>
                <w:b/>
                <w:color w:val="000000"/>
                <w:sz w:val="22"/>
                <w:szCs w:val="22"/>
                <w:highlight w:val="none"/>
              </w:rPr>
            </w:pPr>
            <w:r>
              <w:rPr>
                <w:rFonts w:hint="eastAsia" w:ascii="宋体" w:hAnsi="宋体"/>
                <w:b/>
                <w:color w:val="000000"/>
                <w:sz w:val="22"/>
                <w:highlight w:val="none"/>
              </w:rPr>
              <w:t>技术参数</w:t>
            </w:r>
          </w:p>
        </w:tc>
      </w:tr>
      <w:tr w14:paraId="47AE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2BDF385C">
            <w:pPr>
              <w:jc w:val="center"/>
              <w:rPr>
                <w:rFonts w:ascii="宋体" w:hAnsi="宋体"/>
                <w:color w:val="000000"/>
                <w:sz w:val="22"/>
                <w:szCs w:val="22"/>
                <w:highlight w:val="none"/>
              </w:rPr>
            </w:pPr>
            <w:r>
              <w:rPr>
                <w:rFonts w:hint="eastAsia" w:ascii="宋体" w:hAnsi="宋体"/>
                <w:color w:val="000000"/>
                <w:sz w:val="22"/>
                <w:highlight w:val="none"/>
              </w:rPr>
              <w:t>物理尺寸及重量</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23B55A39">
            <w:pPr>
              <w:rPr>
                <w:rFonts w:ascii="宋体" w:hAnsi="宋体"/>
                <w:color w:val="000000"/>
                <w:sz w:val="22"/>
                <w:szCs w:val="22"/>
                <w:highlight w:val="none"/>
              </w:rPr>
            </w:pPr>
            <w:r>
              <w:rPr>
                <w:rFonts w:hint="eastAsia" w:ascii="宋体" w:hAnsi="宋体"/>
                <w:color w:val="000000"/>
                <w:sz w:val="22"/>
                <w:highlight w:val="none"/>
              </w:rPr>
              <w:t>尺寸：413 x 251 x 348 mm；主机约10 kg</w:t>
            </w:r>
          </w:p>
        </w:tc>
      </w:tr>
      <w:tr w14:paraId="03CF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103D9A82">
            <w:pPr>
              <w:jc w:val="center"/>
              <w:rPr>
                <w:rFonts w:ascii="宋体" w:hAnsi="宋体"/>
                <w:color w:val="000000"/>
                <w:sz w:val="22"/>
                <w:szCs w:val="22"/>
                <w:highlight w:val="none"/>
              </w:rPr>
            </w:pPr>
            <w:r>
              <w:rPr>
                <w:rFonts w:hint="eastAsia" w:ascii="宋体" w:hAnsi="宋体"/>
                <w:color w:val="000000"/>
                <w:sz w:val="22"/>
                <w:highlight w:val="none"/>
              </w:rPr>
              <w:t>电源要求</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37C8CBB5">
            <w:pPr>
              <w:rPr>
                <w:rFonts w:ascii="宋体" w:hAnsi="宋体"/>
                <w:color w:val="000000"/>
                <w:sz w:val="22"/>
                <w:szCs w:val="22"/>
                <w:highlight w:val="none"/>
              </w:rPr>
            </w:pPr>
            <w:r>
              <w:rPr>
                <w:rFonts w:hint="eastAsia" w:ascii="宋体" w:hAnsi="宋体"/>
                <w:color w:val="000000"/>
                <w:sz w:val="22"/>
                <w:highlight w:val="none"/>
              </w:rPr>
              <w:t>电池供电（24 V，19.2 Ah）或适配器供电（220VAC，50Hz）</w:t>
            </w:r>
          </w:p>
        </w:tc>
      </w:tr>
      <w:tr w14:paraId="265F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74D6E0C0">
            <w:pPr>
              <w:jc w:val="center"/>
              <w:rPr>
                <w:rFonts w:ascii="宋体" w:hAnsi="宋体"/>
                <w:color w:val="000000"/>
                <w:sz w:val="22"/>
                <w:szCs w:val="22"/>
                <w:highlight w:val="none"/>
              </w:rPr>
            </w:pPr>
            <w:r>
              <w:rPr>
                <w:rFonts w:hint="eastAsia" w:ascii="宋体" w:hAnsi="宋体"/>
                <w:color w:val="000000"/>
                <w:sz w:val="22"/>
                <w:highlight w:val="none"/>
              </w:rPr>
              <w:t>工作温度</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18176350">
            <w:pPr>
              <w:rPr>
                <w:rFonts w:ascii="宋体" w:hAnsi="宋体"/>
                <w:color w:val="000000"/>
                <w:sz w:val="22"/>
                <w:szCs w:val="22"/>
                <w:highlight w:val="none"/>
              </w:rPr>
            </w:pPr>
            <w:r>
              <w:rPr>
                <w:rFonts w:hint="eastAsia" w:ascii="宋体" w:hAnsi="宋体"/>
                <w:color w:val="000000"/>
                <w:sz w:val="22"/>
                <w:highlight w:val="none"/>
              </w:rPr>
              <w:t>（-15~45) ℃</w:t>
            </w:r>
          </w:p>
        </w:tc>
      </w:tr>
      <w:tr w14:paraId="7EF0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68A7ABE3">
            <w:pPr>
              <w:jc w:val="center"/>
              <w:rPr>
                <w:rFonts w:ascii="宋体" w:hAnsi="宋体"/>
                <w:color w:val="000000"/>
                <w:sz w:val="22"/>
                <w:szCs w:val="22"/>
                <w:highlight w:val="none"/>
              </w:rPr>
            </w:pPr>
            <w:r>
              <w:rPr>
                <w:rFonts w:hint="eastAsia" w:ascii="宋体" w:hAnsi="宋体"/>
                <w:color w:val="000000"/>
                <w:sz w:val="22"/>
                <w:highlight w:val="none"/>
              </w:rPr>
              <w:t>工作湿度</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37BA37AE">
            <w:pPr>
              <w:rPr>
                <w:rFonts w:ascii="宋体" w:hAnsi="宋体"/>
                <w:color w:val="000000"/>
                <w:sz w:val="22"/>
                <w:szCs w:val="22"/>
                <w:highlight w:val="none"/>
              </w:rPr>
            </w:pPr>
            <w:r>
              <w:rPr>
                <w:rFonts w:hint="eastAsia" w:ascii="宋体" w:hAnsi="宋体"/>
                <w:color w:val="000000"/>
                <w:sz w:val="22"/>
                <w:highlight w:val="none"/>
              </w:rPr>
              <w:t xml:space="preserve">(0~95)%RH </w:t>
            </w:r>
          </w:p>
        </w:tc>
      </w:tr>
      <w:tr w14:paraId="4A9D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76816CAE">
            <w:pPr>
              <w:jc w:val="center"/>
              <w:rPr>
                <w:rFonts w:ascii="宋体" w:hAnsi="宋体"/>
                <w:color w:val="000000"/>
                <w:sz w:val="22"/>
                <w:szCs w:val="22"/>
                <w:highlight w:val="none"/>
              </w:rPr>
            </w:pPr>
            <w:r>
              <w:rPr>
                <w:rFonts w:hint="eastAsia" w:ascii="宋体" w:hAnsi="宋体"/>
                <w:color w:val="000000"/>
                <w:sz w:val="22"/>
                <w:highlight w:val="none"/>
              </w:rPr>
              <w:t>检测器</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2A617CFA">
            <w:pPr>
              <w:rPr>
                <w:rFonts w:ascii="宋体" w:hAnsi="宋体"/>
                <w:color w:val="000000"/>
                <w:sz w:val="22"/>
                <w:szCs w:val="22"/>
                <w:highlight w:val="none"/>
              </w:rPr>
            </w:pPr>
            <w:r>
              <w:rPr>
                <w:rFonts w:hint="eastAsia" w:ascii="宋体" w:hAnsi="宋体"/>
                <w:color w:val="000000"/>
                <w:sz w:val="22"/>
                <w:highlight w:val="none"/>
              </w:rPr>
              <w:t>高灵敏度氢火焰离子化（FID）检测器</w:t>
            </w:r>
          </w:p>
        </w:tc>
      </w:tr>
      <w:tr w14:paraId="6CC1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03F73073">
            <w:pPr>
              <w:jc w:val="center"/>
              <w:rPr>
                <w:rFonts w:ascii="宋体" w:hAnsi="宋体"/>
                <w:color w:val="000000"/>
                <w:sz w:val="22"/>
                <w:szCs w:val="22"/>
                <w:highlight w:val="none"/>
              </w:rPr>
            </w:pPr>
            <w:r>
              <w:rPr>
                <w:rFonts w:hint="eastAsia" w:ascii="宋体" w:hAnsi="宋体"/>
                <w:color w:val="000000"/>
                <w:sz w:val="22"/>
                <w:highlight w:val="none"/>
              </w:rPr>
              <w:t>FID检出限</w:t>
            </w:r>
          </w:p>
        </w:tc>
        <w:tc>
          <w:tcPr>
            <w:tcW w:w="6287" w:type="dxa"/>
            <w:tcBorders>
              <w:top w:val="single" w:color="000000" w:sz="6" w:space="0"/>
              <w:left w:val="single" w:color="000000" w:sz="6" w:space="0"/>
              <w:bottom w:val="single" w:color="000000" w:sz="6" w:space="0"/>
              <w:right w:val="single" w:color="000000" w:sz="6" w:space="0"/>
            </w:tcBorders>
            <w:noWrap w:val="0"/>
            <w:vAlign w:val="center"/>
          </w:tcPr>
          <w:p w14:paraId="24F4755A">
            <w:pPr>
              <w:rPr>
                <w:rFonts w:ascii="宋体" w:hAnsi="宋体"/>
                <w:color w:val="000000"/>
                <w:sz w:val="22"/>
                <w:szCs w:val="22"/>
                <w:highlight w:val="none"/>
              </w:rPr>
            </w:pPr>
            <w:r>
              <w:rPr>
                <w:rFonts w:hint="eastAsia" w:ascii="宋体" w:hAnsi="宋体"/>
                <w:color w:val="000000"/>
                <w:sz w:val="22"/>
                <w:highlight w:val="none"/>
              </w:rPr>
              <w:t>非甲烷总烃≤0.1</w:t>
            </w:r>
            <w:r>
              <w:rPr>
                <w:rFonts w:ascii="宋体" w:hAnsi="宋体"/>
                <w:color w:val="000000"/>
                <w:sz w:val="22"/>
                <w:highlight w:val="none"/>
              </w:rPr>
              <w:t>2</w:t>
            </w:r>
            <w:r>
              <w:rPr>
                <w:rFonts w:hint="eastAsia" w:ascii="宋体" w:hAnsi="宋体"/>
                <w:color w:val="000000"/>
                <w:sz w:val="22"/>
                <w:highlight w:val="none"/>
              </w:rPr>
              <w:t>ppm，苯系物≤0.1</w:t>
            </w:r>
            <w:r>
              <w:rPr>
                <w:rFonts w:ascii="宋体" w:hAnsi="宋体"/>
                <w:color w:val="000000"/>
                <w:sz w:val="22"/>
                <w:highlight w:val="none"/>
              </w:rPr>
              <w:t>2</w:t>
            </w:r>
            <w:r>
              <w:rPr>
                <w:rFonts w:hint="eastAsia" w:ascii="宋体" w:hAnsi="宋体"/>
                <w:color w:val="000000"/>
                <w:sz w:val="22"/>
                <w:highlight w:val="none"/>
              </w:rPr>
              <w:t>ppm</w:t>
            </w:r>
          </w:p>
        </w:tc>
      </w:tr>
      <w:tr w14:paraId="00D94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3C63DEA5">
            <w:pPr>
              <w:jc w:val="center"/>
              <w:rPr>
                <w:rFonts w:ascii="宋体" w:hAnsi="宋体"/>
                <w:color w:val="000000"/>
                <w:sz w:val="22"/>
                <w:szCs w:val="22"/>
                <w:highlight w:val="none"/>
              </w:rPr>
            </w:pPr>
            <w:r>
              <w:rPr>
                <w:rFonts w:hint="eastAsia" w:ascii="宋体" w:hAnsi="宋体"/>
                <w:color w:val="000000"/>
                <w:sz w:val="22"/>
                <w:highlight w:val="none"/>
              </w:rPr>
              <w:t>定性重复性</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7771A8B0">
            <w:pPr>
              <w:rPr>
                <w:rFonts w:ascii="宋体" w:hAnsi="宋体"/>
                <w:color w:val="000000"/>
                <w:sz w:val="22"/>
                <w:szCs w:val="22"/>
                <w:highlight w:val="none"/>
              </w:rPr>
            </w:pPr>
            <w:r>
              <w:rPr>
                <w:rFonts w:hint="eastAsia" w:ascii="宋体" w:hAnsi="宋体"/>
                <w:color w:val="000000"/>
                <w:sz w:val="22"/>
                <w:highlight w:val="none"/>
              </w:rPr>
              <w:t>非甲烷总烃RSD≤0.5%，苯系物RSD≤1.0%</w:t>
            </w:r>
          </w:p>
        </w:tc>
      </w:tr>
      <w:tr w14:paraId="0391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3201BDAA">
            <w:pPr>
              <w:jc w:val="center"/>
              <w:rPr>
                <w:rFonts w:ascii="宋体" w:hAnsi="宋体"/>
                <w:color w:val="000000"/>
                <w:sz w:val="22"/>
                <w:szCs w:val="22"/>
                <w:highlight w:val="none"/>
              </w:rPr>
            </w:pPr>
            <w:r>
              <w:rPr>
                <w:rFonts w:hint="eastAsia" w:ascii="宋体" w:hAnsi="宋体"/>
                <w:color w:val="000000"/>
                <w:sz w:val="22"/>
                <w:highlight w:val="none"/>
              </w:rPr>
              <w:t>定量重复性</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2194B316">
            <w:pPr>
              <w:rPr>
                <w:rFonts w:ascii="宋体" w:hAnsi="宋体"/>
                <w:color w:val="000000"/>
                <w:sz w:val="22"/>
                <w:szCs w:val="22"/>
                <w:highlight w:val="none"/>
              </w:rPr>
            </w:pPr>
            <w:r>
              <w:rPr>
                <w:rFonts w:hint="eastAsia" w:ascii="宋体" w:hAnsi="宋体"/>
                <w:color w:val="000000"/>
                <w:sz w:val="22"/>
                <w:highlight w:val="none"/>
              </w:rPr>
              <w:t>非甲烷总烃RSD≤2.0%，苯系物RSD≤3.0%</w:t>
            </w:r>
          </w:p>
        </w:tc>
      </w:tr>
      <w:tr w14:paraId="2463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647C99CD">
            <w:pPr>
              <w:jc w:val="center"/>
              <w:rPr>
                <w:rFonts w:ascii="宋体" w:hAnsi="宋体"/>
                <w:color w:val="000000"/>
                <w:sz w:val="22"/>
                <w:szCs w:val="22"/>
                <w:highlight w:val="none"/>
              </w:rPr>
            </w:pPr>
            <w:r>
              <w:rPr>
                <w:rFonts w:hint="eastAsia" w:ascii="宋体" w:hAnsi="宋体"/>
                <w:color w:val="000000"/>
                <w:sz w:val="22"/>
                <w:highlight w:val="none"/>
              </w:rPr>
              <w:t>量程</w:t>
            </w:r>
          </w:p>
        </w:tc>
        <w:tc>
          <w:tcPr>
            <w:tcW w:w="6287" w:type="dxa"/>
            <w:tcBorders>
              <w:top w:val="single" w:color="000000" w:sz="6" w:space="0"/>
              <w:left w:val="single" w:color="000000" w:sz="6" w:space="0"/>
              <w:bottom w:val="single" w:color="000000" w:sz="6" w:space="0"/>
              <w:right w:val="single" w:color="000000" w:sz="6" w:space="0"/>
            </w:tcBorders>
            <w:noWrap w:val="0"/>
            <w:vAlign w:val="center"/>
          </w:tcPr>
          <w:p w14:paraId="17FD6FCF">
            <w:pPr>
              <w:rPr>
                <w:rFonts w:ascii="宋体" w:hAnsi="宋体"/>
                <w:color w:val="000000"/>
                <w:sz w:val="22"/>
                <w:szCs w:val="22"/>
                <w:highlight w:val="none"/>
              </w:rPr>
            </w:pPr>
            <w:r>
              <w:rPr>
                <w:rFonts w:hint="eastAsia" w:ascii="宋体" w:hAnsi="宋体"/>
                <w:color w:val="000000"/>
                <w:sz w:val="22"/>
                <w:highlight w:val="none"/>
              </w:rPr>
              <w:t>0.1~30000mg/m</w:t>
            </w:r>
            <w:r>
              <w:rPr>
                <w:rFonts w:hint="eastAsia" w:ascii="宋体" w:hAnsi="宋体"/>
                <w:color w:val="000000"/>
                <w:sz w:val="22"/>
                <w:highlight w:val="none"/>
                <w:vertAlign w:val="superscript"/>
              </w:rPr>
              <w:t>3</w:t>
            </w:r>
            <w:r>
              <w:rPr>
                <w:rFonts w:hint="eastAsia" w:ascii="宋体" w:hAnsi="宋体"/>
                <w:color w:val="000000"/>
                <w:sz w:val="22"/>
                <w:highlight w:val="none"/>
              </w:rPr>
              <w:t>（以碳计），0.1~1000ppm（苯）</w:t>
            </w:r>
          </w:p>
        </w:tc>
      </w:tr>
      <w:tr w14:paraId="38CF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68E861CE">
            <w:pPr>
              <w:jc w:val="center"/>
              <w:rPr>
                <w:rFonts w:ascii="宋体" w:hAnsi="宋体"/>
                <w:color w:val="000000"/>
                <w:sz w:val="22"/>
                <w:szCs w:val="22"/>
                <w:highlight w:val="none"/>
              </w:rPr>
            </w:pPr>
            <w:r>
              <w:rPr>
                <w:rFonts w:hint="eastAsia" w:ascii="宋体" w:hAnsi="宋体"/>
                <w:color w:val="000000"/>
                <w:sz w:val="22"/>
                <w:highlight w:val="none"/>
              </w:rPr>
              <w:t>分析周期</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24538820">
            <w:pPr>
              <w:rPr>
                <w:rFonts w:ascii="宋体" w:hAnsi="宋体"/>
                <w:color w:val="000000"/>
                <w:sz w:val="22"/>
                <w:szCs w:val="22"/>
                <w:highlight w:val="none"/>
              </w:rPr>
            </w:pPr>
            <w:r>
              <w:rPr>
                <w:rFonts w:hint="eastAsia" w:ascii="宋体" w:hAnsi="宋体"/>
                <w:color w:val="000000"/>
                <w:sz w:val="22"/>
                <w:highlight w:val="none"/>
              </w:rPr>
              <w:t>≤2 min(非甲烷总烃)，≤5min（苯系物）</w:t>
            </w:r>
          </w:p>
        </w:tc>
      </w:tr>
      <w:tr w14:paraId="79AF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02152E6A">
            <w:pPr>
              <w:jc w:val="center"/>
              <w:rPr>
                <w:rFonts w:ascii="宋体" w:hAnsi="宋体"/>
                <w:color w:val="000000"/>
                <w:sz w:val="22"/>
                <w:szCs w:val="22"/>
                <w:highlight w:val="none"/>
              </w:rPr>
            </w:pPr>
            <w:r>
              <w:rPr>
                <w:rFonts w:hint="eastAsia" w:ascii="宋体" w:hAnsi="宋体"/>
                <w:color w:val="000000"/>
                <w:sz w:val="22"/>
                <w:highlight w:val="none"/>
              </w:rPr>
              <w:t>采样探头温度</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10AE6617">
            <w:pPr>
              <w:rPr>
                <w:rFonts w:ascii="宋体" w:hAnsi="宋体"/>
                <w:color w:val="000000"/>
                <w:sz w:val="22"/>
                <w:szCs w:val="22"/>
                <w:highlight w:val="none"/>
              </w:rPr>
            </w:pPr>
            <w:r>
              <w:rPr>
                <w:rFonts w:hint="eastAsia" w:ascii="宋体" w:hAnsi="宋体"/>
                <w:color w:val="000000"/>
                <w:sz w:val="22"/>
                <w:highlight w:val="none"/>
              </w:rPr>
              <w:t>（环境温度~180）℃可调</w:t>
            </w:r>
          </w:p>
        </w:tc>
      </w:tr>
      <w:tr w14:paraId="3727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5B5936C3">
            <w:pPr>
              <w:jc w:val="center"/>
              <w:rPr>
                <w:rFonts w:ascii="宋体" w:hAnsi="宋体"/>
                <w:color w:val="000000"/>
                <w:sz w:val="22"/>
                <w:szCs w:val="22"/>
                <w:highlight w:val="none"/>
              </w:rPr>
            </w:pPr>
            <w:r>
              <w:rPr>
                <w:rFonts w:hint="eastAsia" w:ascii="宋体" w:hAnsi="宋体"/>
                <w:color w:val="000000"/>
                <w:sz w:val="22"/>
                <w:highlight w:val="none"/>
              </w:rPr>
              <w:t>阀箱最高温度</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34001518">
            <w:pPr>
              <w:rPr>
                <w:rFonts w:ascii="宋体" w:hAnsi="宋体"/>
                <w:color w:val="000000"/>
                <w:sz w:val="22"/>
                <w:szCs w:val="22"/>
                <w:highlight w:val="none"/>
              </w:rPr>
            </w:pPr>
            <w:r>
              <w:rPr>
                <w:rFonts w:hint="eastAsia" w:ascii="宋体" w:hAnsi="宋体"/>
                <w:color w:val="000000"/>
                <w:sz w:val="22"/>
                <w:highlight w:val="none"/>
              </w:rPr>
              <w:t>（环境温度~200）℃</w:t>
            </w:r>
          </w:p>
        </w:tc>
      </w:tr>
      <w:tr w14:paraId="520B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14EA46EB">
            <w:pPr>
              <w:jc w:val="center"/>
              <w:rPr>
                <w:rFonts w:ascii="宋体" w:hAnsi="宋体"/>
                <w:color w:val="000000"/>
                <w:sz w:val="22"/>
                <w:szCs w:val="22"/>
                <w:highlight w:val="none"/>
              </w:rPr>
            </w:pPr>
            <w:r>
              <w:rPr>
                <w:rFonts w:hint="eastAsia" w:ascii="宋体" w:hAnsi="宋体"/>
                <w:color w:val="000000"/>
                <w:sz w:val="22"/>
                <w:highlight w:val="none"/>
              </w:rPr>
              <w:t>样气流速</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1A5BC2CD">
            <w:pPr>
              <w:rPr>
                <w:rFonts w:ascii="宋体" w:hAnsi="宋体"/>
                <w:color w:val="000000"/>
                <w:sz w:val="22"/>
                <w:szCs w:val="22"/>
                <w:highlight w:val="none"/>
              </w:rPr>
            </w:pPr>
            <w:r>
              <w:rPr>
                <w:rFonts w:hint="eastAsia" w:ascii="宋体" w:hAnsi="宋体"/>
                <w:color w:val="000000"/>
                <w:sz w:val="22"/>
                <w:highlight w:val="none"/>
              </w:rPr>
              <w:t>不低于0.6 L/min</w:t>
            </w:r>
          </w:p>
        </w:tc>
      </w:tr>
      <w:tr w14:paraId="1E96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03FEE991">
            <w:pPr>
              <w:jc w:val="center"/>
              <w:rPr>
                <w:rFonts w:ascii="宋体" w:hAnsi="宋体"/>
                <w:color w:val="000000"/>
                <w:sz w:val="22"/>
                <w:szCs w:val="22"/>
                <w:highlight w:val="none"/>
              </w:rPr>
            </w:pPr>
            <w:r>
              <w:rPr>
                <w:rFonts w:hint="eastAsia" w:ascii="宋体" w:hAnsi="宋体"/>
                <w:color w:val="000000"/>
                <w:sz w:val="22"/>
                <w:highlight w:val="none"/>
              </w:rPr>
              <w:t>载气</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76540ABE">
            <w:pPr>
              <w:rPr>
                <w:rFonts w:ascii="宋体" w:hAnsi="宋体"/>
                <w:color w:val="000000"/>
                <w:sz w:val="22"/>
                <w:szCs w:val="22"/>
                <w:highlight w:val="none"/>
              </w:rPr>
            </w:pPr>
            <w:r>
              <w:rPr>
                <w:rFonts w:hint="eastAsia" w:ascii="宋体" w:hAnsi="宋体"/>
                <w:color w:val="000000"/>
                <w:sz w:val="22"/>
                <w:highlight w:val="none"/>
              </w:rPr>
              <w:t>75mL内置高压气瓶供气，高纯氮气，99.999%，可反复充放</w:t>
            </w:r>
          </w:p>
        </w:tc>
      </w:tr>
      <w:tr w14:paraId="1EFB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790609D8">
            <w:pPr>
              <w:jc w:val="center"/>
              <w:rPr>
                <w:rFonts w:ascii="宋体" w:hAnsi="宋体"/>
                <w:color w:val="000000"/>
                <w:sz w:val="22"/>
                <w:szCs w:val="22"/>
                <w:highlight w:val="none"/>
              </w:rPr>
            </w:pPr>
            <w:r>
              <w:rPr>
                <w:rFonts w:hint="eastAsia" w:ascii="宋体" w:hAnsi="宋体"/>
                <w:color w:val="000000"/>
                <w:sz w:val="22"/>
                <w:highlight w:val="none"/>
              </w:rPr>
              <w:t>氢气</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71932998">
            <w:pPr>
              <w:rPr>
                <w:rFonts w:ascii="宋体" w:hAnsi="宋体"/>
                <w:color w:val="000000"/>
                <w:sz w:val="22"/>
                <w:szCs w:val="22"/>
                <w:highlight w:val="none"/>
              </w:rPr>
            </w:pPr>
            <w:r>
              <w:rPr>
                <w:rFonts w:hint="eastAsia" w:ascii="宋体" w:hAnsi="宋体"/>
                <w:color w:val="000000"/>
                <w:sz w:val="22"/>
                <w:highlight w:val="none"/>
              </w:rPr>
              <w:t>75mL内置高压气瓶供气，高纯氢气，99.999%，可反复充放;可选配储氢合金进行供气，使用时间更长</w:t>
            </w:r>
          </w:p>
        </w:tc>
      </w:tr>
      <w:tr w14:paraId="7B60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118B688A">
            <w:pPr>
              <w:jc w:val="center"/>
              <w:rPr>
                <w:rFonts w:ascii="宋体" w:hAnsi="宋体"/>
                <w:color w:val="000000"/>
                <w:sz w:val="22"/>
                <w:szCs w:val="22"/>
                <w:highlight w:val="none"/>
              </w:rPr>
            </w:pPr>
            <w:r>
              <w:rPr>
                <w:rFonts w:hint="eastAsia" w:ascii="宋体" w:hAnsi="宋体"/>
                <w:color w:val="000000"/>
                <w:sz w:val="22"/>
                <w:highlight w:val="none"/>
              </w:rPr>
              <w:t>标气</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7FAB6B7B">
            <w:pPr>
              <w:rPr>
                <w:rFonts w:ascii="宋体" w:hAnsi="宋体"/>
                <w:color w:val="000000"/>
                <w:sz w:val="22"/>
                <w:szCs w:val="22"/>
                <w:highlight w:val="none"/>
              </w:rPr>
            </w:pPr>
            <w:r>
              <w:rPr>
                <w:rFonts w:hint="eastAsia" w:ascii="宋体" w:hAnsi="宋体"/>
                <w:color w:val="000000"/>
                <w:sz w:val="22"/>
                <w:highlight w:val="none"/>
              </w:rPr>
              <w:t>75mL内置高压气瓶，市售有证标气，平衡气为合成空气</w:t>
            </w:r>
          </w:p>
        </w:tc>
      </w:tr>
      <w:tr w14:paraId="5969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498DB6D7">
            <w:pPr>
              <w:jc w:val="center"/>
              <w:rPr>
                <w:rFonts w:ascii="宋体" w:hAnsi="宋体"/>
                <w:color w:val="000000"/>
                <w:sz w:val="22"/>
                <w:szCs w:val="22"/>
                <w:highlight w:val="none"/>
              </w:rPr>
            </w:pPr>
            <w:r>
              <w:rPr>
                <w:rFonts w:hint="eastAsia" w:ascii="宋体" w:hAnsi="宋体"/>
                <w:color w:val="000000"/>
                <w:sz w:val="22"/>
                <w:highlight w:val="none"/>
              </w:rPr>
              <w:t>高压气瓶使用时间</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1CF09A94">
            <w:pPr>
              <w:rPr>
                <w:rFonts w:ascii="宋体" w:hAnsi="宋体"/>
                <w:color w:val="000000"/>
                <w:sz w:val="22"/>
                <w:szCs w:val="22"/>
                <w:highlight w:val="none"/>
              </w:rPr>
            </w:pPr>
            <w:r>
              <w:rPr>
                <w:rFonts w:hint="eastAsia" w:ascii="宋体" w:hAnsi="宋体"/>
                <w:color w:val="000000"/>
                <w:sz w:val="22"/>
                <w:highlight w:val="none"/>
              </w:rPr>
              <w:t>2000 psi下使用时间不小于3 h，可现场无工具替换主机内的三种钢瓶</w:t>
            </w:r>
          </w:p>
        </w:tc>
      </w:tr>
      <w:tr w14:paraId="0B1A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025F23B9">
            <w:pPr>
              <w:jc w:val="center"/>
              <w:rPr>
                <w:rFonts w:ascii="宋体" w:hAnsi="宋体"/>
                <w:color w:val="000000"/>
                <w:sz w:val="22"/>
                <w:szCs w:val="22"/>
                <w:highlight w:val="none"/>
              </w:rPr>
            </w:pPr>
            <w:r>
              <w:rPr>
                <w:rFonts w:hint="eastAsia" w:ascii="宋体" w:hAnsi="宋体"/>
                <w:color w:val="000000"/>
                <w:sz w:val="22"/>
                <w:highlight w:val="none"/>
              </w:rPr>
              <w:t>电池使用时间</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2BDEFDF3">
            <w:pPr>
              <w:rPr>
                <w:rFonts w:ascii="宋体" w:hAnsi="宋体"/>
                <w:color w:val="000000"/>
                <w:sz w:val="22"/>
                <w:szCs w:val="22"/>
                <w:highlight w:val="none"/>
              </w:rPr>
            </w:pPr>
            <w:r>
              <w:rPr>
                <w:rFonts w:hint="eastAsia" w:ascii="宋体" w:hAnsi="宋体"/>
                <w:color w:val="000000"/>
                <w:sz w:val="22"/>
                <w:highlight w:val="none"/>
              </w:rPr>
              <w:t>充电时间＜8 h；充满电后使用时间不小于4 h（主机+伴热管线）</w:t>
            </w:r>
          </w:p>
        </w:tc>
      </w:tr>
      <w:tr w14:paraId="24A9A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235" w:type="dxa"/>
            <w:tcBorders>
              <w:top w:val="single" w:color="000000" w:sz="6" w:space="0"/>
              <w:left w:val="single" w:color="000000" w:sz="6" w:space="0"/>
              <w:bottom w:val="single" w:color="000000" w:sz="6" w:space="0"/>
              <w:right w:val="single" w:color="000000" w:sz="6" w:space="0"/>
            </w:tcBorders>
            <w:noWrap w:val="0"/>
            <w:vAlign w:val="center"/>
          </w:tcPr>
          <w:p w14:paraId="1C7069A2">
            <w:pPr>
              <w:jc w:val="center"/>
              <w:rPr>
                <w:rFonts w:ascii="宋体" w:hAnsi="宋体"/>
                <w:color w:val="000000"/>
                <w:sz w:val="22"/>
                <w:szCs w:val="22"/>
                <w:highlight w:val="none"/>
              </w:rPr>
            </w:pPr>
            <w:r>
              <w:rPr>
                <w:rFonts w:hint="eastAsia" w:ascii="宋体" w:hAnsi="宋体"/>
                <w:color w:val="000000"/>
                <w:sz w:val="22"/>
                <w:highlight w:val="none"/>
              </w:rPr>
              <w:t>质控保证</w:t>
            </w:r>
          </w:p>
        </w:tc>
        <w:tc>
          <w:tcPr>
            <w:tcW w:w="6287" w:type="dxa"/>
            <w:tcBorders>
              <w:top w:val="single" w:color="000000" w:sz="6" w:space="0"/>
              <w:left w:val="single" w:color="000000" w:sz="6" w:space="0"/>
              <w:bottom w:val="single" w:color="000000" w:sz="6" w:space="0"/>
              <w:right w:val="single" w:color="000000" w:sz="6" w:space="0"/>
            </w:tcBorders>
            <w:noWrap w:val="0"/>
            <w:vAlign w:val="top"/>
          </w:tcPr>
          <w:p w14:paraId="3CBF41F0">
            <w:pPr>
              <w:rPr>
                <w:rFonts w:ascii="宋体" w:hAnsi="宋体"/>
                <w:b/>
                <w:color w:val="000000"/>
                <w:sz w:val="22"/>
                <w:szCs w:val="22"/>
                <w:highlight w:val="none"/>
              </w:rPr>
            </w:pPr>
            <w:r>
              <w:rPr>
                <w:rFonts w:hint="eastAsia" w:ascii="宋体" w:hAnsi="宋体"/>
                <w:color w:val="000000"/>
                <w:sz w:val="22"/>
                <w:highlight w:val="none"/>
              </w:rPr>
              <w:t>内置多条校准曲线，无需工具及外接标气即可进行现场校准</w:t>
            </w:r>
          </w:p>
        </w:tc>
      </w:tr>
    </w:tbl>
    <w:p w14:paraId="53B88CC1">
      <w:pPr>
        <w:pStyle w:val="19"/>
        <w:numPr>
          <w:ilvl w:val="-1"/>
          <w:numId w:val="0"/>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技术要求：</w:t>
      </w:r>
    </w:p>
    <w:p w14:paraId="53ED4688">
      <w:pPr>
        <w:tabs>
          <w:tab w:val="left" w:pos="1470"/>
        </w:tabs>
        <w:spacing w:line="360" w:lineRule="auto"/>
        <w:ind w:firstLine="240" w:firstLineChars="100"/>
        <w:jc w:val="left"/>
        <w:rPr>
          <w:rFonts w:ascii="宋体" w:hAnsi="宋体" w:cs="宋体"/>
          <w:sz w:val="24"/>
          <w:highlight w:val="none"/>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highlight w:val="none"/>
        </w:rPr>
        <w:t>（1）集成度高：主机内部采用模块化设计，色谱分析模块、FID检测器、载气、氢气、标准气体等气瓶和电池等附配件集成在一台分析仪主机内部，无需外部气瓶附件箱及电池附件箱，不需外部连接仪表主机</w:t>
      </w:r>
      <w:r>
        <w:rPr>
          <w:rFonts w:hint="default" w:ascii="Arial" w:hAnsi="Arial" w:cs="Arial"/>
          <w:sz w:val="24"/>
          <w:highlight w:val="none"/>
        </w:rPr>
        <w:t>≤</w:t>
      </w:r>
      <w:r>
        <w:rPr>
          <w:rFonts w:hint="eastAsia" w:ascii="宋体" w:hAnsi="宋体" w:cs="宋体"/>
          <w:sz w:val="24"/>
          <w:highlight w:val="none"/>
        </w:rPr>
        <w:t>10kg，整机（含伴热管线、气瓶、电池等所有附配件重量小于15kg，轻松实现单手拎持，具有良好的便携及移动性。</w:t>
      </w:r>
    </w:p>
    <w:p w14:paraId="3855B02D">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（2）不用市电：主机自带电池可同时给伴热管线和仪表主机供电，超大容量电池，电池容量为19.2Ah，可同时给伴热管线和仪表主机持续供电时间不少于4小时，有效避免现场拉市电。</w:t>
      </w:r>
    </w:p>
    <w:p w14:paraId="1707C019">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（3）气瓶快速更换：标气、氢气以及载气使用自密封气瓶形式，气瓶体积75mL，可以自行重复充放；氢气和载气每瓶使用时间大于3小时，可现场无工具10秒替换气瓶，快速恢复检测。</w:t>
      </w:r>
    </w:p>
    <w:p w14:paraId="200BE2C9">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（4）全程高温伴热：样品采集部件及流路具备全程加热和保温功能，加热温度环境温度~180℃可调，有效解决高温高湿气体场合下样品的损失问题，提供精准的测试结果。</w:t>
      </w:r>
    </w:p>
    <w:p w14:paraId="1B6CBBF3">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（5）甲烷和非甲烷总烃全自动测定：完全自动化的流路设计（EPC电子流量控制），单阀双进样，一次性自动测定甲烷和非甲烷总烃的值。</w:t>
      </w:r>
    </w:p>
    <w:p w14:paraId="18636CB1">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（6）友好的人机界面：采用彩色触控大屏，测试数据大字体显示，屏幕高亮显示，方便客户户外观测，显示测试浓度、测试谱图，方便检测机构备案。</w:t>
      </w:r>
    </w:p>
    <w:p w14:paraId="27EF2D71">
      <w:pPr>
        <w:tabs>
          <w:tab w:val="left" w:pos="1470"/>
        </w:tabs>
        <w:spacing w:line="360" w:lineRule="auto"/>
        <w:ind w:firstLine="240" w:firstLineChars="100"/>
        <w:jc w:val="left"/>
        <w:rPr>
          <w:rFonts w:hint="eastAsia" w:ascii="宋体" w:hAnsi="宋体" w:cs="宋体"/>
          <w:sz w:val="24"/>
          <w:highlight w:val="none"/>
        </w:rPr>
      </w:pPr>
      <w:r>
        <w:rPr>
          <w:rFonts w:hint="eastAsia" w:ascii="宋体" w:hAnsi="宋体" w:cs="宋体"/>
          <w:sz w:val="24"/>
          <w:highlight w:val="none"/>
        </w:rPr>
        <w:t>（7）易操作的平板软件：客户可以使用平板软件进行操作，包括仪器运行，参数设置，查看测试结果，数据导出等，操作简单便捷，采用wifi连接，可实现10 m远程操控。</w:t>
      </w:r>
    </w:p>
    <w:p w14:paraId="6B915CC7">
      <w:pPr>
        <w:pStyle w:val="8"/>
        <w:spacing w:line="360" w:lineRule="auto"/>
        <w:ind w:firstLine="240" w:firstLineChars="100"/>
        <w:jc w:val="left"/>
        <w:rPr>
          <w:rFonts w:hint="eastAsia" w:ascii="宋体" w:hAnsi="宋体" w:eastAsia="宋体" w:cs="宋体"/>
          <w:b w:val="0"/>
          <w:bCs w:val="0"/>
          <w:color w:val="auto"/>
          <w:sz w:val="24"/>
          <w:szCs w:val="21"/>
          <w:highlight w:val="none"/>
          <w:lang w:val="en-US"/>
        </w:rPr>
      </w:pPr>
      <w:r>
        <w:rPr>
          <w:rFonts w:hint="eastAsia" w:ascii="宋体" w:hAnsi="宋体" w:eastAsia="宋体" w:cs="宋体"/>
          <w:b w:val="0"/>
          <w:bCs w:val="0"/>
          <w:color w:val="auto"/>
          <w:sz w:val="24"/>
          <w:szCs w:val="21"/>
          <w:highlight w:val="none"/>
          <w:lang w:val="en-US"/>
        </w:rPr>
        <w:t>（8）数据传输功能：主机测试数据可以通过无线WI-FI及时把所测结果导出到客户端平台，远程掌握现场工况。</w:t>
      </w:r>
    </w:p>
    <w:p w14:paraId="2FED6962">
      <w:pPr>
        <w:tabs>
          <w:tab w:val="left" w:pos="1470"/>
        </w:tabs>
        <w:spacing w:line="360" w:lineRule="auto"/>
        <w:ind w:firstLine="240" w:firstLineChars="100"/>
        <w:jc w:val="left"/>
        <w:rPr>
          <w:rFonts w:ascii="宋体" w:hAnsi="宋体" w:cs="宋体"/>
          <w:sz w:val="24"/>
          <w:highlight w:val="none"/>
        </w:rPr>
      </w:pPr>
      <w:r>
        <w:rPr>
          <w:rFonts w:hint="eastAsia" w:ascii="宋体" w:hAnsi="宋体" w:cs="宋体"/>
          <w:sz w:val="24"/>
          <w:highlight w:val="none"/>
        </w:rPr>
        <w:t>（9）维护使用成本低：各种标气瓶和氢气瓶，可以重复充放，避免无谓的浪费；活性炭净化管和FID内的点火丝等耗材可以单独替换。</w:t>
      </w:r>
    </w:p>
    <w:p w14:paraId="25A5647C">
      <w:pPr>
        <w:pStyle w:val="19"/>
        <w:numPr>
          <w:ilvl w:val="-1"/>
          <w:numId w:val="0"/>
        </w:numPr>
        <w:rPr>
          <w:rFonts w:hint="default" w:ascii="宋体" w:hAnsi="宋体" w:eastAsia="宋体" w:cs="宋体"/>
          <w:b/>
          <w:bCs/>
          <w:sz w:val="24"/>
          <w:szCs w:val="24"/>
          <w:highlight w:val="none"/>
          <w:lang w:val="en-US" w:eastAsia="zh-CN"/>
        </w:rPr>
      </w:pPr>
    </w:p>
    <w:p w14:paraId="1CB2BC8C">
      <w:pPr>
        <w:pStyle w:val="19"/>
        <w:numPr>
          <w:ilvl w:val="0"/>
          <w:numId w:val="3"/>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手持式VOC检测仪、</w:t>
      </w:r>
    </w:p>
    <w:p w14:paraId="33EE7090">
      <w:pPr>
        <w:pStyle w:val="20"/>
        <w:numPr>
          <w:ilvl w:val="-1"/>
          <w:numId w:val="0"/>
        </w:numPr>
        <w:spacing w:before="156" w:after="156"/>
        <w:ind w:left="-424" w:leftChars="-202" w:firstLine="720" w:firstLineChars="300"/>
        <w:rPr>
          <w:b w:val="0"/>
          <w:bCs/>
          <w:sz w:val="24"/>
          <w:szCs w:val="24"/>
          <w:highlight w:val="none"/>
        </w:rPr>
      </w:pPr>
      <w:bookmarkStart w:id="189" w:name="_Toc524709287"/>
      <w:bookmarkStart w:id="190" w:name="_Toc101866549"/>
      <w:r>
        <w:rPr>
          <w:rFonts w:hint="eastAsia"/>
          <w:b w:val="0"/>
          <w:bCs/>
          <w:sz w:val="24"/>
          <w:szCs w:val="24"/>
          <w:highlight w:val="none"/>
          <w:lang w:val="en-US" w:eastAsia="zh-CN"/>
        </w:rPr>
        <w:t>4.1</w:t>
      </w:r>
      <w:r>
        <w:rPr>
          <w:b w:val="0"/>
          <w:bCs/>
          <w:sz w:val="24"/>
          <w:szCs w:val="24"/>
          <w:highlight w:val="none"/>
        </w:rPr>
        <w:t>技术指标</w:t>
      </w:r>
      <w:bookmarkEnd w:id="189"/>
      <w:bookmarkEnd w:id="190"/>
    </w:p>
    <w:tbl>
      <w:tblPr>
        <w:tblStyle w:val="14"/>
        <w:tblW w:w="8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1857"/>
        <w:gridCol w:w="5921"/>
      </w:tblGrid>
      <w:tr w14:paraId="6916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A988E36">
            <w:pPr>
              <w:pStyle w:val="21"/>
              <w:ind w:left="0"/>
              <w:jc w:val="both"/>
              <w:rPr>
                <w:rFonts w:hint="eastAsia" w:ascii="宋体" w:hAnsi="宋体" w:eastAsia="宋体" w:cs="宋体"/>
                <w:b/>
                <w:highlight w:val="none"/>
              </w:rPr>
            </w:pPr>
            <w:r>
              <w:rPr>
                <w:rFonts w:hint="eastAsia" w:ascii="宋体" w:hAnsi="宋体" w:eastAsia="宋体" w:cs="宋体"/>
                <w:b/>
                <w:highlight w:val="none"/>
              </w:rPr>
              <w:t>序号</w:t>
            </w:r>
          </w:p>
        </w:tc>
        <w:tc>
          <w:tcPr>
            <w:tcW w:w="1857" w:type="dxa"/>
            <w:shd w:val="clear" w:color="auto" w:fill="auto"/>
            <w:noWrap w:val="0"/>
            <w:vAlign w:val="center"/>
          </w:tcPr>
          <w:p w14:paraId="5F810033">
            <w:pPr>
              <w:pStyle w:val="21"/>
              <w:jc w:val="center"/>
              <w:rPr>
                <w:rFonts w:hint="eastAsia" w:ascii="宋体" w:hAnsi="宋体" w:eastAsia="宋体" w:cs="宋体"/>
                <w:b/>
                <w:highlight w:val="none"/>
              </w:rPr>
            </w:pPr>
            <w:r>
              <w:rPr>
                <w:rFonts w:hint="eastAsia" w:ascii="宋体" w:hAnsi="宋体" w:eastAsia="宋体" w:cs="宋体"/>
                <w:b/>
                <w:highlight w:val="none"/>
              </w:rPr>
              <w:t>指标项</w:t>
            </w:r>
          </w:p>
        </w:tc>
        <w:tc>
          <w:tcPr>
            <w:tcW w:w="5921" w:type="dxa"/>
            <w:tcBorders>
              <w:bottom w:val="single" w:color="auto" w:sz="4" w:space="0"/>
            </w:tcBorders>
            <w:shd w:val="clear" w:color="auto" w:fill="auto"/>
            <w:noWrap w:val="0"/>
            <w:vAlign w:val="center"/>
          </w:tcPr>
          <w:p w14:paraId="38E63A7F">
            <w:pPr>
              <w:pStyle w:val="21"/>
              <w:jc w:val="center"/>
              <w:rPr>
                <w:rFonts w:hint="eastAsia" w:ascii="宋体" w:hAnsi="宋体" w:eastAsia="宋体" w:cs="宋体"/>
                <w:b/>
                <w:bCs/>
                <w:highlight w:val="none"/>
              </w:rPr>
            </w:pPr>
            <w:r>
              <w:rPr>
                <w:rFonts w:hint="eastAsia" w:ascii="宋体" w:hAnsi="宋体" w:eastAsia="宋体" w:cs="宋体"/>
                <w:b/>
                <w:bCs/>
                <w:highlight w:val="none"/>
              </w:rPr>
              <w:t>功能及参数要求</w:t>
            </w:r>
          </w:p>
        </w:tc>
      </w:tr>
      <w:tr w14:paraId="3A10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6D12C71A">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w:t>
            </w:r>
          </w:p>
        </w:tc>
        <w:tc>
          <w:tcPr>
            <w:tcW w:w="1857" w:type="dxa"/>
            <w:shd w:val="clear" w:color="auto" w:fill="auto"/>
            <w:noWrap w:val="0"/>
            <w:vAlign w:val="center"/>
          </w:tcPr>
          <w:p w14:paraId="56941446">
            <w:pPr>
              <w:pStyle w:val="21"/>
              <w:jc w:val="left"/>
              <w:rPr>
                <w:rFonts w:hint="eastAsia" w:ascii="宋体" w:hAnsi="宋体" w:eastAsia="宋体" w:cs="宋体"/>
                <w:highlight w:val="none"/>
              </w:rPr>
            </w:pPr>
            <w:r>
              <w:rPr>
                <w:rFonts w:hint="eastAsia" w:ascii="宋体" w:hAnsi="宋体" w:eastAsia="宋体" w:cs="宋体"/>
                <w:highlight w:val="none"/>
              </w:rPr>
              <w:t>准确度</w:t>
            </w:r>
          </w:p>
        </w:tc>
        <w:tc>
          <w:tcPr>
            <w:tcW w:w="5921" w:type="dxa"/>
            <w:tcBorders>
              <w:bottom w:val="single" w:color="auto" w:sz="4" w:space="0"/>
            </w:tcBorders>
            <w:shd w:val="clear" w:color="auto" w:fill="auto"/>
            <w:noWrap w:val="0"/>
            <w:vAlign w:val="center"/>
          </w:tcPr>
          <w:p w14:paraId="7A4F5F86">
            <w:pPr>
              <w:pStyle w:val="21"/>
              <w:jc w:val="left"/>
              <w:rPr>
                <w:rFonts w:hint="eastAsia" w:ascii="宋体" w:hAnsi="宋体" w:eastAsia="宋体" w:cs="宋体"/>
                <w:bCs/>
                <w:color w:val="000000"/>
                <w:highlight w:val="none"/>
              </w:rPr>
            </w:pPr>
            <w:r>
              <w:rPr>
                <w:rFonts w:hint="eastAsia" w:ascii="宋体" w:hAnsi="宋体" w:eastAsia="宋体" w:cs="宋体"/>
                <w:bCs/>
                <w:color w:val="000000"/>
                <w:highlight w:val="none"/>
              </w:rPr>
              <w:t>FID：读数的±10%或±0.1ppm，取大值，从1.0ppm到10000ppm</w:t>
            </w:r>
          </w:p>
          <w:p w14:paraId="3BCA8F8E">
            <w:pPr>
              <w:pStyle w:val="21"/>
              <w:jc w:val="left"/>
              <w:rPr>
                <w:rFonts w:hint="eastAsia" w:ascii="宋体" w:hAnsi="宋体" w:eastAsia="宋体" w:cs="宋体"/>
                <w:bCs/>
                <w:color w:val="000000"/>
                <w:highlight w:val="none"/>
              </w:rPr>
            </w:pPr>
            <w:r>
              <w:rPr>
                <w:rFonts w:hint="eastAsia" w:ascii="宋体" w:hAnsi="宋体" w:eastAsia="宋体" w:cs="宋体"/>
                <w:bCs/>
                <w:color w:val="000000"/>
                <w:highlight w:val="none"/>
              </w:rPr>
              <w:t>PID：读数的±20%或±0.5ppm，取大值，从0.5ppm到2000ppm</w:t>
            </w:r>
          </w:p>
        </w:tc>
      </w:tr>
      <w:tr w14:paraId="4E05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DF1E7BD">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(2)</w:t>
            </w:r>
          </w:p>
        </w:tc>
        <w:tc>
          <w:tcPr>
            <w:tcW w:w="1857" w:type="dxa"/>
            <w:shd w:val="clear" w:color="auto" w:fill="auto"/>
            <w:noWrap w:val="0"/>
            <w:vAlign w:val="center"/>
          </w:tcPr>
          <w:p w14:paraId="22C3C590">
            <w:pPr>
              <w:pStyle w:val="21"/>
              <w:jc w:val="left"/>
              <w:rPr>
                <w:rFonts w:hint="eastAsia" w:ascii="宋体" w:hAnsi="宋体" w:eastAsia="宋体" w:cs="宋体"/>
                <w:highlight w:val="none"/>
              </w:rPr>
            </w:pPr>
            <w:r>
              <w:rPr>
                <w:rFonts w:hint="eastAsia" w:ascii="宋体" w:hAnsi="宋体" w:eastAsia="宋体" w:cs="宋体"/>
                <w:highlight w:val="none"/>
              </w:rPr>
              <w:t>动态范围</w:t>
            </w:r>
          </w:p>
        </w:tc>
        <w:tc>
          <w:tcPr>
            <w:tcW w:w="5921" w:type="dxa"/>
            <w:tcBorders>
              <w:bottom w:val="single" w:color="auto" w:sz="4" w:space="0"/>
            </w:tcBorders>
            <w:shd w:val="clear" w:color="auto" w:fill="auto"/>
            <w:noWrap w:val="0"/>
            <w:vAlign w:val="center"/>
          </w:tcPr>
          <w:p w14:paraId="73189312">
            <w:pPr>
              <w:pStyle w:val="21"/>
              <w:jc w:val="left"/>
              <w:rPr>
                <w:rFonts w:hint="eastAsia" w:ascii="宋体" w:hAnsi="宋体" w:eastAsia="宋体" w:cs="宋体"/>
                <w:color w:val="000000"/>
                <w:highlight w:val="none"/>
              </w:rPr>
            </w:pPr>
            <w:r>
              <w:rPr>
                <w:rFonts w:hint="eastAsia" w:ascii="宋体" w:hAnsi="宋体" w:eastAsia="宋体" w:cs="宋体"/>
                <w:color w:val="000000"/>
                <w:highlight w:val="none"/>
              </w:rPr>
              <w:t>FID：0~50,000ppm甲烷 支持多点校正</w:t>
            </w:r>
          </w:p>
          <w:p w14:paraId="6EEE915A">
            <w:pPr>
              <w:pStyle w:val="21"/>
              <w:jc w:val="left"/>
              <w:rPr>
                <w:rFonts w:hint="eastAsia" w:ascii="宋体" w:hAnsi="宋体" w:eastAsia="宋体" w:cs="宋体"/>
                <w:bCs/>
                <w:color w:val="000000"/>
                <w:highlight w:val="none"/>
              </w:rPr>
            </w:pPr>
            <w:r>
              <w:rPr>
                <w:rFonts w:hint="eastAsia" w:ascii="宋体" w:hAnsi="宋体" w:eastAsia="宋体" w:cs="宋体"/>
                <w:color w:val="000000"/>
                <w:highlight w:val="none"/>
              </w:rPr>
              <w:t>PID：0.5~2000ppm异丁烯 支持多点校正</w:t>
            </w:r>
          </w:p>
        </w:tc>
      </w:tr>
      <w:tr w14:paraId="23BC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29799254">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w:t>
            </w:r>
          </w:p>
        </w:tc>
        <w:tc>
          <w:tcPr>
            <w:tcW w:w="1857" w:type="dxa"/>
            <w:shd w:val="clear" w:color="auto" w:fill="auto"/>
            <w:noWrap w:val="0"/>
            <w:vAlign w:val="center"/>
          </w:tcPr>
          <w:p w14:paraId="1E088123">
            <w:pPr>
              <w:pStyle w:val="21"/>
              <w:jc w:val="left"/>
              <w:rPr>
                <w:rFonts w:hint="eastAsia" w:ascii="宋体" w:hAnsi="宋体" w:eastAsia="宋体" w:cs="宋体"/>
                <w:highlight w:val="none"/>
              </w:rPr>
            </w:pPr>
            <w:r>
              <w:rPr>
                <w:rFonts w:hint="eastAsia" w:ascii="宋体" w:hAnsi="宋体" w:eastAsia="宋体" w:cs="宋体"/>
                <w:highlight w:val="none"/>
              </w:rPr>
              <w:t>最低检出限</w:t>
            </w:r>
          </w:p>
        </w:tc>
        <w:tc>
          <w:tcPr>
            <w:tcW w:w="5921" w:type="dxa"/>
            <w:tcBorders>
              <w:bottom w:val="single" w:color="auto" w:sz="4" w:space="0"/>
            </w:tcBorders>
            <w:shd w:val="clear" w:color="auto" w:fill="auto"/>
            <w:noWrap w:val="0"/>
            <w:vAlign w:val="center"/>
          </w:tcPr>
          <w:p w14:paraId="6AF9AEEB">
            <w:pPr>
              <w:pStyle w:val="21"/>
              <w:jc w:val="left"/>
              <w:rPr>
                <w:rFonts w:hint="eastAsia" w:ascii="宋体" w:hAnsi="宋体" w:eastAsia="宋体" w:cs="宋体"/>
                <w:bCs/>
                <w:color w:val="000000"/>
                <w:highlight w:val="none"/>
              </w:rPr>
            </w:pPr>
            <w:r>
              <w:rPr>
                <w:rFonts w:hint="eastAsia" w:ascii="宋体" w:hAnsi="宋体" w:eastAsia="宋体" w:cs="宋体"/>
                <w:bCs/>
                <w:highlight w:val="none"/>
              </w:rPr>
              <w:t>FID：0.4ppm甲烷；PID：0.4ppm异丁烯</w:t>
            </w:r>
          </w:p>
        </w:tc>
      </w:tr>
      <w:tr w14:paraId="3501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6659A4D">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(4)</w:t>
            </w:r>
          </w:p>
        </w:tc>
        <w:tc>
          <w:tcPr>
            <w:tcW w:w="1857" w:type="dxa"/>
            <w:shd w:val="clear" w:color="auto" w:fill="auto"/>
            <w:noWrap w:val="0"/>
            <w:vAlign w:val="center"/>
          </w:tcPr>
          <w:p w14:paraId="64411797">
            <w:pPr>
              <w:pStyle w:val="21"/>
              <w:jc w:val="left"/>
              <w:rPr>
                <w:rFonts w:hint="eastAsia" w:ascii="宋体" w:hAnsi="宋体" w:eastAsia="宋体" w:cs="宋体"/>
                <w:highlight w:val="none"/>
              </w:rPr>
            </w:pPr>
            <w:r>
              <w:rPr>
                <w:rFonts w:hint="eastAsia" w:ascii="宋体" w:hAnsi="宋体" w:eastAsia="宋体" w:cs="宋体"/>
                <w:highlight w:val="none"/>
              </w:rPr>
              <w:t>探头采样的响应时间</w:t>
            </w:r>
          </w:p>
        </w:tc>
        <w:tc>
          <w:tcPr>
            <w:tcW w:w="5921" w:type="dxa"/>
            <w:tcBorders>
              <w:bottom w:val="single" w:color="auto" w:sz="4" w:space="0"/>
            </w:tcBorders>
            <w:shd w:val="clear" w:color="auto" w:fill="auto"/>
            <w:noWrap w:val="0"/>
            <w:vAlign w:val="center"/>
          </w:tcPr>
          <w:p w14:paraId="7D6DB687">
            <w:pPr>
              <w:pStyle w:val="21"/>
              <w:jc w:val="left"/>
              <w:rPr>
                <w:rFonts w:hint="eastAsia" w:ascii="宋体" w:hAnsi="宋体" w:eastAsia="宋体" w:cs="宋体"/>
                <w:bCs/>
                <w:highlight w:val="none"/>
              </w:rPr>
            </w:pPr>
            <w:r>
              <w:rPr>
                <w:rFonts w:hint="eastAsia" w:ascii="宋体" w:hAnsi="宋体" w:eastAsia="宋体" w:cs="宋体"/>
                <w:bCs/>
                <w:highlight w:val="none"/>
              </w:rPr>
              <w:t>FID：使用10,000ppm甲烷，少于3.5秒内达到最终值的90%</w:t>
            </w:r>
          </w:p>
          <w:p w14:paraId="5A8E28E7">
            <w:pPr>
              <w:pStyle w:val="21"/>
              <w:jc w:val="left"/>
              <w:rPr>
                <w:rFonts w:hint="eastAsia" w:ascii="宋体" w:hAnsi="宋体" w:eastAsia="宋体" w:cs="宋体"/>
                <w:bCs/>
                <w:highlight w:val="none"/>
              </w:rPr>
            </w:pPr>
            <w:r>
              <w:rPr>
                <w:rFonts w:hint="eastAsia" w:ascii="宋体" w:hAnsi="宋体" w:eastAsia="宋体" w:cs="宋体"/>
                <w:bCs/>
                <w:highlight w:val="none"/>
              </w:rPr>
              <w:t>PID：使用500ppm异丁烯，少于3.5秒内达到最终值的90%</w:t>
            </w:r>
          </w:p>
        </w:tc>
      </w:tr>
      <w:tr w14:paraId="141A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41EB9250">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(5)</w:t>
            </w:r>
          </w:p>
        </w:tc>
        <w:tc>
          <w:tcPr>
            <w:tcW w:w="1857" w:type="dxa"/>
            <w:shd w:val="clear" w:color="auto" w:fill="auto"/>
            <w:noWrap w:val="0"/>
            <w:vAlign w:val="center"/>
          </w:tcPr>
          <w:p w14:paraId="636A2FA8">
            <w:pPr>
              <w:pStyle w:val="21"/>
              <w:jc w:val="left"/>
              <w:rPr>
                <w:rFonts w:hint="eastAsia" w:ascii="宋体" w:hAnsi="宋体" w:eastAsia="宋体" w:cs="宋体"/>
                <w:highlight w:val="none"/>
              </w:rPr>
            </w:pPr>
            <w:r>
              <w:rPr>
                <w:rFonts w:hint="eastAsia" w:ascii="宋体" w:hAnsi="宋体" w:eastAsia="宋体" w:cs="宋体"/>
                <w:highlight w:val="none"/>
              </w:rPr>
              <w:t>采样速度</w:t>
            </w:r>
          </w:p>
        </w:tc>
        <w:tc>
          <w:tcPr>
            <w:tcW w:w="5921" w:type="dxa"/>
            <w:tcBorders>
              <w:bottom w:val="single" w:color="auto" w:sz="4" w:space="0"/>
            </w:tcBorders>
            <w:shd w:val="clear" w:color="auto" w:fill="auto"/>
            <w:noWrap w:val="0"/>
            <w:vAlign w:val="center"/>
          </w:tcPr>
          <w:p w14:paraId="1DF91DFC">
            <w:pPr>
              <w:pStyle w:val="21"/>
              <w:jc w:val="left"/>
              <w:rPr>
                <w:rFonts w:hint="eastAsia" w:ascii="宋体" w:hAnsi="宋体" w:eastAsia="宋体" w:cs="宋体"/>
                <w:bCs/>
                <w:highlight w:val="none"/>
              </w:rPr>
            </w:pPr>
            <w:r>
              <w:rPr>
                <w:rFonts w:hint="eastAsia" w:ascii="宋体" w:hAnsi="宋体" w:eastAsia="宋体" w:cs="宋体"/>
                <w:bCs/>
                <w:highlight w:val="none"/>
              </w:rPr>
              <w:t>在采样探头入口处，额定为0.5 L/min</w:t>
            </w:r>
          </w:p>
        </w:tc>
      </w:tr>
      <w:tr w14:paraId="3822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6B7085D5">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(6)</w:t>
            </w:r>
          </w:p>
        </w:tc>
        <w:tc>
          <w:tcPr>
            <w:tcW w:w="1857" w:type="dxa"/>
            <w:shd w:val="clear" w:color="auto" w:fill="auto"/>
            <w:noWrap w:val="0"/>
            <w:vAlign w:val="center"/>
          </w:tcPr>
          <w:p w14:paraId="634388F9">
            <w:pPr>
              <w:pStyle w:val="21"/>
              <w:jc w:val="left"/>
              <w:rPr>
                <w:rFonts w:hint="eastAsia" w:ascii="宋体" w:hAnsi="宋体" w:eastAsia="宋体" w:cs="宋体"/>
                <w:highlight w:val="none"/>
              </w:rPr>
            </w:pPr>
            <w:r>
              <w:rPr>
                <w:rFonts w:hint="eastAsia" w:ascii="宋体" w:hAnsi="宋体" w:eastAsia="宋体" w:cs="宋体"/>
                <w:highlight w:val="none"/>
              </w:rPr>
              <w:t>检测器寿命</w:t>
            </w:r>
          </w:p>
        </w:tc>
        <w:tc>
          <w:tcPr>
            <w:tcW w:w="5921" w:type="dxa"/>
            <w:shd w:val="clear" w:color="auto" w:fill="auto"/>
            <w:noWrap w:val="0"/>
            <w:vAlign w:val="center"/>
          </w:tcPr>
          <w:p w14:paraId="583EE166">
            <w:pPr>
              <w:pStyle w:val="21"/>
              <w:jc w:val="left"/>
              <w:rPr>
                <w:rFonts w:hint="eastAsia" w:ascii="宋体" w:hAnsi="宋体" w:eastAsia="宋体" w:cs="宋体"/>
                <w:bCs/>
                <w:highlight w:val="none"/>
              </w:rPr>
            </w:pPr>
            <w:r>
              <w:rPr>
                <w:rFonts w:hint="eastAsia" w:ascii="宋体" w:hAnsi="宋体" w:eastAsia="宋体" w:cs="宋体"/>
                <w:bCs/>
                <w:highlight w:val="none"/>
              </w:rPr>
              <w:t>FID检测器正常使用寿命大于6000小时，PID检测器正常使用寿命大于2200小时，整机正常使用寿命大于10年</w:t>
            </w:r>
          </w:p>
        </w:tc>
      </w:tr>
      <w:tr w14:paraId="4DC6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A6DF9C6">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(7)</w:t>
            </w:r>
          </w:p>
        </w:tc>
        <w:tc>
          <w:tcPr>
            <w:tcW w:w="1857" w:type="dxa"/>
            <w:shd w:val="clear" w:color="auto" w:fill="auto"/>
            <w:noWrap w:val="0"/>
            <w:vAlign w:val="center"/>
          </w:tcPr>
          <w:p w14:paraId="77E13D17">
            <w:pPr>
              <w:pStyle w:val="21"/>
              <w:jc w:val="left"/>
              <w:rPr>
                <w:rFonts w:hint="eastAsia" w:ascii="宋体" w:hAnsi="宋体" w:eastAsia="宋体" w:cs="宋体"/>
                <w:highlight w:val="none"/>
              </w:rPr>
            </w:pPr>
            <w:r>
              <w:rPr>
                <w:rFonts w:hint="eastAsia" w:ascii="宋体" w:hAnsi="宋体" w:eastAsia="宋体" w:cs="宋体"/>
                <w:highlight w:val="none"/>
              </w:rPr>
              <w:t>电池</w:t>
            </w:r>
          </w:p>
        </w:tc>
        <w:tc>
          <w:tcPr>
            <w:tcW w:w="5921" w:type="dxa"/>
            <w:shd w:val="clear" w:color="auto" w:fill="auto"/>
            <w:noWrap w:val="0"/>
            <w:vAlign w:val="center"/>
          </w:tcPr>
          <w:p w14:paraId="76E2A100">
            <w:pPr>
              <w:widowControl/>
              <w:jc w:val="left"/>
              <w:rPr>
                <w:rFonts w:hint="eastAsia" w:ascii="宋体" w:hAnsi="宋体" w:cs="宋体"/>
                <w:kern w:val="0"/>
                <w:sz w:val="24"/>
                <w:highlight w:val="none"/>
              </w:rPr>
            </w:pPr>
            <w:r>
              <w:rPr>
                <w:rStyle w:val="22"/>
                <w:rFonts w:hint="eastAsia" w:ascii="宋体" w:hAnsi="宋体" w:cs="宋体"/>
                <w:highlight w:val="none"/>
              </w:rPr>
              <w:t>充电时间≤</w:t>
            </w:r>
            <w:r>
              <w:rPr>
                <w:rStyle w:val="23"/>
                <w:rFonts w:hint="eastAsia" w:ascii="宋体" w:hAnsi="宋体" w:cs="宋体"/>
                <w:highlight w:val="none"/>
              </w:rPr>
              <w:t>4.5</w:t>
            </w:r>
            <w:r>
              <w:rPr>
                <w:rStyle w:val="22"/>
                <w:rFonts w:hint="eastAsia" w:ascii="宋体" w:hAnsi="宋体" w:cs="宋体"/>
                <w:highlight w:val="none"/>
              </w:rPr>
              <w:t>小时，在</w:t>
            </w:r>
            <w:r>
              <w:rPr>
                <w:rStyle w:val="23"/>
                <w:rFonts w:hint="eastAsia" w:ascii="宋体" w:hAnsi="宋体" w:cs="宋体"/>
                <w:highlight w:val="none"/>
              </w:rPr>
              <w:t xml:space="preserve">20 </w:t>
            </w:r>
            <w:r>
              <w:rPr>
                <w:rStyle w:val="23"/>
                <w:rFonts w:hint="default" w:cs="宋体"/>
                <w:highlight w:val="none"/>
              </w:rPr>
              <w:t>℃</w:t>
            </w:r>
            <w:r>
              <w:rPr>
                <w:rStyle w:val="22"/>
                <w:rFonts w:hint="eastAsia" w:ascii="宋体" w:hAnsi="宋体" w:cs="宋体"/>
                <w:highlight w:val="none"/>
              </w:rPr>
              <w:t>时工作时间≥</w:t>
            </w:r>
            <w:r>
              <w:rPr>
                <w:rStyle w:val="23"/>
                <w:rFonts w:hint="eastAsia" w:ascii="宋体" w:hAnsi="宋体" w:cs="宋体"/>
                <w:highlight w:val="none"/>
              </w:rPr>
              <w:t>6</w:t>
            </w:r>
            <w:r>
              <w:rPr>
                <w:rStyle w:val="22"/>
                <w:rFonts w:hint="eastAsia" w:ascii="宋体" w:hAnsi="宋体" w:cs="宋体"/>
                <w:highlight w:val="none"/>
              </w:rPr>
              <w:t>小时，可拆卸更换</w:t>
            </w:r>
          </w:p>
        </w:tc>
      </w:tr>
      <w:tr w14:paraId="007F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7E8F0250">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(8)</w:t>
            </w:r>
          </w:p>
        </w:tc>
        <w:tc>
          <w:tcPr>
            <w:tcW w:w="1857" w:type="dxa"/>
            <w:shd w:val="clear" w:color="auto" w:fill="auto"/>
            <w:noWrap w:val="0"/>
            <w:vAlign w:val="center"/>
          </w:tcPr>
          <w:p w14:paraId="0C432F8A">
            <w:pPr>
              <w:pStyle w:val="21"/>
              <w:jc w:val="left"/>
              <w:rPr>
                <w:rFonts w:hint="eastAsia" w:ascii="宋体" w:hAnsi="宋体" w:eastAsia="宋体" w:cs="宋体"/>
                <w:highlight w:val="none"/>
              </w:rPr>
            </w:pPr>
            <w:r>
              <w:rPr>
                <w:rFonts w:hint="eastAsia" w:ascii="宋体" w:hAnsi="宋体" w:eastAsia="宋体" w:cs="宋体"/>
                <w:highlight w:val="none"/>
              </w:rPr>
              <w:t>氢气气源</w:t>
            </w:r>
          </w:p>
        </w:tc>
        <w:tc>
          <w:tcPr>
            <w:tcW w:w="5921" w:type="dxa"/>
            <w:shd w:val="clear" w:color="auto" w:fill="auto"/>
            <w:noWrap w:val="0"/>
            <w:vAlign w:val="center"/>
          </w:tcPr>
          <w:p w14:paraId="3950AD0B">
            <w:pPr>
              <w:pStyle w:val="21"/>
              <w:jc w:val="left"/>
              <w:rPr>
                <w:rFonts w:hint="eastAsia" w:ascii="宋体" w:hAnsi="宋体" w:eastAsia="宋体" w:cs="宋体"/>
                <w:bCs/>
                <w:highlight w:val="none"/>
              </w:rPr>
            </w:pPr>
            <w:r>
              <w:rPr>
                <w:rFonts w:hint="eastAsia" w:ascii="宋体" w:hAnsi="宋体" w:eastAsia="宋体" w:cs="宋体"/>
                <w:color w:val="000000"/>
                <w:highlight w:val="none"/>
              </w:rPr>
              <w:t>储氢合金，充满可连续工作时间6小时，可拆卸更换，</w:t>
            </w:r>
          </w:p>
        </w:tc>
      </w:tr>
      <w:tr w14:paraId="5445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F9D1BD1">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(9)</w:t>
            </w:r>
          </w:p>
        </w:tc>
        <w:tc>
          <w:tcPr>
            <w:tcW w:w="1857" w:type="dxa"/>
            <w:shd w:val="clear" w:color="auto" w:fill="auto"/>
            <w:noWrap w:val="0"/>
            <w:vAlign w:val="center"/>
          </w:tcPr>
          <w:p w14:paraId="3F7A240A">
            <w:pPr>
              <w:pStyle w:val="21"/>
              <w:jc w:val="left"/>
              <w:rPr>
                <w:rFonts w:hint="eastAsia" w:ascii="宋体" w:hAnsi="宋体" w:eastAsia="宋体" w:cs="宋体"/>
                <w:highlight w:val="none"/>
              </w:rPr>
            </w:pPr>
            <w:r>
              <w:rPr>
                <w:rFonts w:hint="eastAsia" w:ascii="宋体" w:hAnsi="宋体" w:eastAsia="宋体" w:cs="宋体"/>
                <w:highlight w:val="none"/>
              </w:rPr>
              <w:t>工作温度</w:t>
            </w:r>
          </w:p>
        </w:tc>
        <w:tc>
          <w:tcPr>
            <w:tcW w:w="5921" w:type="dxa"/>
            <w:shd w:val="clear" w:color="auto" w:fill="auto"/>
            <w:noWrap w:val="0"/>
            <w:vAlign w:val="center"/>
          </w:tcPr>
          <w:p w14:paraId="65673285">
            <w:pPr>
              <w:pStyle w:val="21"/>
              <w:jc w:val="left"/>
              <w:rPr>
                <w:rFonts w:hint="eastAsia" w:ascii="宋体" w:hAnsi="宋体" w:eastAsia="宋体" w:cs="宋体"/>
                <w:color w:val="000000"/>
                <w:highlight w:val="none"/>
              </w:rPr>
            </w:pPr>
            <w:r>
              <w:rPr>
                <w:rFonts w:hint="eastAsia" w:ascii="宋体" w:hAnsi="宋体" w:eastAsia="宋体" w:cs="宋体"/>
                <w:bCs/>
                <w:color w:val="000000"/>
                <w:highlight w:val="none"/>
              </w:rPr>
              <w:t>-10℃～+45℃</w:t>
            </w:r>
          </w:p>
        </w:tc>
      </w:tr>
      <w:tr w14:paraId="6F9B6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16135A9F">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(10)</w:t>
            </w:r>
          </w:p>
        </w:tc>
        <w:tc>
          <w:tcPr>
            <w:tcW w:w="1857" w:type="dxa"/>
            <w:shd w:val="clear" w:color="auto" w:fill="auto"/>
            <w:noWrap w:val="0"/>
            <w:vAlign w:val="center"/>
          </w:tcPr>
          <w:p w14:paraId="2A4043C7">
            <w:pPr>
              <w:pStyle w:val="21"/>
              <w:jc w:val="left"/>
              <w:rPr>
                <w:rFonts w:hint="eastAsia" w:ascii="宋体" w:hAnsi="宋体" w:eastAsia="宋体" w:cs="宋体"/>
                <w:highlight w:val="none"/>
              </w:rPr>
            </w:pPr>
            <w:r>
              <w:rPr>
                <w:rFonts w:hint="eastAsia" w:ascii="宋体" w:hAnsi="宋体" w:eastAsia="宋体" w:cs="宋体"/>
                <w:highlight w:val="none"/>
              </w:rPr>
              <w:t>工作湿度</w:t>
            </w:r>
          </w:p>
        </w:tc>
        <w:tc>
          <w:tcPr>
            <w:tcW w:w="5921" w:type="dxa"/>
            <w:shd w:val="clear" w:color="auto" w:fill="auto"/>
            <w:noWrap w:val="0"/>
            <w:vAlign w:val="center"/>
          </w:tcPr>
          <w:p w14:paraId="0D9DA245">
            <w:pPr>
              <w:pStyle w:val="21"/>
              <w:jc w:val="left"/>
              <w:rPr>
                <w:rFonts w:hint="eastAsia" w:ascii="宋体" w:hAnsi="宋体" w:eastAsia="宋体" w:cs="宋体"/>
                <w:bCs/>
                <w:color w:val="000000"/>
                <w:highlight w:val="none"/>
              </w:rPr>
            </w:pPr>
            <w:r>
              <w:rPr>
                <w:rFonts w:hint="eastAsia" w:ascii="宋体" w:hAnsi="宋体" w:eastAsia="宋体" w:cs="宋体"/>
                <w:highlight w:val="none"/>
              </w:rPr>
              <w:t>(0</w:t>
            </w:r>
            <w:r>
              <w:rPr>
                <w:rFonts w:hint="eastAsia" w:ascii="宋体" w:hAnsi="宋体" w:eastAsia="宋体" w:cs="宋体"/>
                <w:bCs/>
                <w:color w:val="000000"/>
                <w:highlight w:val="none"/>
              </w:rPr>
              <w:t>~95)% RH</w:t>
            </w:r>
          </w:p>
        </w:tc>
      </w:tr>
      <w:tr w14:paraId="2C20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3DAECBDE">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(11)</w:t>
            </w:r>
          </w:p>
        </w:tc>
        <w:tc>
          <w:tcPr>
            <w:tcW w:w="1857" w:type="dxa"/>
            <w:shd w:val="clear" w:color="auto" w:fill="auto"/>
            <w:noWrap w:val="0"/>
            <w:vAlign w:val="center"/>
          </w:tcPr>
          <w:p w14:paraId="0495D679">
            <w:pPr>
              <w:pStyle w:val="21"/>
              <w:jc w:val="left"/>
              <w:rPr>
                <w:rFonts w:hint="eastAsia" w:ascii="宋体" w:hAnsi="宋体" w:eastAsia="宋体" w:cs="宋体"/>
                <w:highlight w:val="none"/>
              </w:rPr>
            </w:pPr>
            <w:r>
              <w:rPr>
                <w:rFonts w:hint="eastAsia" w:ascii="宋体" w:hAnsi="宋体" w:eastAsia="宋体" w:cs="宋体"/>
                <w:highlight w:val="none"/>
              </w:rPr>
              <w:t>通讯模式</w:t>
            </w:r>
          </w:p>
        </w:tc>
        <w:tc>
          <w:tcPr>
            <w:tcW w:w="5921" w:type="dxa"/>
            <w:shd w:val="clear" w:color="auto" w:fill="auto"/>
            <w:noWrap w:val="0"/>
            <w:vAlign w:val="center"/>
          </w:tcPr>
          <w:p w14:paraId="12CF46E0">
            <w:pPr>
              <w:widowControl/>
              <w:jc w:val="left"/>
              <w:rPr>
                <w:rFonts w:hint="eastAsia" w:ascii="宋体" w:hAnsi="宋体" w:cs="宋体"/>
                <w:kern w:val="0"/>
                <w:sz w:val="24"/>
                <w:highlight w:val="none"/>
              </w:rPr>
            </w:pPr>
            <w:r>
              <w:rPr>
                <w:rStyle w:val="22"/>
                <w:rFonts w:hint="eastAsia" w:ascii="宋体" w:hAnsi="宋体" w:cs="宋体"/>
                <w:highlight w:val="none"/>
              </w:rPr>
              <w:t>主机和</w:t>
            </w:r>
            <w:r>
              <w:rPr>
                <w:rFonts w:hint="eastAsia" w:ascii="宋体" w:hAnsi="宋体" w:cs="宋体"/>
                <w:bCs/>
                <w:szCs w:val="21"/>
                <w:highlight w:val="none"/>
              </w:rPr>
              <w:t>PC采用WIFI</w:t>
            </w:r>
            <w:r>
              <w:rPr>
                <w:rStyle w:val="22"/>
                <w:rFonts w:hint="eastAsia" w:ascii="宋体" w:hAnsi="宋体" w:cs="宋体"/>
                <w:highlight w:val="none"/>
              </w:rPr>
              <w:t>连接</w:t>
            </w:r>
          </w:p>
        </w:tc>
      </w:tr>
      <w:tr w14:paraId="4E51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19F8C519">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(12)</w:t>
            </w:r>
          </w:p>
        </w:tc>
        <w:tc>
          <w:tcPr>
            <w:tcW w:w="1857" w:type="dxa"/>
            <w:shd w:val="clear" w:color="auto" w:fill="auto"/>
            <w:noWrap w:val="0"/>
            <w:vAlign w:val="center"/>
          </w:tcPr>
          <w:p w14:paraId="4631497D">
            <w:pPr>
              <w:pStyle w:val="21"/>
              <w:jc w:val="left"/>
              <w:rPr>
                <w:rFonts w:hint="eastAsia" w:ascii="宋体" w:hAnsi="宋体" w:eastAsia="宋体" w:cs="宋体"/>
                <w:highlight w:val="none"/>
              </w:rPr>
            </w:pPr>
            <w:r>
              <w:rPr>
                <w:rFonts w:hint="eastAsia" w:ascii="宋体" w:hAnsi="宋体" w:eastAsia="宋体" w:cs="宋体"/>
                <w:highlight w:val="none"/>
              </w:rPr>
              <w:t>重量</w:t>
            </w:r>
          </w:p>
        </w:tc>
        <w:tc>
          <w:tcPr>
            <w:tcW w:w="5921" w:type="dxa"/>
            <w:shd w:val="clear" w:color="auto" w:fill="auto"/>
            <w:noWrap w:val="0"/>
            <w:vAlign w:val="center"/>
          </w:tcPr>
          <w:p w14:paraId="67D30A58">
            <w:pPr>
              <w:pStyle w:val="21"/>
              <w:jc w:val="left"/>
              <w:rPr>
                <w:rFonts w:hint="eastAsia" w:ascii="宋体" w:hAnsi="宋体" w:eastAsia="宋体" w:cs="宋体"/>
                <w:bCs/>
                <w:color w:val="000000"/>
                <w:highlight w:val="none"/>
              </w:rPr>
            </w:pPr>
            <w:r>
              <w:rPr>
                <w:rFonts w:hint="eastAsia" w:ascii="宋体" w:hAnsi="宋体" w:eastAsia="宋体" w:cs="宋体"/>
                <w:color w:val="000000"/>
                <w:highlight w:val="none"/>
              </w:rPr>
              <w:t>单FID 2 kg，FID+PID 2.1 kg</w:t>
            </w:r>
          </w:p>
        </w:tc>
      </w:tr>
      <w:tr w14:paraId="0F19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236BC83B">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(13)</w:t>
            </w:r>
          </w:p>
        </w:tc>
        <w:tc>
          <w:tcPr>
            <w:tcW w:w="1857" w:type="dxa"/>
            <w:shd w:val="clear" w:color="auto" w:fill="auto"/>
            <w:noWrap w:val="0"/>
            <w:vAlign w:val="center"/>
          </w:tcPr>
          <w:p w14:paraId="6320F6C1">
            <w:pPr>
              <w:pStyle w:val="21"/>
              <w:jc w:val="left"/>
              <w:rPr>
                <w:rFonts w:hint="eastAsia" w:ascii="宋体" w:hAnsi="宋体" w:eastAsia="宋体" w:cs="宋体"/>
                <w:highlight w:val="none"/>
              </w:rPr>
            </w:pPr>
            <w:r>
              <w:rPr>
                <w:rStyle w:val="22"/>
                <w:rFonts w:hint="eastAsia" w:ascii="宋体" w:hAnsi="宋体" w:eastAsia="宋体" w:cs="宋体"/>
                <w:highlight w:val="none"/>
              </w:rPr>
              <w:t xml:space="preserve">数据存储间隔 </w:t>
            </w:r>
          </w:p>
        </w:tc>
        <w:tc>
          <w:tcPr>
            <w:tcW w:w="5921" w:type="dxa"/>
            <w:tcBorders>
              <w:bottom w:val="single" w:color="auto" w:sz="4" w:space="0"/>
            </w:tcBorders>
            <w:shd w:val="clear" w:color="auto" w:fill="auto"/>
            <w:noWrap w:val="0"/>
            <w:vAlign w:val="center"/>
          </w:tcPr>
          <w:p w14:paraId="303775C4">
            <w:pPr>
              <w:pStyle w:val="21"/>
              <w:jc w:val="left"/>
              <w:rPr>
                <w:rFonts w:hint="eastAsia" w:ascii="宋体" w:hAnsi="宋体" w:eastAsia="宋体" w:cs="宋体"/>
                <w:bCs/>
                <w:color w:val="000000"/>
                <w:highlight w:val="none"/>
              </w:rPr>
            </w:pPr>
            <w:r>
              <w:rPr>
                <w:rStyle w:val="24"/>
                <w:rFonts w:hint="eastAsia" w:ascii="宋体" w:hAnsi="宋体" w:cs="宋体"/>
                <w:highlight w:val="none"/>
              </w:rPr>
              <w:t>5～60</w:t>
            </w:r>
            <w:r>
              <w:rPr>
                <w:rStyle w:val="22"/>
                <w:rFonts w:hint="eastAsia" w:ascii="宋体" w:hAnsi="宋体" w:eastAsia="宋体" w:cs="宋体"/>
                <w:highlight w:val="none"/>
              </w:rPr>
              <w:t>秒，用户可选</w:t>
            </w:r>
          </w:p>
        </w:tc>
      </w:tr>
      <w:tr w14:paraId="5B62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4B66DEFB">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(14)</w:t>
            </w:r>
          </w:p>
        </w:tc>
        <w:tc>
          <w:tcPr>
            <w:tcW w:w="1857" w:type="dxa"/>
            <w:shd w:val="clear" w:color="auto" w:fill="auto"/>
            <w:noWrap w:val="0"/>
            <w:vAlign w:val="center"/>
          </w:tcPr>
          <w:p w14:paraId="69F156FD">
            <w:pPr>
              <w:pStyle w:val="21"/>
              <w:jc w:val="left"/>
              <w:rPr>
                <w:rFonts w:hint="eastAsia" w:ascii="宋体" w:hAnsi="宋体" w:eastAsia="宋体" w:cs="宋体"/>
                <w:highlight w:val="none"/>
              </w:rPr>
            </w:pPr>
            <w:r>
              <w:rPr>
                <w:rFonts w:hint="eastAsia" w:ascii="宋体" w:hAnsi="宋体" w:eastAsia="宋体" w:cs="宋体"/>
                <w:highlight w:val="none"/>
              </w:rPr>
              <w:t>软件界面</w:t>
            </w:r>
          </w:p>
        </w:tc>
        <w:tc>
          <w:tcPr>
            <w:tcW w:w="5921" w:type="dxa"/>
            <w:shd w:val="clear" w:color="auto" w:fill="auto"/>
            <w:noWrap w:val="0"/>
            <w:vAlign w:val="center"/>
          </w:tcPr>
          <w:p w14:paraId="06630F0D">
            <w:pPr>
              <w:widowControl/>
              <w:jc w:val="left"/>
              <w:rPr>
                <w:rFonts w:hint="eastAsia" w:ascii="宋体" w:hAnsi="宋体" w:cs="宋体"/>
                <w:kern w:val="0"/>
                <w:sz w:val="24"/>
                <w:highlight w:val="none"/>
              </w:rPr>
            </w:pPr>
            <w:r>
              <w:rPr>
                <w:rStyle w:val="22"/>
                <w:rFonts w:hint="eastAsia" w:ascii="宋体" w:hAnsi="宋体" w:cs="宋体"/>
                <w:highlight w:val="none"/>
              </w:rPr>
              <w:t>仪器内置全中文软件界面，数据导出小插件内置全中文软件界面</w:t>
            </w:r>
          </w:p>
        </w:tc>
      </w:tr>
      <w:tr w14:paraId="223F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17" w:type="dxa"/>
            <w:shd w:val="clear" w:color="auto" w:fill="auto"/>
            <w:noWrap w:val="0"/>
            <w:vAlign w:val="center"/>
          </w:tcPr>
          <w:p w14:paraId="6DA4C302">
            <w:pPr>
              <w:pStyle w:val="8"/>
              <w:ind w:left="0" w:leftChars="0"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(15)</w:t>
            </w:r>
          </w:p>
        </w:tc>
        <w:tc>
          <w:tcPr>
            <w:tcW w:w="1857" w:type="dxa"/>
            <w:shd w:val="clear" w:color="auto" w:fill="auto"/>
            <w:noWrap w:val="0"/>
            <w:vAlign w:val="center"/>
          </w:tcPr>
          <w:p w14:paraId="544B49B4">
            <w:pPr>
              <w:pStyle w:val="21"/>
              <w:jc w:val="left"/>
              <w:rPr>
                <w:rFonts w:hint="eastAsia" w:ascii="宋体" w:hAnsi="宋体" w:eastAsia="宋体" w:cs="宋体"/>
                <w:highlight w:val="none"/>
              </w:rPr>
            </w:pPr>
            <w:r>
              <w:rPr>
                <w:rFonts w:hint="eastAsia" w:ascii="宋体" w:hAnsi="宋体" w:eastAsia="宋体" w:cs="宋体"/>
                <w:highlight w:val="none"/>
              </w:rPr>
              <w:t>防爆等级</w:t>
            </w:r>
          </w:p>
        </w:tc>
        <w:tc>
          <w:tcPr>
            <w:tcW w:w="5921" w:type="dxa"/>
            <w:shd w:val="clear" w:color="auto" w:fill="auto"/>
            <w:noWrap w:val="0"/>
            <w:vAlign w:val="center"/>
          </w:tcPr>
          <w:p w14:paraId="47EF9171">
            <w:pPr>
              <w:widowControl/>
              <w:jc w:val="left"/>
              <w:rPr>
                <w:rStyle w:val="22"/>
                <w:rFonts w:hint="eastAsia" w:ascii="宋体" w:hAnsi="宋体" w:cs="宋体"/>
                <w:highlight w:val="none"/>
              </w:rPr>
            </w:pPr>
            <w:r>
              <w:rPr>
                <w:rStyle w:val="22"/>
                <w:rFonts w:hint="eastAsia" w:ascii="宋体" w:hAnsi="宋体" w:cs="宋体"/>
                <w:highlight w:val="none"/>
              </w:rPr>
              <w:t>Ex d ib IIC T3 Gb</w:t>
            </w:r>
          </w:p>
        </w:tc>
      </w:tr>
    </w:tbl>
    <w:p w14:paraId="4A4BCB95">
      <w:pPr>
        <w:rPr>
          <w:highlight w:val="none"/>
        </w:rPr>
      </w:pPr>
    </w:p>
    <w:p w14:paraId="3F9E689A">
      <w:pPr>
        <w:pStyle w:val="20"/>
        <w:numPr>
          <w:ilvl w:val="-1"/>
          <w:numId w:val="0"/>
        </w:numPr>
        <w:spacing w:before="156" w:after="156"/>
        <w:ind w:left="-424" w:leftChars="-202" w:firstLine="480" w:firstLineChars="200"/>
        <w:rPr>
          <w:b w:val="0"/>
          <w:bCs/>
          <w:sz w:val="24"/>
          <w:szCs w:val="24"/>
          <w:highlight w:val="none"/>
        </w:rPr>
      </w:pPr>
      <w:bookmarkStart w:id="191" w:name="_Toc101866550"/>
      <w:bookmarkStart w:id="192" w:name="_Toc524709288"/>
      <w:r>
        <w:rPr>
          <w:rFonts w:hint="eastAsia"/>
          <w:b w:val="0"/>
          <w:bCs/>
          <w:sz w:val="24"/>
          <w:szCs w:val="24"/>
          <w:highlight w:val="none"/>
          <w:lang w:val="en-US" w:eastAsia="zh-CN"/>
        </w:rPr>
        <w:t>4.2</w:t>
      </w:r>
      <w:r>
        <w:rPr>
          <w:b w:val="0"/>
          <w:bCs/>
          <w:sz w:val="24"/>
          <w:szCs w:val="24"/>
          <w:highlight w:val="none"/>
        </w:rPr>
        <w:t>产品特点</w:t>
      </w:r>
      <w:bookmarkEnd w:id="191"/>
      <w:bookmarkEnd w:id="192"/>
    </w:p>
    <w:p w14:paraId="5E4BC488">
      <w:pPr>
        <w:numPr>
          <w:ilvl w:val="-1"/>
          <w:numId w:val="0"/>
        </w:numPr>
        <w:tabs>
          <w:tab w:val="left" w:pos="1470"/>
        </w:tabs>
        <w:spacing w:line="360" w:lineRule="auto"/>
        <w:jc w:val="left"/>
        <w:rPr>
          <w:sz w:val="24"/>
          <w:highlight w:val="none"/>
        </w:rPr>
      </w:pPr>
      <w:r>
        <w:rPr>
          <w:rFonts w:hint="eastAsia"/>
          <w:sz w:val="24"/>
          <w:highlight w:val="none"/>
          <w:lang w:val="en-US" w:eastAsia="zh-CN"/>
        </w:rPr>
        <w:t>4.2.1</w:t>
      </w:r>
      <w:r>
        <w:rPr>
          <w:sz w:val="24"/>
          <w:highlight w:val="none"/>
        </w:rPr>
        <w:t>准确度高：配置单氢火焰离子化检测器（FID）或配置氢火焰离子化检测器（FID）和光离子化检测器（PID）双检测器，有效弥补单FID检测器对于部分响应能力弱的有机气体和无机气体的检测需求，方便用户能够更灵活的选择工作模式。</w:t>
      </w:r>
    </w:p>
    <w:p w14:paraId="5CC34D20">
      <w:pPr>
        <w:numPr>
          <w:ilvl w:val="-1"/>
          <w:numId w:val="0"/>
        </w:numPr>
        <w:tabs>
          <w:tab w:val="left" w:pos="1470"/>
        </w:tabs>
        <w:spacing w:line="360" w:lineRule="auto"/>
        <w:jc w:val="left"/>
        <w:rPr>
          <w:sz w:val="24"/>
          <w:highlight w:val="none"/>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sz w:val="24"/>
          <w:highlight w:val="none"/>
          <w:lang w:val="en-US" w:eastAsia="zh-CN"/>
        </w:rPr>
        <w:t>4.2.2</w:t>
      </w:r>
      <w:r>
        <w:rPr>
          <w:sz w:val="24"/>
          <w:highlight w:val="none"/>
        </w:rPr>
        <w:t>便于携带：重量轻，整机重量</w:t>
      </w:r>
      <w:r>
        <w:rPr>
          <w:rFonts w:hint="default" w:ascii="Arial" w:hAnsi="Arial" w:cs="Arial"/>
          <w:sz w:val="24"/>
          <w:highlight w:val="none"/>
          <w:lang w:val="en-US" w:eastAsia="zh-CN"/>
        </w:rPr>
        <w:t>≤</w:t>
      </w:r>
      <w:r>
        <w:rPr>
          <w:rFonts w:hint="eastAsia"/>
          <w:sz w:val="24"/>
          <w:highlight w:val="none"/>
          <w:lang w:val="en-US" w:eastAsia="zh-CN"/>
        </w:rPr>
        <w:t xml:space="preserve"> </w:t>
      </w:r>
      <w:r>
        <w:rPr>
          <w:sz w:val="24"/>
          <w:highlight w:val="none"/>
        </w:rPr>
        <w:t>2 kg，体积小巧，结构紧凑，可轻松实现单手操作，同时配备斜挎包方便随身携带，具有良好的便携及移动性。</w:t>
      </w:r>
    </w:p>
    <w:p w14:paraId="2DE49331">
      <w:pPr>
        <w:numPr>
          <w:ilvl w:val="-1"/>
          <w:numId w:val="0"/>
        </w:numPr>
        <w:tabs>
          <w:tab w:val="left" w:pos="1470"/>
        </w:tabs>
        <w:spacing w:line="360" w:lineRule="auto"/>
        <w:jc w:val="left"/>
        <w:rPr>
          <w:sz w:val="24"/>
          <w:highlight w:val="none"/>
        </w:rPr>
      </w:pPr>
      <w:r>
        <w:rPr>
          <w:rFonts w:hint="eastAsia"/>
          <w:sz w:val="24"/>
          <w:highlight w:val="none"/>
          <w:lang w:val="en-US" w:eastAsia="zh-CN"/>
        </w:rPr>
        <w:t>4.2.3</w:t>
      </w:r>
      <w:r>
        <w:rPr>
          <w:sz w:val="24"/>
          <w:highlight w:val="none"/>
        </w:rPr>
        <w:t>防爆设计：分析仪整机采用防爆设计，通过国家防爆认证，满足爆炸性危险气体场所的使用要求。</w:t>
      </w:r>
    </w:p>
    <w:p w14:paraId="050722C3">
      <w:pPr>
        <w:numPr>
          <w:ilvl w:val="-1"/>
          <w:numId w:val="0"/>
        </w:numPr>
        <w:tabs>
          <w:tab w:val="left" w:pos="1470"/>
        </w:tabs>
        <w:spacing w:line="360" w:lineRule="auto"/>
        <w:jc w:val="left"/>
        <w:rPr>
          <w:sz w:val="24"/>
          <w:highlight w:val="none"/>
        </w:rPr>
      </w:pPr>
      <w:r>
        <w:rPr>
          <w:rFonts w:hint="eastAsia"/>
          <w:sz w:val="24"/>
          <w:highlight w:val="none"/>
          <w:lang w:val="en-US" w:eastAsia="zh-CN"/>
        </w:rPr>
        <w:t>4.2.4</w:t>
      </w:r>
      <w:r>
        <w:rPr>
          <w:sz w:val="24"/>
          <w:highlight w:val="none"/>
        </w:rPr>
        <w:t>操作简单：仅需2步即可开始测试，并且用户能够通过主机面板进行检测数据查看、校准和参数设置等功能。</w:t>
      </w:r>
    </w:p>
    <w:p w14:paraId="2A6CFD1F">
      <w:pPr>
        <w:numPr>
          <w:ilvl w:val="-1"/>
          <w:numId w:val="0"/>
        </w:numPr>
        <w:tabs>
          <w:tab w:val="left" w:pos="1470"/>
        </w:tabs>
        <w:spacing w:line="360" w:lineRule="auto"/>
        <w:jc w:val="left"/>
        <w:rPr>
          <w:sz w:val="24"/>
          <w:highlight w:val="none"/>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sz w:val="24"/>
          <w:highlight w:val="none"/>
          <w:lang w:val="en-US" w:eastAsia="zh-CN"/>
        </w:rPr>
        <w:t>4.2.5</w:t>
      </w:r>
      <w:r>
        <w:rPr>
          <w:sz w:val="24"/>
          <w:highlight w:val="none"/>
        </w:rPr>
        <w:t>运输安全：以储氢合金作为氢气气源，使得该仪器可以安全地运输邮寄。</w:t>
      </w:r>
    </w:p>
    <w:p w14:paraId="44B64DFA">
      <w:pPr>
        <w:numPr>
          <w:ilvl w:val="-1"/>
          <w:numId w:val="0"/>
        </w:numPr>
        <w:tabs>
          <w:tab w:val="left" w:pos="1470"/>
        </w:tabs>
        <w:spacing w:line="360" w:lineRule="auto"/>
        <w:jc w:val="left"/>
        <w:rPr>
          <w:sz w:val="24"/>
          <w:highlight w:val="none"/>
        </w:rPr>
      </w:pPr>
      <w:r>
        <w:rPr>
          <w:rFonts w:hint="eastAsia"/>
          <w:sz w:val="24"/>
          <w:highlight w:val="none"/>
          <w:lang w:val="en-US" w:eastAsia="zh-CN"/>
        </w:rPr>
        <w:t>4.2.6</w:t>
      </w:r>
      <w:r>
        <w:rPr>
          <w:sz w:val="24"/>
          <w:highlight w:val="none"/>
        </w:rPr>
        <w:t>维护成本低：储氢合金可以重复充放，滤芯和FID内的点火丝等耗材可以单独替换。</w:t>
      </w:r>
    </w:p>
    <w:p w14:paraId="6103699B">
      <w:pPr>
        <w:pStyle w:val="13"/>
        <w:rPr>
          <w:highlight w:val="none"/>
        </w:rPr>
      </w:pPr>
    </w:p>
    <w:p w14:paraId="384DD234">
      <w:pPr>
        <w:pStyle w:val="19"/>
        <w:numPr>
          <w:ilvl w:val="0"/>
          <w:numId w:val="4"/>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红外热成像气体泄漏检测仪</w:t>
      </w:r>
    </w:p>
    <w:p w14:paraId="153718A5">
      <w:pPr>
        <w:pStyle w:val="19"/>
        <w:numPr>
          <w:ilvl w:val="-1"/>
          <w:numId w:val="0"/>
        </w:numPr>
        <w:rPr>
          <w:rFonts w:hint="eastAsia" w:ascii="宋体" w:hAnsi="宋体" w:cs="宋体"/>
          <w:b/>
          <w:bCs/>
          <w:sz w:val="24"/>
          <w:szCs w:val="24"/>
          <w:highlight w:val="none"/>
          <w:lang w:val="en-US" w:eastAsia="zh-CN"/>
        </w:rPr>
      </w:pPr>
    </w:p>
    <w:p w14:paraId="0BBE5EA6">
      <w:pPr>
        <w:pStyle w:val="19"/>
        <w:numPr>
          <w:ilvl w:val="-1"/>
          <w:numId w:val="0"/>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5.1.技术参数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6155"/>
      </w:tblGrid>
      <w:tr w14:paraId="4B29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89" w:type="pct"/>
            <w:vAlign w:val="center"/>
          </w:tcPr>
          <w:p w14:paraId="4E6E57F0">
            <w:pPr>
              <w:pStyle w:val="21"/>
              <w:rPr>
                <w:rFonts w:hint="eastAsia" w:ascii="宋体" w:hAnsi="宋体" w:eastAsia="宋体"/>
                <w:b/>
                <w:highlight w:val="none"/>
              </w:rPr>
            </w:pPr>
            <w:r>
              <w:rPr>
                <w:rFonts w:hint="eastAsia" w:ascii="宋体" w:hAnsi="宋体" w:eastAsia="宋体"/>
                <w:b/>
                <w:highlight w:val="none"/>
              </w:rPr>
              <w:t>项目</w:t>
            </w:r>
          </w:p>
        </w:tc>
        <w:tc>
          <w:tcPr>
            <w:tcW w:w="3611" w:type="pct"/>
            <w:vAlign w:val="center"/>
          </w:tcPr>
          <w:p w14:paraId="2499531D">
            <w:pPr>
              <w:pStyle w:val="21"/>
              <w:rPr>
                <w:rFonts w:hint="eastAsia" w:ascii="宋体" w:hAnsi="宋体" w:eastAsia="宋体"/>
                <w:b/>
                <w:highlight w:val="none"/>
              </w:rPr>
            </w:pPr>
            <w:r>
              <w:rPr>
                <w:rFonts w:hint="eastAsia" w:ascii="宋体" w:hAnsi="宋体" w:eastAsia="宋体"/>
                <w:b/>
                <w:highlight w:val="none"/>
              </w:rPr>
              <w:t>参数指标</w:t>
            </w:r>
          </w:p>
        </w:tc>
      </w:tr>
      <w:tr w14:paraId="44D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0872695C">
            <w:pPr>
              <w:pStyle w:val="21"/>
              <w:rPr>
                <w:rFonts w:hint="eastAsia" w:ascii="宋体" w:hAnsi="宋体" w:eastAsia="宋体"/>
                <w:highlight w:val="none"/>
              </w:rPr>
            </w:pPr>
            <w:r>
              <w:rPr>
                <w:rFonts w:hint="eastAsia" w:ascii="宋体" w:hAnsi="宋体" w:eastAsia="宋体"/>
                <w:highlight w:val="none"/>
              </w:rPr>
              <w:t>探测器类型</w:t>
            </w:r>
          </w:p>
        </w:tc>
        <w:tc>
          <w:tcPr>
            <w:tcW w:w="3611" w:type="pct"/>
            <w:vAlign w:val="center"/>
          </w:tcPr>
          <w:p w14:paraId="1C2D65A1">
            <w:pPr>
              <w:pStyle w:val="21"/>
              <w:rPr>
                <w:rFonts w:hint="eastAsia" w:ascii="宋体" w:hAnsi="宋体" w:eastAsia="宋体"/>
                <w:highlight w:val="none"/>
              </w:rPr>
            </w:pPr>
            <w:r>
              <w:rPr>
                <w:rFonts w:hint="eastAsia" w:ascii="宋体" w:hAnsi="宋体" w:eastAsia="宋体"/>
                <w:highlight w:val="none"/>
              </w:rPr>
              <w:t>制冷型二类超晶格探测器</w:t>
            </w:r>
          </w:p>
        </w:tc>
      </w:tr>
      <w:tr w14:paraId="0124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4181780F">
            <w:pPr>
              <w:pStyle w:val="21"/>
              <w:rPr>
                <w:rFonts w:hint="eastAsia" w:ascii="宋体" w:hAnsi="宋体" w:eastAsia="宋体"/>
                <w:highlight w:val="none"/>
              </w:rPr>
            </w:pPr>
            <w:r>
              <w:rPr>
                <w:rFonts w:hint="eastAsia" w:ascii="宋体" w:hAnsi="宋体" w:eastAsia="宋体"/>
                <w:highlight w:val="none"/>
              </w:rPr>
              <w:t>分辨率</w:t>
            </w:r>
          </w:p>
        </w:tc>
        <w:tc>
          <w:tcPr>
            <w:tcW w:w="3611" w:type="pct"/>
            <w:vAlign w:val="center"/>
          </w:tcPr>
          <w:p w14:paraId="7868F4CB">
            <w:pPr>
              <w:pStyle w:val="21"/>
              <w:rPr>
                <w:rFonts w:hint="eastAsia" w:ascii="宋体" w:hAnsi="宋体" w:eastAsia="宋体"/>
                <w:highlight w:val="none"/>
              </w:rPr>
            </w:pPr>
            <w:r>
              <w:rPr>
                <w:rFonts w:hint="eastAsia" w:ascii="宋体" w:hAnsi="宋体" w:eastAsia="宋体"/>
                <w:highlight w:val="none"/>
              </w:rPr>
              <w:t>320 ×256</w:t>
            </w:r>
          </w:p>
        </w:tc>
      </w:tr>
      <w:tr w14:paraId="0FC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0E778696">
            <w:pPr>
              <w:pStyle w:val="21"/>
              <w:rPr>
                <w:rFonts w:hint="eastAsia" w:ascii="宋体" w:hAnsi="宋体" w:eastAsia="宋体"/>
                <w:highlight w:val="none"/>
              </w:rPr>
            </w:pPr>
            <w:r>
              <w:rPr>
                <w:rFonts w:hint="eastAsia" w:ascii="宋体" w:hAnsi="宋体" w:eastAsia="宋体"/>
                <w:highlight w:val="none"/>
              </w:rPr>
              <w:t>波长范围</w:t>
            </w:r>
          </w:p>
        </w:tc>
        <w:tc>
          <w:tcPr>
            <w:tcW w:w="3611" w:type="pct"/>
            <w:vAlign w:val="center"/>
          </w:tcPr>
          <w:p w14:paraId="1BCE13FE">
            <w:pPr>
              <w:pStyle w:val="21"/>
              <w:rPr>
                <w:rFonts w:hint="eastAsia" w:ascii="宋体" w:hAnsi="宋体" w:eastAsia="宋体"/>
                <w:highlight w:val="none"/>
              </w:rPr>
            </w:pPr>
            <w:r>
              <w:rPr>
                <w:rFonts w:hint="eastAsia" w:ascii="宋体" w:hAnsi="宋体" w:eastAsia="宋体"/>
                <w:highlight w:val="none"/>
              </w:rPr>
              <w:t>3.2–3.5µm</w:t>
            </w:r>
          </w:p>
        </w:tc>
      </w:tr>
      <w:tr w14:paraId="37A2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7F6ABEAA">
            <w:pPr>
              <w:pStyle w:val="21"/>
              <w:rPr>
                <w:rFonts w:hint="eastAsia" w:ascii="宋体" w:hAnsi="宋体" w:eastAsia="宋体"/>
                <w:highlight w:val="none"/>
              </w:rPr>
            </w:pPr>
            <w:r>
              <w:rPr>
                <w:rFonts w:hint="eastAsia" w:ascii="宋体" w:hAnsi="宋体" w:eastAsia="宋体"/>
                <w:highlight w:val="none"/>
              </w:rPr>
              <w:t>图像帧频</w:t>
            </w:r>
          </w:p>
        </w:tc>
        <w:tc>
          <w:tcPr>
            <w:tcW w:w="3611" w:type="pct"/>
            <w:vAlign w:val="center"/>
          </w:tcPr>
          <w:p w14:paraId="715A5811">
            <w:pPr>
              <w:pStyle w:val="21"/>
              <w:rPr>
                <w:rFonts w:hint="eastAsia" w:ascii="宋体" w:hAnsi="宋体" w:eastAsia="宋体"/>
                <w:highlight w:val="none"/>
              </w:rPr>
            </w:pPr>
            <w:r>
              <w:rPr>
                <w:rFonts w:hint="eastAsia" w:ascii="宋体" w:hAnsi="宋体" w:eastAsia="宋体"/>
                <w:highlight w:val="none"/>
              </w:rPr>
              <w:t>60Hz</w:t>
            </w:r>
          </w:p>
        </w:tc>
      </w:tr>
      <w:tr w14:paraId="3071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41846C4D">
            <w:pPr>
              <w:pStyle w:val="21"/>
              <w:rPr>
                <w:rFonts w:hint="eastAsia" w:ascii="宋体" w:hAnsi="宋体" w:eastAsia="宋体"/>
                <w:highlight w:val="none"/>
              </w:rPr>
            </w:pPr>
            <w:r>
              <w:rPr>
                <w:rFonts w:hint="eastAsia" w:ascii="宋体" w:hAnsi="宋体" w:eastAsia="宋体"/>
                <w:highlight w:val="none"/>
              </w:rPr>
              <w:t>热灵敏度（NETD）</w:t>
            </w:r>
          </w:p>
        </w:tc>
        <w:tc>
          <w:tcPr>
            <w:tcW w:w="3611" w:type="pct"/>
            <w:vAlign w:val="center"/>
          </w:tcPr>
          <w:p w14:paraId="741DC870">
            <w:pPr>
              <w:pStyle w:val="21"/>
              <w:rPr>
                <w:rFonts w:hint="eastAsia" w:ascii="宋体" w:hAnsi="宋体" w:eastAsia="宋体"/>
                <w:highlight w:val="none"/>
              </w:rPr>
            </w:pPr>
            <w:r>
              <w:rPr>
                <w:rFonts w:hint="eastAsia" w:ascii="宋体" w:hAnsi="宋体" w:eastAsia="宋体"/>
                <w:highlight w:val="none"/>
              </w:rPr>
              <w:t>≤10mK@25</w:t>
            </w:r>
            <w:r>
              <w:rPr>
                <w:rFonts w:hint="eastAsia" w:ascii="宋体" w:hAnsi="宋体" w:eastAsia="宋体" w:cs="宋体"/>
                <w:highlight w:val="none"/>
              </w:rPr>
              <w:t>℃</w:t>
            </w:r>
          </w:p>
        </w:tc>
      </w:tr>
      <w:tr w14:paraId="0BFA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51E0C9B5">
            <w:pPr>
              <w:pStyle w:val="21"/>
              <w:rPr>
                <w:rFonts w:hint="eastAsia" w:ascii="宋体" w:hAnsi="宋体" w:eastAsia="宋体"/>
                <w:highlight w:val="none"/>
              </w:rPr>
            </w:pPr>
            <w:r>
              <w:rPr>
                <w:rFonts w:hint="eastAsia" w:ascii="宋体" w:hAnsi="宋体" w:eastAsia="宋体"/>
                <w:highlight w:val="none"/>
              </w:rPr>
              <w:t>数字变焦</w:t>
            </w:r>
          </w:p>
        </w:tc>
        <w:tc>
          <w:tcPr>
            <w:tcW w:w="3611" w:type="pct"/>
            <w:vAlign w:val="center"/>
          </w:tcPr>
          <w:p w14:paraId="4F3C5C27">
            <w:pPr>
              <w:pStyle w:val="21"/>
              <w:rPr>
                <w:rFonts w:hint="eastAsia" w:ascii="宋体" w:hAnsi="宋体" w:eastAsia="宋体"/>
                <w:highlight w:val="none"/>
              </w:rPr>
            </w:pPr>
            <w:r>
              <w:rPr>
                <w:rFonts w:hint="eastAsia" w:ascii="宋体" w:hAnsi="宋体" w:eastAsia="宋体"/>
                <w:highlight w:val="none"/>
              </w:rPr>
              <w:t>1-10倍连续变焦</w:t>
            </w:r>
          </w:p>
        </w:tc>
      </w:tr>
      <w:tr w14:paraId="39B4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6BC5F851">
            <w:pPr>
              <w:pStyle w:val="21"/>
              <w:rPr>
                <w:rFonts w:hint="eastAsia" w:ascii="宋体" w:hAnsi="宋体" w:eastAsia="宋体"/>
                <w:highlight w:val="none"/>
              </w:rPr>
            </w:pPr>
            <w:r>
              <w:rPr>
                <w:rFonts w:hint="eastAsia" w:ascii="宋体" w:hAnsi="宋体" w:eastAsia="宋体"/>
                <w:highlight w:val="none"/>
              </w:rPr>
              <w:t>对焦方式</w:t>
            </w:r>
          </w:p>
        </w:tc>
        <w:tc>
          <w:tcPr>
            <w:tcW w:w="3611" w:type="pct"/>
            <w:vAlign w:val="center"/>
          </w:tcPr>
          <w:p w14:paraId="552E8168">
            <w:pPr>
              <w:pStyle w:val="21"/>
              <w:rPr>
                <w:rFonts w:hint="eastAsia" w:ascii="宋体" w:hAnsi="宋体" w:eastAsia="宋体"/>
                <w:highlight w:val="none"/>
              </w:rPr>
            </w:pPr>
            <w:r>
              <w:rPr>
                <w:rFonts w:hint="eastAsia" w:ascii="宋体" w:hAnsi="宋体" w:eastAsia="宋体"/>
                <w:highlight w:val="none"/>
              </w:rPr>
              <w:t>手动</w:t>
            </w:r>
          </w:p>
        </w:tc>
      </w:tr>
      <w:tr w14:paraId="79D0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421D8BFA">
            <w:pPr>
              <w:pStyle w:val="21"/>
              <w:rPr>
                <w:rFonts w:hint="eastAsia" w:ascii="宋体" w:hAnsi="宋体" w:eastAsia="宋体"/>
                <w:highlight w:val="none"/>
              </w:rPr>
            </w:pPr>
            <w:r>
              <w:rPr>
                <w:rFonts w:hint="eastAsia" w:ascii="宋体" w:hAnsi="宋体" w:eastAsia="宋体"/>
                <w:highlight w:val="none"/>
              </w:rPr>
              <w:t>手柄</w:t>
            </w:r>
          </w:p>
        </w:tc>
        <w:tc>
          <w:tcPr>
            <w:tcW w:w="3611" w:type="pct"/>
            <w:vAlign w:val="center"/>
          </w:tcPr>
          <w:p w14:paraId="50A7D048">
            <w:pPr>
              <w:pStyle w:val="21"/>
              <w:rPr>
                <w:rFonts w:hint="eastAsia" w:ascii="宋体" w:hAnsi="宋体" w:eastAsia="宋体"/>
                <w:highlight w:val="none"/>
              </w:rPr>
            </w:pPr>
            <w:r>
              <w:rPr>
                <w:rFonts w:hint="eastAsia" w:ascii="宋体" w:hAnsi="宋体" w:eastAsia="宋体"/>
                <w:highlight w:val="none"/>
              </w:rPr>
              <w:t>人体工学旋转手柄，可180°旋转调节</w:t>
            </w:r>
          </w:p>
        </w:tc>
      </w:tr>
      <w:tr w14:paraId="6794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1D182442">
            <w:pPr>
              <w:pStyle w:val="21"/>
              <w:rPr>
                <w:rFonts w:hint="eastAsia" w:ascii="宋体" w:hAnsi="宋体" w:eastAsia="宋体"/>
                <w:highlight w:val="none"/>
              </w:rPr>
            </w:pPr>
            <w:r>
              <w:rPr>
                <w:rFonts w:hint="eastAsia" w:ascii="宋体" w:hAnsi="宋体" w:eastAsia="宋体"/>
                <w:highlight w:val="none"/>
              </w:rPr>
              <w:t>显示屏</w:t>
            </w:r>
          </w:p>
        </w:tc>
        <w:tc>
          <w:tcPr>
            <w:tcW w:w="3611" w:type="pct"/>
            <w:vAlign w:val="center"/>
          </w:tcPr>
          <w:p w14:paraId="58B519F8">
            <w:pPr>
              <w:pStyle w:val="21"/>
              <w:rPr>
                <w:rFonts w:hint="eastAsia" w:ascii="宋体" w:hAnsi="宋体" w:eastAsia="宋体"/>
                <w:highlight w:val="none"/>
              </w:rPr>
            </w:pPr>
            <w:r>
              <w:rPr>
                <w:rFonts w:hint="eastAsia" w:ascii="宋体" w:hAnsi="宋体" w:eastAsia="宋体"/>
                <w:highlight w:val="none"/>
              </w:rPr>
              <w:t>可旋转5英寸触摸屏，1280*720像素LCD屏</w:t>
            </w:r>
          </w:p>
        </w:tc>
      </w:tr>
      <w:tr w14:paraId="2D64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0B01A519">
            <w:pPr>
              <w:pStyle w:val="21"/>
              <w:rPr>
                <w:rFonts w:hint="eastAsia" w:ascii="宋体" w:hAnsi="宋体" w:eastAsia="宋体"/>
                <w:highlight w:val="none"/>
              </w:rPr>
            </w:pPr>
            <w:r>
              <w:rPr>
                <w:rFonts w:hint="eastAsia" w:ascii="宋体" w:hAnsi="宋体" w:eastAsia="宋体"/>
                <w:highlight w:val="none"/>
              </w:rPr>
              <w:t>数码相机</w:t>
            </w:r>
          </w:p>
        </w:tc>
        <w:tc>
          <w:tcPr>
            <w:tcW w:w="3611" w:type="pct"/>
            <w:vAlign w:val="center"/>
          </w:tcPr>
          <w:p w14:paraId="7180FF88">
            <w:pPr>
              <w:pStyle w:val="21"/>
              <w:rPr>
                <w:rFonts w:hint="eastAsia" w:ascii="宋体" w:hAnsi="宋体" w:eastAsia="宋体"/>
                <w:highlight w:val="none"/>
              </w:rPr>
            </w:pPr>
            <w:r>
              <w:rPr>
                <w:rFonts w:hint="eastAsia" w:ascii="宋体" w:hAnsi="宋体" w:eastAsia="宋体"/>
                <w:highlight w:val="none"/>
              </w:rPr>
              <w:t>500万像素CMOS，带LED灯</w:t>
            </w:r>
          </w:p>
        </w:tc>
      </w:tr>
      <w:tr w14:paraId="253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7EF14861">
            <w:pPr>
              <w:pStyle w:val="21"/>
              <w:rPr>
                <w:rFonts w:hint="eastAsia" w:ascii="宋体" w:hAnsi="宋体" w:eastAsia="宋体"/>
                <w:highlight w:val="none"/>
              </w:rPr>
            </w:pPr>
            <w:r>
              <w:rPr>
                <w:rFonts w:hint="eastAsia" w:ascii="宋体" w:hAnsi="宋体" w:eastAsia="宋体"/>
                <w:highlight w:val="none"/>
              </w:rPr>
              <w:t>取景器（OLED）</w:t>
            </w:r>
          </w:p>
        </w:tc>
        <w:tc>
          <w:tcPr>
            <w:tcW w:w="3611" w:type="pct"/>
            <w:vAlign w:val="center"/>
          </w:tcPr>
          <w:p w14:paraId="6302542A">
            <w:pPr>
              <w:pStyle w:val="21"/>
              <w:rPr>
                <w:rFonts w:hint="eastAsia" w:ascii="宋体" w:hAnsi="宋体" w:eastAsia="宋体"/>
                <w:highlight w:val="none"/>
              </w:rPr>
            </w:pPr>
            <w:r>
              <w:rPr>
                <w:rFonts w:hint="eastAsia" w:ascii="宋体" w:hAnsi="宋体" w:eastAsia="宋体"/>
                <w:highlight w:val="none"/>
              </w:rPr>
              <w:t>1280*1024像素，可旋转调节角度</w:t>
            </w:r>
          </w:p>
        </w:tc>
      </w:tr>
      <w:tr w14:paraId="5AA5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5EFE3595">
            <w:pPr>
              <w:pStyle w:val="21"/>
              <w:rPr>
                <w:rFonts w:hint="eastAsia" w:ascii="宋体" w:hAnsi="宋体" w:eastAsia="宋体"/>
                <w:highlight w:val="none"/>
              </w:rPr>
            </w:pPr>
            <w:r>
              <w:rPr>
                <w:rFonts w:hint="eastAsia" w:ascii="宋体" w:hAnsi="宋体" w:eastAsia="宋体"/>
                <w:highlight w:val="none"/>
              </w:rPr>
              <w:t>图像模式</w:t>
            </w:r>
          </w:p>
        </w:tc>
        <w:tc>
          <w:tcPr>
            <w:tcW w:w="3611" w:type="pct"/>
            <w:vAlign w:val="center"/>
          </w:tcPr>
          <w:p w14:paraId="65330B60">
            <w:pPr>
              <w:pStyle w:val="21"/>
              <w:rPr>
                <w:rFonts w:hint="eastAsia" w:ascii="宋体" w:hAnsi="宋体" w:eastAsia="宋体"/>
                <w:highlight w:val="none"/>
              </w:rPr>
            </w:pPr>
            <w:r>
              <w:rPr>
                <w:rFonts w:hint="eastAsia" w:ascii="宋体" w:hAnsi="宋体" w:eastAsia="宋体"/>
                <w:highlight w:val="none"/>
              </w:rPr>
              <w:t>红外图像、高灵敏度、可见光图像</w:t>
            </w:r>
          </w:p>
        </w:tc>
      </w:tr>
      <w:tr w14:paraId="2B97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751EA70A">
            <w:pPr>
              <w:pStyle w:val="21"/>
              <w:rPr>
                <w:rFonts w:hint="eastAsia" w:ascii="宋体" w:hAnsi="宋体" w:eastAsia="宋体"/>
                <w:highlight w:val="none"/>
              </w:rPr>
            </w:pPr>
            <w:r>
              <w:rPr>
                <w:rFonts w:hint="eastAsia" w:ascii="宋体" w:hAnsi="宋体" w:eastAsia="宋体"/>
                <w:highlight w:val="none"/>
              </w:rPr>
              <w:t>图像增强</w:t>
            </w:r>
          </w:p>
        </w:tc>
        <w:tc>
          <w:tcPr>
            <w:tcW w:w="3611" w:type="pct"/>
            <w:vAlign w:val="center"/>
          </w:tcPr>
          <w:p w14:paraId="6109D514">
            <w:pPr>
              <w:pStyle w:val="21"/>
              <w:rPr>
                <w:rFonts w:hint="eastAsia" w:ascii="宋体" w:hAnsi="宋体" w:eastAsia="宋体"/>
                <w:highlight w:val="none"/>
              </w:rPr>
            </w:pPr>
            <w:r>
              <w:rPr>
                <w:rFonts w:hint="eastAsia" w:ascii="宋体" w:hAnsi="宋体" w:eastAsia="宋体"/>
                <w:highlight w:val="none"/>
              </w:rPr>
              <w:t>有</w:t>
            </w:r>
          </w:p>
        </w:tc>
      </w:tr>
      <w:tr w14:paraId="0F4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23018543">
            <w:pPr>
              <w:pStyle w:val="21"/>
              <w:rPr>
                <w:rFonts w:hint="eastAsia" w:ascii="宋体" w:hAnsi="宋体" w:eastAsia="宋体"/>
                <w:highlight w:val="none"/>
              </w:rPr>
            </w:pPr>
            <w:r>
              <w:rPr>
                <w:rFonts w:hint="eastAsia" w:ascii="宋体" w:hAnsi="宋体" w:eastAsia="宋体"/>
                <w:highlight w:val="none"/>
              </w:rPr>
              <w:t>可探测气体</w:t>
            </w:r>
          </w:p>
        </w:tc>
        <w:tc>
          <w:tcPr>
            <w:tcW w:w="3611" w:type="pct"/>
            <w:vAlign w:val="center"/>
          </w:tcPr>
          <w:p w14:paraId="32E5A3CF">
            <w:pPr>
              <w:pStyle w:val="21"/>
              <w:rPr>
                <w:rFonts w:hint="eastAsia" w:ascii="宋体" w:hAnsi="宋体" w:eastAsia="宋体"/>
                <w:highlight w:val="none"/>
              </w:rPr>
            </w:pPr>
            <w:r>
              <w:rPr>
                <w:rFonts w:hint="eastAsia" w:ascii="宋体" w:hAnsi="宋体" w:eastAsia="宋体"/>
                <w:highlight w:val="none"/>
              </w:rPr>
              <w:t>甲烷、乙烷、丙烷、丁烷、戊烷、己烷、辛烷、庚烷、环氧乙烷、溴甲烷、溴乙烷、氯甲烷、1-己烷、乙烯、丙烯、 戊烯、异戊二烯、氧化丙烯、异丁烯、1,3-丁二烯 、1-丁烯、苯、甲苯、二甲苯、乙苯、溴苯、苯乙烯、1,2-二甲苯、甲醇、异丙醇、丁醇、硫醇、苯胺、二甲醚、乙醚、二甲基硫醚、乙酸等400多种挥发性有机气体</w:t>
            </w:r>
          </w:p>
        </w:tc>
      </w:tr>
      <w:tr w14:paraId="7B61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43F64D94">
            <w:pPr>
              <w:pStyle w:val="21"/>
              <w:rPr>
                <w:rFonts w:hint="eastAsia" w:ascii="宋体" w:hAnsi="宋体" w:eastAsia="宋体"/>
                <w:highlight w:val="none"/>
              </w:rPr>
            </w:pPr>
            <w:r>
              <w:rPr>
                <w:rFonts w:hint="eastAsia" w:ascii="宋体" w:hAnsi="宋体" w:eastAsia="宋体"/>
                <w:highlight w:val="none"/>
              </w:rPr>
              <w:t>存储介质</w:t>
            </w:r>
          </w:p>
        </w:tc>
        <w:tc>
          <w:tcPr>
            <w:tcW w:w="3611" w:type="pct"/>
            <w:vAlign w:val="center"/>
          </w:tcPr>
          <w:p w14:paraId="3B436BF1">
            <w:pPr>
              <w:pStyle w:val="21"/>
              <w:rPr>
                <w:rFonts w:hint="eastAsia" w:ascii="宋体" w:hAnsi="宋体" w:eastAsia="宋体"/>
                <w:highlight w:val="none"/>
              </w:rPr>
            </w:pPr>
            <w:r>
              <w:rPr>
                <w:rFonts w:hint="eastAsia" w:ascii="宋体" w:hAnsi="宋体" w:eastAsia="宋体"/>
                <w:highlight w:val="none"/>
              </w:rPr>
              <w:t>标准SD卡，标配64G</w:t>
            </w:r>
          </w:p>
        </w:tc>
      </w:tr>
      <w:tr w14:paraId="1D39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6E9D0DC4">
            <w:pPr>
              <w:pStyle w:val="21"/>
              <w:rPr>
                <w:rFonts w:hint="eastAsia" w:ascii="宋体" w:hAnsi="宋体" w:eastAsia="宋体"/>
                <w:highlight w:val="none"/>
              </w:rPr>
            </w:pPr>
            <w:r>
              <w:rPr>
                <w:rFonts w:hint="eastAsia" w:ascii="宋体" w:hAnsi="宋体" w:eastAsia="宋体"/>
                <w:highlight w:val="none"/>
              </w:rPr>
              <w:t>声音注释</w:t>
            </w:r>
          </w:p>
        </w:tc>
        <w:tc>
          <w:tcPr>
            <w:tcW w:w="3611" w:type="pct"/>
            <w:vAlign w:val="center"/>
          </w:tcPr>
          <w:p w14:paraId="5374624B">
            <w:pPr>
              <w:pStyle w:val="21"/>
              <w:rPr>
                <w:rFonts w:hint="eastAsia" w:ascii="宋体" w:hAnsi="宋体" w:eastAsia="宋体"/>
                <w:highlight w:val="none"/>
              </w:rPr>
            </w:pPr>
            <w:r>
              <w:rPr>
                <w:rFonts w:hint="eastAsia" w:ascii="宋体" w:hAnsi="宋体" w:eastAsia="宋体"/>
                <w:highlight w:val="none"/>
              </w:rPr>
              <w:t>60s图片声音注释、视频带语音</w:t>
            </w:r>
          </w:p>
        </w:tc>
      </w:tr>
      <w:tr w14:paraId="45B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461A8E2A">
            <w:pPr>
              <w:pStyle w:val="21"/>
              <w:rPr>
                <w:rFonts w:hint="eastAsia" w:ascii="宋体" w:hAnsi="宋体" w:eastAsia="宋体"/>
                <w:highlight w:val="none"/>
              </w:rPr>
            </w:pPr>
            <w:r>
              <w:rPr>
                <w:rFonts w:hint="eastAsia" w:ascii="宋体" w:hAnsi="宋体" w:eastAsia="宋体"/>
                <w:highlight w:val="none"/>
              </w:rPr>
              <w:t>GPS</w:t>
            </w:r>
          </w:p>
        </w:tc>
        <w:tc>
          <w:tcPr>
            <w:tcW w:w="3611" w:type="pct"/>
            <w:vAlign w:val="center"/>
          </w:tcPr>
          <w:p w14:paraId="507AB598">
            <w:pPr>
              <w:pStyle w:val="21"/>
              <w:rPr>
                <w:rFonts w:hint="eastAsia" w:ascii="宋体" w:hAnsi="宋体" w:eastAsia="宋体"/>
                <w:highlight w:val="none"/>
              </w:rPr>
            </w:pPr>
            <w:r>
              <w:rPr>
                <w:rFonts w:hint="eastAsia" w:ascii="宋体" w:hAnsi="宋体" w:eastAsia="宋体"/>
                <w:highlight w:val="none"/>
              </w:rPr>
              <w:t>支持，自动GPS图像标记，显示实时经纬度信息</w:t>
            </w:r>
          </w:p>
        </w:tc>
      </w:tr>
      <w:tr w14:paraId="0499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75BA2037">
            <w:pPr>
              <w:pStyle w:val="21"/>
              <w:rPr>
                <w:rFonts w:hint="eastAsia" w:ascii="宋体" w:hAnsi="宋体" w:eastAsia="宋体"/>
                <w:highlight w:val="none"/>
              </w:rPr>
            </w:pPr>
            <w:r>
              <w:rPr>
                <w:rFonts w:hint="eastAsia" w:ascii="宋体" w:hAnsi="宋体" w:eastAsia="宋体"/>
                <w:highlight w:val="none"/>
              </w:rPr>
              <w:t>辐射红外视频录制</w:t>
            </w:r>
          </w:p>
        </w:tc>
        <w:tc>
          <w:tcPr>
            <w:tcW w:w="3611" w:type="pct"/>
            <w:vAlign w:val="center"/>
          </w:tcPr>
          <w:p w14:paraId="33E621BC">
            <w:pPr>
              <w:pStyle w:val="21"/>
              <w:rPr>
                <w:rFonts w:hint="eastAsia" w:ascii="宋体" w:hAnsi="宋体" w:eastAsia="宋体"/>
                <w:highlight w:val="none"/>
              </w:rPr>
            </w:pPr>
            <w:r>
              <w:rPr>
                <w:rFonts w:hint="eastAsia" w:ascii="宋体" w:hAnsi="宋体" w:eastAsia="宋体"/>
                <w:highlight w:val="none"/>
              </w:rPr>
              <w:t>实时红外视频录制</w:t>
            </w:r>
          </w:p>
        </w:tc>
      </w:tr>
      <w:tr w14:paraId="61BD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3F21914C">
            <w:pPr>
              <w:pStyle w:val="21"/>
              <w:rPr>
                <w:rFonts w:hint="eastAsia" w:ascii="宋体" w:hAnsi="宋体" w:eastAsia="宋体"/>
                <w:highlight w:val="none"/>
              </w:rPr>
            </w:pPr>
            <w:r>
              <w:rPr>
                <w:rFonts w:hint="eastAsia" w:ascii="宋体" w:hAnsi="宋体" w:eastAsia="宋体"/>
                <w:highlight w:val="none"/>
              </w:rPr>
              <w:t>电池工作时间</w:t>
            </w:r>
          </w:p>
        </w:tc>
        <w:tc>
          <w:tcPr>
            <w:tcW w:w="3611" w:type="pct"/>
            <w:vAlign w:val="center"/>
          </w:tcPr>
          <w:p w14:paraId="235975D9">
            <w:pPr>
              <w:pStyle w:val="21"/>
              <w:rPr>
                <w:rFonts w:hint="eastAsia" w:ascii="宋体" w:hAnsi="宋体" w:eastAsia="宋体"/>
                <w:highlight w:val="none"/>
              </w:rPr>
            </w:pPr>
            <w:r>
              <w:rPr>
                <w:rFonts w:hint="eastAsia" w:ascii="宋体" w:hAnsi="宋体" w:eastAsia="宋体"/>
                <w:highlight w:val="none"/>
              </w:rPr>
              <w:t>环境温度25</w:t>
            </w:r>
            <w:r>
              <w:rPr>
                <w:rFonts w:hint="eastAsia" w:ascii="宋体" w:hAnsi="宋体" w:eastAsia="宋体" w:cs="宋体"/>
                <w:highlight w:val="none"/>
              </w:rPr>
              <w:t>℃</w:t>
            </w:r>
            <w:r>
              <w:rPr>
                <w:rFonts w:hint="eastAsia" w:ascii="宋体" w:hAnsi="宋体" w:eastAsia="宋体"/>
                <w:highlight w:val="none"/>
              </w:rPr>
              <w:t>时，连续使用时间≥4小时</w:t>
            </w:r>
          </w:p>
        </w:tc>
      </w:tr>
      <w:tr w14:paraId="3C0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6384CE97">
            <w:pPr>
              <w:pStyle w:val="21"/>
              <w:rPr>
                <w:rFonts w:hint="eastAsia" w:ascii="宋体" w:hAnsi="宋体" w:eastAsia="宋体"/>
                <w:highlight w:val="none"/>
              </w:rPr>
            </w:pPr>
            <w:r>
              <w:rPr>
                <w:rFonts w:hint="eastAsia" w:ascii="宋体" w:hAnsi="宋体" w:eastAsia="宋体"/>
                <w:highlight w:val="none"/>
              </w:rPr>
              <w:t>电池充电时间</w:t>
            </w:r>
          </w:p>
        </w:tc>
        <w:tc>
          <w:tcPr>
            <w:tcW w:w="3611" w:type="pct"/>
            <w:vAlign w:val="center"/>
          </w:tcPr>
          <w:p w14:paraId="4713E73C">
            <w:pPr>
              <w:pStyle w:val="21"/>
              <w:rPr>
                <w:rFonts w:hint="eastAsia" w:ascii="宋体" w:hAnsi="宋体" w:eastAsia="宋体"/>
                <w:highlight w:val="none"/>
              </w:rPr>
            </w:pPr>
            <w:r>
              <w:rPr>
                <w:rFonts w:hint="eastAsia" w:ascii="宋体" w:hAnsi="宋体" w:eastAsia="宋体"/>
                <w:highlight w:val="none"/>
              </w:rPr>
              <w:t>2小时充满电量的90%以上，由LED灯指示充电状态</w:t>
            </w:r>
          </w:p>
        </w:tc>
      </w:tr>
      <w:tr w14:paraId="37DB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537066B7">
            <w:pPr>
              <w:pStyle w:val="21"/>
              <w:rPr>
                <w:rFonts w:hint="eastAsia" w:ascii="宋体" w:hAnsi="宋体" w:eastAsia="宋体"/>
                <w:highlight w:val="none"/>
              </w:rPr>
            </w:pPr>
            <w:r>
              <w:rPr>
                <w:rFonts w:hint="eastAsia" w:ascii="宋体" w:hAnsi="宋体" w:eastAsia="宋体"/>
                <w:highlight w:val="none"/>
              </w:rPr>
              <w:t>启动时间</w:t>
            </w:r>
          </w:p>
        </w:tc>
        <w:tc>
          <w:tcPr>
            <w:tcW w:w="3611" w:type="pct"/>
            <w:vAlign w:val="center"/>
          </w:tcPr>
          <w:p w14:paraId="08505475">
            <w:pPr>
              <w:pStyle w:val="21"/>
              <w:rPr>
                <w:rFonts w:hint="eastAsia" w:ascii="宋体" w:hAnsi="宋体" w:eastAsia="宋体"/>
                <w:highlight w:val="none"/>
              </w:rPr>
            </w:pPr>
            <w:r>
              <w:rPr>
                <w:rFonts w:hint="eastAsia" w:ascii="宋体" w:hAnsi="宋体" w:eastAsia="宋体"/>
                <w:highlight w:val="none"/>
              </w:rPr>
              <w:t>小于5分钟</w:t>
            </w:r>
          </w:p>
        </w:tc>
      </w:tr>
      <w:tr w14:paraId="7D47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3699062E">
            <w:pPr>
              <w:pStyle w:val="21"/>
              <w:rPr>
                <w:rFonts w:hint="eastAsia" w:ascii="宋体" w:hAnsi="宋体" w:eastAsia="宋体"/>
                <w:highlight w:val="none"/>
              </w:rPr>
            </w:pPr>
            <w:r>
              <w:rPr>
                <w:rFonts w:hint="eastAsia" w:ascii="宋体" w:hAnsi="宋体" w:eastAsia="宋体"/>
                <w:highlight w:val="none"/>
              </w:rPr>
              <w:t>工作温度范围</w:t>
            </w:r>
          </w:p>
        </w:tc>
        <w:tc>
          <w:tcPr>
            <w:tcW w:w="3611" w:type="pct"/>
            <w:vAlign w:val="center"/>
          </w:tcPr>
          <w:p w14:paraId="2E81FBBC">
            <w:pPr>
              <w:pStyle w:val="21"/>
              <w:rPr>
                <w:rFonts w:hint="eastAsia" w:ascii="宋体" w:hAnsi="宋体" w:eastAsia="宋体"/>
                <w:highlight w:val="none"/>
              </w:rPr>
            </w:pPr>
            <w:r>
              <w:rPr>
                <w:rFonts w:hint="eastAsia" w:ascii="宋体" w:hAnsi="宋体" w:eastAsia="宋体"/>
                <w:highlight w:val="none"/>
              </w:rPr>
              <w:t>-20°C~+50°C</w:t>
            </w:r>
          </w:p>
        </w:tc>
      </w:tr>
      <w:tr w14:paraId="26A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1B4F172A">
            <w:pPr>
              <w:pStyle w:val="21"/>
              <w:rPr>
                <w:rFonts w:hint="eastAsia" w:ascii="宋体" w:hAnsi="宋体" w:eastAsia="宋体"/>
                <w:highlight w:val="none"/>
              </w:rPr>
            </w:pPr>
            <w:r>
              <w:rPr>
                <w:rFonts w:hint="eastAsia" w:ascii="宋体" w:hAnsi="宋体" w:eastAsia="宋体"/>
                <w:highlight w:val="none"/>
              </w:rPr>
              <w:t>存储温度范围</w:t>
            </w:r>
          </w:p>
        </w:tc>
        <w:tc>
          <w:tcPr>
            <w:tcW w:w="3611" w:type="pct"/>
            <w:vAlign w:val="center"/>
          </w:tcPr>
          <w:p w14:paraId="7D645C12">
            <w:pPr>
              <w:pStyle w:val="21"/>
              <w:rPr>
                <w:rFonts w:hint="eastAsia" w:ascii="宋体" w:hAnsi="宋体" w:eastAsia="宋体"/>
                <w:highlight w:val="none"/>
              </w:rPr>
            </w:pPr>
            <w:r>
              <w:rPr>
                <w:rFonts w:hint="eastAsia" w:ascii="宋体" w:hAnsi="宋体" w:eastAsia="宋体"/>
                <w:highlight w:val="none"/>
              </w:rPr>
              <w:t>-40°C~+70°C</w:t>
            </w:r>
          </w:p>
        </w:tc>
      </w:tr>
      <w:tr w14:paraId="301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611D61F5">
            <w:pPr>
              <w:pStyle w:val="21"/>
              <w:rPr>
                <w:rFonts w:hint="eastAsia" w:ascii="宋体" w:hAnsi="宋体" w:eastAsia="宋体"/>
                <w:highlight w:val="none"/>
              </w:rPr>
            </w:pPr>
            <w:r>
              <w:rPr>
                <w:rFonts w:hint="eastAsia" w:ascii="宋体" w:hAnsi="宋体" w:eastAsia="宋体"/>
                <w:highlight w:val="none"/>
              </w:rPr>
              <w:t>防护等级</w:t>
            </w:r>
          </w:p>
        </w:tc>
        <w:tc>
          <w:tcPr>
            <w:tcW w:w="3611" w:type="pct"/>
            <w:vAlign w:val="center"/>
          </w:tcPr>
          <w:p w14:paraId="2377A62F">
            <w:pPr>
              <w:pStyle w:val="21"/>
              <w:rPr>
                <w:rFonts w:hint="eastAsia" w:ascii="宋体" w:hAnsi="宋体" w:eastAsia="宋体"/>
                <w:highlight w:val="none"/>
              </w:rPr>
            </w:pPr>
            <w:r>
              <w:rPr>
                <w:rFonts w:hint="eastAsia" w:ascii="宋体" w:hAnsi="宋体" w:eastAsia="宋体"/>
                <w:highlight w:val="none"/>
              </w:rPr>
              <w:t xml:space="preserve">IP 54 </w:t>
            </w:r>
          </w:p>
        </w:tc>
      </w:tr>
      <w:tr w14:paraId="20DF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pct"/>
            <w:vAlign w:val="center"/>
          </w:tcPr>
          <w:p w14:paraId="240C3DBC">
            <w:pPr>
              <w:pStyle w:val="21"/>
              <w:rPr>
                <w:rFonts w:hint="eastAsia" w:ascii="宋体" w:hAnsi="宋体" w:eastAsia="宋体"/>
                <w:highlight w:val="none"/>
              </w:rPr>
            </w:pPr>
            <w:r>
              <w:rPr>
                <w:rFonts w:hint="eastAsia" w:ascii="宋体" w:hAnsi="宋体" w:eastAsia="宋体"/>
                <w:highlight w:val="none"/>
              </w:rPr>
              <w:t>防爆等级</w:t>
            </w:r>
          </w:p>
        </w:tc>
        <w:tc>
          <w:tcPr>
            <w:tcW w:w="3611" w:type="pct"/>
            <w:vAlign w:val="center"/>
          </w:tcPr>
          <w:p w14:paraId="3103C831">
            <w:pPr>
              <w:pStyle w:val="21"/>
              <w:rPr>
                <w:rFonts w:hint="eastAsia" w:ascii="宋体" w:hAnsi="宋体" w:eastAsia="宋体"/>
                <w:highlight w:val="none"/>
              </w:rPr>
            </w:pPr>
            <w:r>
              <w:rPr>
                <w:rFonts w:hint="eastAsia" w:ascii="宋体" w:hAnsi="宋体" w:eastAsia="宋体"/>
                <w:highlight w:val="none"/>
              </w:rPr>
              <w:t xml:space="preserve">Ex ic nc op is IIC T4 Gc </w:t>
            </w:r>
          </w:p>
        </w:tc>
      </w:tr>
    </w:tbl>
    <w:p w14:paraId="6F767418">
      <w:pPr>
        <w:pStyle w:val="19"/>
        <w:numPr>
          <w:ilvl w:val="-1"/>
          <w:numId w:val="0"/>
        </w:numPr>
        <w:rPr>
          <w:rFonts w:hint="default" w:ascii="宋体" w:hAnsi="宋体" w:cs="宋体"/>
          <w:b/>
          <w:bCs/>
          <w:sz w:val="24"/>
          <w:szCs w:val="24"/>
          <w:highlight w:val="none"/>
          <w:lang w:val="en-US" w:eastAsia="zh-CN"/>
        </w:rPr>
      </w:pPr>
    </w:p>
    <w:p w14:paraId="5A80D7D7">
      <w:pPr>
        <w:pStyle w:val="19"/>
        <w:numPr>
          <w:ilvl w:val="-1"/>
          <w:numId w:val="0"/>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5.2.技术要求</w:t>
      </w:r>
    </w:p>
    <w:p w14:paraId="7E5DE6DE">
      <w:pPr>
        <w:numPr>
          <w:ilvl w:val="0"/>
          <w:numId w:val="5"/>
        </w:numPr>
        <w:ind w:firstLine="480"/>
        <w:rPr>
          <w:rFonts w:cs="Times New Roman" w:asciiTheme="minorEastAsia" w:hAnsiTheme="minorEastAsia"/>
          <w:sz w:val="24"/>
          <w:szCs w:val="24"/>
          <w:highlight w:val="none"/>
        </w:rPr>
      </w:pPr>
      <w:r>
        <w:rPr>
          <w:rFonts w:cs="Times New Roman" w:asciiTheme="minorEastAsia" w:hAnsiTheme="minorEastAsia"/>
          <w:sz w:val="24"/>
          <w:szCs w:val="24"/>
          <w:highlight w:val="none"/>
        </w:rPr>
        <w:t>拍照、录像等功能对泄漏点的快速定位、保存取证。</w:t>
      </w:r>
    </w:p>
    <w:p w14:paraId="5D02BEB2">
      <w:pPr>
        <w:numPr>
          <w:ilvl w:val="0"/>
          <w:numId w:val="5"/>
        </w:numPr>
        <w:ind w:firstLine="480"/>
        <w:rPr>
          <w:rFonts w:cs="Times New Roman" w:asciiTheme="minorEastAsia" w:hAnsiTheme="minorEastAsia"/>
          <w:sz w:val="24"/>
          <w:szCs w:val="24"/>
          <w:highlight w:val="none"/>
        </w:rPr>
      </w:pPr>
      <w:r>
        <w:rPr>
          <w:rFonts w:cs="Times New Roman" w:asciiTheme="minorEastAsia" w:hAnsiTheme="minorEastAsia"/>
          <w:sz w:val="24"/>
          <w:szCs w:val="24"/>
          <w:highlight w:val="none"/>
        </w:rPr>
        <w:t>具有快速工作流程，同时检测多个组件。</w:t>
      </w:r>
    </w:p>
    <w:p w14:paraId="554E324E">
      <w:pPr>
        <w:numPr>
          <w:ilvl w:val="0"/>
          <w:numId w:val="5"/>
        </w:numPr>
        <w:ind w:firstLine="480"/>
        <w:rPr>
          <w:rFonts w:cs="Times New Roman" w:asciiTheme="minorEastAsia" w:hAnsiTheme="minorEastAsia"/>
          <w:sz w:val="24"/>
          <w:szCs w:val="24"/>
          <w:highlight w:val="none"/>
        </w:rPr>
      </w:pPr>
      <w:r>
        <w:rPr>
          <w:rFonts w:cs="Times New Roman" w:asciiTheme="minorEastAsia" w:hAnsiTheme="minorEastAsia"/>
          <w:sz w:val="24"/>
          <w:szCs w:val="24"/>
          <w:highlight w:val="none"/>
        </w:rPr>
        <w:t>非接触，远距离操作，更安全。</w:t>
      </w:r>
    </w:p>
    <w:p w14:paraId="244F7DA8">
      <w:pPr>
        <w:numPr>
          <w:ilvl w:val="0"/>
          <w:numId w:val="5"/>
        </w:numPr>
        <w:ind w:firstLine="480"/>
        <w:rPr>
          <w:rFonts w:cs="Times New Roman" w:asciiTheme="minorEastAsia" w:hAnsiTheme="minorEastAsia"/>
          <w:sz w:val="24"/>
          <w:szCs w:val="24"/>
          <w:highlight w:val="none"/>
        </w:rPr>
      </w:pPr>
      <w:r>
        <w:rPr>
          <w:rFonts w:cs="Times New Roman" w:asciiTheme="minorEastAsia" w:hAnsiTheme="minorEastAsia"/>
          <w:sz w:val="24"/>
          <w:szCs w:val="24"/>
          <w:highlight w:val="none"/>
        </w:rPr>
        <w:t>防爆认证，满足大部分应用场所防爆等级要求。</w:t>
      </w:r>
    </w:p>
    <w:p w14:paraId="12CB0BD2">
      <w:pPr>
        <w:numPr>
          <w:ilvl w:val="0"/>
          <w:numId w:val="5"/>
        </w:numPr>
        <w:ind w:firstLine="480"/>
        <w:rPr>
          <w:rFonts w:cs="Times New Roman" w:asciiTheme="minorEastAsia" w:hAnsiTheme="minorEastAsia"/>
          <w:sz w:val="24"/>
          <w:szCs w:val="24"/>
          <w:highlight w:val="none"/>
        </w:rPr>
      </w:pPr>
      <w:r>
        <w:rPr>
          <w:rFonts w:cs="Times New Roman" w:asciiTheme="minorEastAsia" w:hAnsiTheme="minorEastAsia"/>
          <w:sz w:val="24"/>
          <w:szCs w:val="24"/>
          <w:highlight w:val="none"/>
        </w:rPr>
        <w:t>通过WIFI连接移动手持终端使用的APP、与LDAR管理平台无缝衔接，将不可达点检测结果上传至LDAR管理平台。APP软件可以在Android 4.0以上版本系统上运行。</w:t>
      </w:r>
    </w:p>
    <w:p w14:paraId="207A8AE9">
      <w:pPr>
        <w:numPr>
          <w:ilvl w:val="0"/>
          <w:numId w:val="5"/>
        </w:numPr>
        <w:ind w:firstLine="0"/>
        <w:rPr>
          <w:rFonts w:cs="Times New Roman" w:asciiTheme="minorEastAsia" w:hAnsiTheme="minorEastAsia"/>
          <w:sz w:val="24"/>
          <w:szCs w:val="24"/>
          <w:highlight w:val="none"/>
        </w:rPr>
      </w:pPr>
      <w:r>
        <w:rPr>
          <w:rFonts w:cs="Times New Roman" w:asciiTheme="minorEastAsia" w:hAnsiTheme="minorEastAsia"/>
          <w:sz w:val="24"/>
          <w:szCs w:val="24"/>
          <w:highlight w:val="none"/>
        </w:rPr>
        <w:t>通过WIFI连接便携式挥发性</w:t>
      </w:r>
      <w:r>
        <w:rPr>
          <w:rFonts w:hint="eastAsia" w:cs="Times New Roman" w:asciiTheme="minorEastAsia" w:hAnsiTheme="minorEastAsia"/>
          <w:sz w:val="24"/>
          <w:szCs w:val="24"/>
          <w:highlight w:val="none"/>
        </w:rPr>
        <w:t>有机</w:t>
      </w:r>
      <w:r>
        <w:rPr>
          <w:rFonts w:cs="Times New Roman" w:asciiTheme="minorEastAsia" w:hAnsiTheme="minorEastAsia"/>
          <w:sz w:val="24"/>
          <w:szCs w:val="24"/>
          <w:highlight w:val="none"/>
        </w:rPr>
        <w:t>气体分析仪（氢火焰离子法FID+光离子法PID），</w:t>
      </w:r>
      <w:r>
        <w:rPr>
          <w:rFonts w:hint="eastAsia" w:cs="Times New Roman" w:asciiTheme="minorEastAsia" w:hAnsiTheme="minorEastAsia"/>
          <w:sz w:val="24"/>
          <w:szCs w:val="24"/>
          <w:highlight w:val="none"/>
        </w:rPr>
        <w:t>红外热成像气体泄漏检测仪</w:t>
      </w:r>
      <w:r>
        <w:rPr>
          <w:rFonts w:cs="Times New Roman" w:asciiTheme="minorEastAsia" w:hAnsiTheme="minorEastAsia"/>
          <w:sz w:val="24"/>
          <w:szCs w:val="24"/>
          <w:highlight w:val="none"/>
        </w:rPr>
        <w:t>屏幕可以同时显示FID检测器和PID检测器的检测数据。</w:t>
      </w:r>
    </w:p>
    <w:p w14:paraId="5ECB993C">
      <w:pPr>
        <w:pStyle w:val="19"/>
        <w:numPr>
          <w:ilvl w:val="-1"/>
          <w:numId w:val="0"/>
        </w:numPr>
        <w:rPr>
          <w:rFonts w:hint="default" w:ascii="宋体" w:hAnsi="宋体" w:cs="宋体"/>
          <w:b/>
          <w:bCs/>
          <w:sz w:val="24"/>
          <w:szCs w:val="24"/>
          <w:highlight w:val="none"/>
          <w:lang w:val="en-US" w:eastAsia="zh-CN"/>
        </w:rPr>
      </w:pPr>
    </w:p>
    <w:p w14:paraId="7E985AE0">
      <w:pPr>
        <w:pStyle w:val="19"/>
        <w:numPr>
          <w:ilvl w:val="-1"/>
          <w:numId w:val="0"/>
        </w:num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6.便携气质联用仪</w:t>
      </w:r>
    </w:p>
    <w:p w14:paraId="6C6D6A84">
      <w:pPr>
        <w:autoSpaceDE w:val="0"/>
        <w:autoSpaceDN w:val="0"/>
        <w:adjustRightInd w:val="0"/>
        <w:snapToGrid w:val="0"/>
        <w:ind w:firstLine="0" w:firstLineChars="0"/>
        <w:outlineLvl w:val="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一、技术参数要求</w:t>
      </w:r>
    </w:p>
    <w:p w14:paraId="356023D6">
      <w:pPr>
        <w:pStyle w:val="25"/>
        <w:numPr>
          <w:ilvl w:val="0"/>
          <w:numId w:val="6"/>
        </w:numPr>
        <w:adjustRightInd w:val="0"/>
        <w:snapToGrid w:val="0"/>
        <w:ind w:firstLineChars="0"/>
        <w:rPr>
          <w:rFonts w:hint="eastAsia" w:ascii="宋体" w:hAnsi="宋体" w:cs="宋体"/>
          <w:b/>
          <w:bCs/>
          <w:sz w:val="24"/>
          <w:szCs w:val="24"/>
          <w:highlight w:val="none"/>
        </w:rPr>
      </w:pPr>
      <w:r>
        <w:rPr>
          <w:rFonts w:hint="eastAsia" w:ascii="宋体" w:hAnsi="宋体" w:cs="宋体"/>
          <w:b/>
          <w:bCs/>
          <w:sz w:val="24"/>
          <w:szCs w:val="24"/>
          <w:highlight w:val="none"/>
        </w:rPr>
        <w:t>设备用途</w:t>
      </w:r>
    </w:p>
    <w:p w14:paraId="07DAB63A">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便携式气相色谱-质谱联用仪基于气相色谱质谱联用技术（GC-MS），配置顶空进样、固相微萃取等前处理设备，可用于污染事故现场大气、水体和土壤中挥发性及半挥发性有机污染物的快速定性及定量、半定量分析。该设备满足或优于《环境空气 挥发性有机物的应急测定 便携式气相色谱-质谱法》（HJ 1223—2021）、《水质 挥发性有机物的应急测定 便携式顶空气相色谱-质谱法》（HJ 1227—2021）对仪器性能的要求。</w:t>
      </w:r>
    </w:p>
    <w:p w14:paraId="2CEA0447">
      <w:pPr>
        <w:pStyle w:val="25"/>
        <w:numPr>
          <w:ilvl w:val="0"/>
          <w:numId w:val="6"/>
        </w:numPr>
        <w:adjustRightInd w:val="0"/>
        <w:snapToGrid w:val="0"/>
        <w:ind w:firstLineChars="0"/>
        <w:rPr>
          <w:rFonts w:hint="eastAsia" w:ascii="宋体" w:hAnsi="宋体" w:cs="宋体"/>
          <w:b/>
          <w:bCs/>
          <w:sz w:val="24"/>
          <w:szCs w:val="24"/>
          <w:highlight w:val="none"/>
        </w:rPr>
      </w:pPr>
      <w:r>
        <w:rPr>
          <w:rFonts w:hint="eastAsia" w:ascii="宋体" w:hAnsi="宋体" w:cs="宋体"/>
          <w:b/>
          <w:bCs/>
          <w:sz w:val="24"/>
          <w:szCs w:val="24"/>
          <w:highlight w:val="none"/>
        </w:rPr>
        <w:t>配置</w:t>
      </w:r>
    </w:p>
    <w:p w14:paraId="02436983">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(1) 气相色谱-质谱联用仪主机，同时内置吸附热解吸、定量环进样模块等前处理模块。</w:t>
      </w:r>
    </w:p>
    <w:p w14:paraId="153E575D">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(2) 顶空进样系统。</w:t>
      </w:r>
    </w:p>
    <w:p w14:paraId="4725D3AF">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(3) 固相微萃取前处理系统。</w:t>
      </w:r>
    </w:p>
    <w:p w14:paraId="47EA0D15">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(4) 附件箱：内含可拆卸式电池和载气，配充电器及三块充电电池。</w:t>
      </w:r>
    </w:p>
    <w:p w14:paraId="405E0409">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(5) 工作站软件：便携气质工作站软件（中文操作系统），数据处理软件。</w:t>
      </w:r>
    </w:p>
    <w:p w14:paraId="6118A159">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(6) 主机配件：配件包和工具包。</w:t>
      </w:r>
    </w:p>
    <w:p w14:paraId="35F8540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(7) 品牌电脑。</w:t>
      </w:r>
    </w:p>
    <w:p w14:paraId="2DFB4AC9">
      <w:pPr>
        <w:pStyle w:val="25"/>
        <w:numPr>
          <w:ilvl w:val="0"/>
          <w:numId w:val="6"/>
        </w:numPr>
        <w:adjustRightInd w:val="0"/>
        <w:snapToGrid w:val="0"/>
        <w:ind w:firstLineChars="0"/>
        <w:rPr>
          <w:rFonts w:hint="eastAsia" w:ascii="宋体" w:hAnsi="宋体" w:cs="宋体"/>
          <w:b/>
          <w:bCs/>
          <w:sz w:val="24"/>
          <w:szCs w:val="24"/>
          <w:highlight w:val="none"/>
        </w:rPr>
      </w:pPr>
      <w:r>
        <w:rPr>
          <w:rFonts w:hint="eastAsia" w:ascii="宋体" w:hAnsi="宋体" w:cs="宋体"/>
          <w:b/>
          <w:bCs/>
          <w:sz w:val="24"/>
          <w:szCs w:val="24"/>
          <w:highlight w:val="none"/>
        </w:rPr>
        <w:t>技术性能指标</w:t>
      </w:r>
    </w:p>
    <w:p w14:paraId="1B0D9239">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3.1 工作条件</w:t>
      </w:r>
    </w:p>
    <w:p w14:paraId="643CF158">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(1) 电源：可用充电电池和交流电两种供电模式。</w:t>
      </w:r>
    </w:p>
    <w:p w14:paraId="01D0F93E">
      <w:pPr>
        <w:adjustRightInd w:val="0"/>
        <w:snapToGrid w:val="0"/>
        <w:ind w:firstLine="0" w:firstLineChars="0"/>
        <w:rPr>
          <w:rFonts w:hint="eastAsia" w:ascii="宋体" w:hAnsi="宋体" w:cs="宋体"/>
          <w:sz w:val="24"/>
          <w:szCs w:val="24"/>
          <w:highlight w:val="none"/>
        </w:rPr>
      </w:pPr>
      <w:bookmarkStart w:id="193" w:name="_Hlk112327800"/>
      <w:r>
        <w:rPr>
          <w:rFonts w:hint="eastAsia" w:ascii="宋体" w:hAnsi="宋体" w:cs="宋体"/>
          <w:sz w:val="24"/>
          <w:szCs w:val="24"/>
          <w:highlight w:val="none"/>
        </w:rPr>
        <w:t>(2) 电池：应急现场内置电池电量耗尽后可无需拆机快速更换，实现热切换，重量≤2.5kg。</w:t>
      </w:r>
    </w:p>
    <w:p w14:paraId="27475CA3">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(3) 连续工作时间：≥24小时。</w:t>
      </w:r>
    </w:p>
    <w:p w14:paraId="29BD22F8">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(4) 预热时间：设备可快速预热，以应对突发事故应急监测，预热时间（冷启动时间）＜6 min。</w:t>
      </w:r>
      <w:bookmarkEnd w:id="193"/>
    </w:p>
    <w:p w14:paraId="6DA18819">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(5) 抗震性：设备可适应现场各种恶劣的环境，具有的抗震能力，提供设备振动测试CNAS报告。</w:t>
      </w:r>
    </w:p>
    <w:p w14:paraId="4BFF9141">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3.2 气相色谱模块</w:t>
      </w:r>
    </w:p>
    <w:p w14:paraId="1B78C0DA">
      <w:pPr>
        <w:adjustRightInd w:val="0"/>
        <w:snapToGrid w:val="0"/>
        <w:ind w:firstLine="0" w:firstLineChars="0"/>
        <w:rPr>
          <w:rFonts w:hint="eastAsia" w:ascii="宋体" w:hAnsi="宋体" w:eastAsia="宋体" w:cs="宋体"/>
          <w:sz w:val="24"/>
          <w:szCs w:val="24"/>
          <w:highlight w:val="none"/>
        </w:rPr>
      </w:pPr>
      <w:bookmarkStart w:id="194" w:name="_Hlk112328261"/>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(1) 内置长度为5m-10m的快速色谱柱。为满足应急现场快速分析的要求，温度设置范围上限应达到280℃，升温速率至少可达到140℃/min。</w:t>
      </w:r>
      <w:bookmarkEnd w:id="194"/>
    </w:p>
    <w:p w14:paraId="77342911">
      <w:pPr>
        <w:adjustRightInd w:val="0"/>
        <w:snapToGrid w:val="0"/>
        <w:ind w:firstLine="0" w:firstLineChars="0"/>
        <w:rPr>
          <w:rFonts w:hint="eastAsia" w:ascii="宋体" w:hAnsi="宋体" w:eastAsia="宋体" w:cs="宋体"/>
          <w:sz w:val="24"/>
          <w:szCs w:val="24"/>
          <w:highlight w:val="none"/>
          <w:lang w:val="zh-CN"/>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 xml:space="preserve">(2) </w:t>
      </w:r>
      <w:bookmarkStart w:id="195" w:name="_Hlk112328294"/>
      <w:r>
        <w:rPr>
          <w:rFonts w:hint="eastAsia" w:ascii="宋体" w:hAnsi="宋体" w:cs="宋体"/>
          <w:sz w:val="24"/>
          <w:szCs w:val="24"/>
          <w:highlight w:val="none"/>
        </w:rPr>
        <w:t>样品进样：</w:t>
      </w:r>
      <w:r>
        <w:rPr>
          <w:rFonts w:hint="eastAsia" w:ascii="宋体" w:hAnsi="宋体" w:cs="宋体"/>
          <w:sz w:val="24"/>
          <w:szCs w:val="24"/>
          <w:highlight w:val="none"/>
          <w:lang w:val="zh-CN"/>
        </w:rPr>
        <w:t>仪器同时内置吸附管及定量环，气体样品可通过吸附热解吸和定量环两种模式进样，可通过软件控制二者选其一使用，避免手动更换。</w:t>
      </w:r>
      <w:bookmarkEnd w:id="195"/>
    </w:p>
    <w:p w14:paraId="526456A1">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(3) </w:t>
      </w:r>
      <w:bookmarkStart w:id="196" w:name="_Hlk112328451"/>
      <w:r>
        <w:rPr>
          <w:rFonts w:hint="eastAsia" w:ascii="宋体" w:hAnsi="宋体" w:cs="宋体"/>
          <w:sz w:val="24"/>
          <w:szCs w:val="24"/>
          <w:highlight w:val="none"/>
        </w:rPr>
        <w:t>样品进样全套管路均需经表面惰性化处理，具有预抽功能和反吹功能，以保证仪器抗污染能力及测试结果准确度。</w:t>
      </w:r>
      <w:bookmarkEnd w:id="196"/>
    </w:p>
    <w:p w14:paraId="2631EEAD">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 xml:space="preserve">(4) </w:t>
      </w:r>
      <w:bookmarkStart w:id="197" w:name="_Hlk112328688"/>
      <w:r>
        <w:rPr>
          <w:rFonts w:hint="eastAsia" w:ascii="宋体" w:hAnsi="宋体" w:cs="宋体"/>
          <w:sz w:val="24"/>
          <w:szCs w:val="24"/>
          <w:highlight w:val="none"/>
        </w:rPr>
        <w:t>分析速度：GC-MS分析≤4 min，</w:t>
      </w:r>
      <w:bookmarkEnd w:id="197"/>
      <w:r>
        <w:rPr>
          <w:rFonts w:hint="eastAsia" w:ascii="宋体" w:hAnsi="宋体" w:cs="宋体"/>
          <w:sz w:val="24"/>
          <w:szCs w:val="24"/>
          <w:highlight w:val="none"/>
        </w:rPr>
        <w:t>且甲苯与1,1,2-三氯乙烷分离度＞1</w:t>
      </w:r>
    </w:p>
    <w:p w14:paraId="58F2E3D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(5) 载气：氦气或氮气；</w:t>
      </w:r>
      <w:bookmarkStart w:id="198" w:name="_Hlk112330467"/>
      <w:r>
        <w:rPr>
          <w:rFonts w:hint="eastAsia" w:ascii="宋体" w:hAnsi="宋体" w:cs="宋体"/>
          <w:sz w:val="24"/>
          <w:szCs w:val="24"/>
          <w:highlight w:val="none"/>
        </w:rPr>
        <w:t>便携式载气瓶容积≤100ml，与主机连接的同时具备减压阀，可调节载气压力大小。</w:t>
      </w:r>
      <w:bookmarkEnd w:id="198"/>
    </w:p>
    <w:p w14:paraId="33C74236">
      <w:pPr>
        <w:adjustRightInd w:val="0"/>
        <w:snapToGrid w:val="0"/>
        <w:ind w:firstLine="0" w:firstLineChars="0"/>
        <w:rPr>
          <w:rFonts w:hint="eastAsia" w:ascii="宋体" w:hAnsi="宋体" w:cs="宋体"/>
          <w:sz w:val="24"/>
          <w:szCs w:val="24"/>
          <w:highlight w:val="none"/>
          <w:lang w:val="zh-CN"/>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 xml:space="preserve">(6) </w:t>
      </w:r>
      <w:r>
        <w:rPr>
          <w:rFonts w:hint="eastAsia" w:ascii="宋体" w:hAnsi="宋体" w:cs="宋体"/>
          <w:sz w:val="24"/>
          <w:szCs w:val="24"/>
          <w:highlight w:val="none"/>
          <w:lang w:val="zh-CN"/>
        </w:rPr>
        <w:t>载气监控：</w:t>
      </w:r>
      <w:bookmarkStart w:id="199" w:name="_Hlk112330532"/>
      <w:r>
        <w:rPr>
          <w:rFonts w:hint="eastAsia" w:ascii="宋体" w:hAnsi="宋体" w:cs="宋体"/>
          <w:sz w:val="24"/>
          <w:szCs w:val="24"/>
          <w:highlight w:val="none"/>
          <w:lang w:val="zh-CN"/>
        </w:rPr>
        <w:t>可对载气压力进行监控，并在载气压力低于规定限值时报警提示用户。</w:t>
      </w:r>
      <w:bookmarkEnd w:id="199"/>
    </w:p>
    <w:p w14:paraId="1B4A0475">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3.3 质谱模块</w:t>
      </w:r>
    </w:p>
    <w:p w14:paraId="772CB8FB">
      <w:pPr>
        <w:adjustRightInd w:val="0"/>
        <w:snapToGrid w:val="0"/>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w:t>
      </w:r>
      <w:bookmarkStart w:id="200" w:name="_Hlk112329205"/>
      <w:r>
        <w:rPr>
          <w:rFonts w:hint="eastAsia" w:ascii="宋体" w:hAnsi="宋体" w:cs="宋体"/>
          <w:color w:val="auto"/>
          <w:sz w:val="24"/>
          <w:szCs w:val="24"/>
          <w:highlight w:val="none"/>
        </w:rPr>
        <w:t>质量分析器：四极场原理质量分析器</w:t>
      </w:r>
      <w:bookmarkEnd w:id="200"/>
      <w:r>
        <w:rPr>
          <w:rFonts w:hint="eastAsia" w:ascii="宋体" w:hAnsi="宋体" w:cs="宋体"/>
          <w:color w:val="auto"/>
          <w:sz w:val="24"/>
          <w:szCs w:val="24"/>
          <w:highlight w:val="none"/>
        </w:rPr>
        <w:t>。</w:t>
      </w:r>
    </w:p>
    <w:p w14:paraId="4A5F14ED">
      <w:pPr>
        <w:adjustRightInd w:val="0"/>
        <w:snapToGrid w:val="0"/>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电离方式：70eV EI源电离。</w:t>
      </w:r>
    </w:p>
    <w:p w14:paraId="49316C94">
      <w:pPr>
        <w:pStyle w:val="8"/>
        <w:spacing w:after="0"/>
        <w:ind w:firstLine="0" w:firstLineChars="0"/>
        <w:rPr>
          <w:rFonts w:hint="eastAsia" w:ascii="宋体" w:hAnsi="宋体" w:eastAsia="宋体" w:cs="宋体"/>
          <w:color w:val="auto"/>
          <w:sz w:val="24"/>
          <w:szCs w:val="24"/>
          <w:highlight w:val="none"/>
        </w:rPr>
      </w:pPr>
      <w:bookmarkStart w:id="201" w:name="_Hlk112330294"/>
      <w:r>
        <w:rPr>
          <w:rFonts w:hint="eastAsia" w:ascii="宋体" w:hAnsi="宋体" w:eastAsia="宋体" w:cs="宋体"/>
          <w:color w:val="auto"/>
          <w:sz w:val="24"/>
          <w:szCs w:val="24"/>
          <w:highlight w:val="none"/>
        </w:rPr>
        <w:t xml:space="preserve">(3) </w:t>
      </w:r>
      <w:bookmarkEnd w:id="201"/>
      <w:r>
        <w:rPr>
          <w:rFonts w:hint="eastAsia" w:ascii="宋体" w:hAnsi="宋体" w:eastAsia="宋体" w:cs="宋体"/>
          <w:color w:val="auto"/>
          <w:sz w:val="24"/>
          <w:szCs w:val="24"/>
          <w:highlight w:val="none"/>
        </w:rPr>
        <w:t>用2ppb TO-15（进样量500 ml，分流比50：1）标准气体检测，能够准确定性70%以上物质，同时70%以上物质的保留时间重复性（六组数据）RSD≤1%</w:t>
      </w:r>
    </w:p>
    <w:p w14:paraId="0367D7E1">
      <w:pPr>
        <w:adjustRightInd w:val="0"/>
        <w:snapToGrid w:val="0"/>
        <w:ind w:firstLine="0" w:firstLineChars="0"/>
        <w:rPr>
          <w:rFonts w:hint="eastAsia" w:ascii="宋体" w:hAnsi="宋体" w:cs="宋体"/>
          <w:sz w:val="24"/>
          <w:szCs w:val="24"/>
          <w:highlight w:val="none"/>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(4) 真空系统：</w:t>
      </w:r>
      <w:bookmarkStart w:id="202" w:name="_Hlk112329491"/>
      <w:r>
        <w:rPr>
          <w:rFonts w:hint="eastAsia" w:ascii="宋体" w:hAnsi="宋体" w:cs="宋体"/>
          <w:sz w:val="24"/>
          <w:szCs w:val="24"/>
          <w:highlight w:val="none"/>
          <w:lang w:val="zh-CN"/>
        </w:rPr>
        <w:t>真空泵为非消耗型器件，无油设计，分子泵抽速≥8L/s，以实现应急现场快速响应，达到分析准备条件。</w:t>
      </w:r>
      <w:bookmarkEnd w:id="202"/>
    </w:p>
    <w:p w14:paraId="48751AAB">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(5) </w:t>
      </w:r>
      <w:bookmarkStart w:id="203" w:name="_Hlk112329721"/>
      <w:r>
        <w:rPr>
          <w:rFonts w:hint="eastAsia" w:ascii="宋体" w:hAnsi="宋体" w:cs="宋体"/>
          <w:sz w:val="24"/>
          <w:szCs w:val="24"/>
          <w:highlight w:val="none"/>
        </w:rPr>
        <w:t>质量数范围：45~550 u，覆盖挥发性有机物及半挥发性有机物。</w:t>
      </w:r>
      <w:bookmarkEnd w:id="203"/>
    </w:p>
    <w:p w14:paraId="5216A80B">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(6) </w:t>
      </w:r>
      <w:bookmarkStart w:id="204" w:name="_Hlk112329738"/>
      <w:r>
        <w:rPr>
          <w:rFonts w:hint="eastAsia" w:ascii="宋体" w:hAnsi="宋体" w:cs="宋体"/>
          <w:sz w:val="24"/>
          <w:szCs w:val="24"/>
          <w:highlight w:val="none"/>
        </w:rPr>
        <w:t>扫描速率：≥10000 u/s。</w:t>
      </w:r>
      <w:bookmarkEnd w:id="204"/>
    </w:p>
    <w:p w14:paraId="2A92269A">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 xml:space="preserve">(7) </w:t>
      </w:r>
      <w:bookmarkStart w:id="205" w:name="_Hlk112330793"/>
      <w:r>
        <w:rPr>
          <w:rFonts w:hint="eastAsia" w:ascii="宋体" w:hAnsi="宋体" w:cs="宋体"/>
          <w:sz w:val="24"/>
          <w:szCs w:val="24"/>
          <w:highlight w:val="none"/>
        </w:rPr>
        <w:t>设备符合HJ1223-2021《环境空气 挥发性有机物的应急测定 便携式气相色谱-质谱法》的要求，除具备外标法分析能力外，内标标准气和样品可同时进样并通过内标法定量。</w:t>
      </w:r>
      <w:bookmarkEnd w:id="205"/>
    </w:p>
    <w:p w14:paraId="2DDEA599">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 xml:space="preserve">(8) </w:t>
      </w:r>
      <w:bookmarkStart w:id="206" w:name="_Hlk112331302"/>
      <w:r>
        <w:rPr>
          <w:rFonts w:hint="eastAsia" w:ascii="宋体" w:hAnsi="宋体" w:cs="宋体"/>
          <w:sz w:val="24"/>
          <w:szCs w:val="24"/>
          <w:highlight w:val="none"/>
        </w:rPr>
        <w:t>内标气至少包括1,3,5-三（三氟甲基）苯及4-溴氟苯，具有内标调谐功能。内标钢瓶无需打开主机外壳即可实现反复灌充、易于更换，容积不大于90mL，灌充标气可耐受1500 psi或更高压力，以适应应急现场大量样品的分析需求</w:t>
      </w:r>
      <w:bookmarkEnd w:id="206"/>
    </w:p>
    <w:p w14:paraId="1D6AE2E8">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3.4 半挥发性有机物进样模块</w:t>
      </w:r>
    </w:p>
    <w:p w14:paraId="7D6F2D7B">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(1) 内置半挥发性有机物进样模块，液体或固体样品能通过固相微萃取手柄预处理进样，也可以通过有机溶剂萃取后用微量注射器直接进样。</w:t>
      </w:r>
    </w:p>
    <w:p w14:paraId="0588AC37">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(2) 可以满足沸点350℃以下的半挥发性有机物的检测，能监测挥发性弱的有机氯农药等半挥发性有机化合物。</w:t>
      </w:r>
    </w:p>
    <w:p w14:paraId="1F8AFBD5">
      <w:pPr>
        <w:adjustRightInd w:val="0"/>
        <w:snapToGrid w:val="0"/>
        <w:ind w:firstLine="0" w:firstLineChars="0"/>
        <w:rPr>
          <w:rFonts w:hint="eastAsia" w:ascii="宋体" w:hAnsi="宋体" w:cs="宋体"/>
          <w:sz w:val="24"/>
          <w:szCs w:val="24"/>
          <w:highlight w:val="none"/>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(3) 温度范围：分流进样口最高操作温度≥270℃。</w:t>
      </w:r>
    </w:p>
    <w:p w14:paraId="10DEA584">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(4) 分流比范围可设置，最大分流比可达250:1。</w:t>
      </w:r>
    </w:p>
    <w:p w14:paraId="058851AA">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3.5 顶空进样系统</w:t>
      </w:r>
    </w:p>
    <w:p w14:paraId="461F3C61">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(1) </w:t>
      </w:r>
      <w:bookmarkStart w:id="207" w:name="_Hlk112331638"/>
      <w:r>
        <w:rPr>
          <w:rFonts w:hint="eastAsia" w:ascii="宋体" w:hAnsi="宋体" w:cs="宋体"/>
          <w:sz w:val="24"/>
          <w:szCs w:val="24"/>
          <w:highlight w:val="none"/>
        </w:rPr>
        <w:t>性能要求：配置原厂便携顶空进样系统，通过样品传输管线和通讯管线与GC-MS主机相连接，具备动态吹扫和静态顶空双重功能。实现应急所需的水、土样品中VOCs的前处理。</w:t>
      </w:r>
      <w:bookmarkEnd w:id="207"/>
    </w:p>
    <w:p w14:paraId="7ADAAC2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(2) </w:t>
      </w:r>
      <w:bookmarkStart w:id="208" w:name="_Hlk112750073"/>
      <w:bookmarkStart w:id="209" w:name="_Hlk112331651"/>
      <w:r>
        <w:rPr>
          <w:rFonts w:hint="eastAsia" w:ascii="宋体" w:hAnsi="宋体" w:cs="宋体"/>
          <w:sz w:val="24"/>
          <w:szCs w:val="24"/>
          <w:highlight w:val="none"/>
        </w:rPr>
        <w:t>顶空系统具有适应于应急现场携带的便携性，重量≤8kg，尺寸≤300x350x200（mm）。</w:t>
      </w:r>
      <w:bookmarkEnd w:id="208"/>
    </w:p>
    <w:p w14:paraId="3BB0C5EF">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(3) 可通过外接电源供电，也可通过自带的电池供电，电池使用时长≥6小时。</w:t>
      </w:r>
      <w:bookmarkEnd w:id="209"/>
    </w:p>
    <w:p w14:paraId="15C5C053">
      <w:pPr>
        <w:pStyle w:val="8"/>
        <w:spacing w:after="0"/>
        <w:ind w:firstLine="0" w:firstLineChars="0"/>
        <w:rPr>
          <w:rFonts w:hint="eastAsia" w:ascii="宋体" w:hAnsi="宋体" w:eastAsia="宋体" w:cs="宋体"/>
          <w:color w:val="auto"/>
          <w:sz w:val="24"/>
          <w:szCs w:val="24"/>
          <w:highlight w:val="none"/>
        </w:rPr>
      </w:pPr>
      <w:r>
        <w:rPr>
          <w:rFonts w:ascii="Times New Roman" w:hAnsi="Times New Roman" w:cs="Times New Roman"/>
          <w:color w:val="auto"/>
          <w:sz w:val="24"/>
          <w:szCs w:val="24"/>
          <w:highlight w:val="none"/>
        </w:rPr>
        <w:t>▲</w:t>
      </w:r>
      <w:r>
        <w:rPr>
          <w:rFonts w:hint="eastAsia" w:ascii="宋体" w:hAnsi="宋体" w:eastAsia="宋体" w:cs="宋体"/>
          <w:color w:val="auto"/>
          <w:sz w:val="24"/>
          <w:szCs w:val="24"/>
          <w:highlight w:val="none"/>
        </w:rPr>
        <w:t xml:space="preserve">(4) </w:t>
      </w:r>
      <w:bookmarkStart w:id="210" w:name="_Hlk112331833"/>
      <w:r>
        <w:rPr>
          <w:rFonts w:hint="eastAsia" w:ascii="宋体" w:hAnsi="宋体" w:eastAsia="宋体" w:cs="宋体"/>
          <w:color w:val="auto"/>
          <w:sz w:val="24"/>
          <w:szCs w:val="24"/>
          <w:highlight w:val="none"/>
        </w:rPr>
        <w:t>顶空系统内置载气瓶，含减压阀，可调节载气压力大小并通过自带表盘直读气压数值。</w:t>
      </w:r>
      <w:bookmarkEnd w:id="210"/>
    </w:p>
    <w:p w14:paraId="4FE922D9">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顶空系统能够对样品瓶进行加热，加热温度≥80℃；加热位：≥4位；此外，顶空插针及支撑杆应具有限位，限制操作人员任意旋转，避免插针直接碰撞样品池导致损坏。</w:t>
      </w:r>
    </w:p>
    <w:p w14:paraId="65B68766">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3.6 固相微萃取前处理系统</w:t>
      </w:r>
    </w:p>
    <w:p w14:paraId="2D6D47D5">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(1) 性能要求：集成样品加热搅拌模块与纤维老化模块，可通过一台仪器完成整个固相微萃取前处理过程。</w:t>
      </w:r>
    </w:p>
    <w:p w14:paraId="5ADB48C7">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(2) 使用石英砂作为基质，添加滴滴伊（p,p’-DDE），制作0.2 mg/kg的标准土壤。使用固相微萃取综合前处理仪进行样品前处理，然后进行便携式GC-MS检测，滴滴伊特征离子峰的信噪比高于10:1。 </w:t>
      </w:r>
    </w:p>
    <w:p w14:paraId="0C0C4AE0">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(3) 重量：≤8.5 kg。</w:t>
      </w:r>
    </w:p>
    <w:p w14:paraId="153EC6E8">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(4) 样品池温度：40℃~90℃。</w:t>
      </w:r>
    </w:p>
    <w:p w14:paraId="43FEC938">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(5) 搅拌速率：至少满足300 rpm~1500 rpm。</w:t>
      </w:r>
    </w:p>
    <w:p w14:paraId="4324027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(6) 老化腔温度：至少满足50℃~280℃。</w:t>
      </w:r>
    </w:p>
    <w:p w14:paraId="38297BAF">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(7) 内置不可拆卸高清晰度、触摸式显示屏，尺寸≥5英寸。</w:t>
      </w:r>
    </w:p>
    <w:p w14:paraId="1BD359BB">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(8) 采用向导式操作引导，内置常见SVOC物质的分析参数，支持储存3种以上工作方法，并可通过仪器内置显示屏设置样品温度、平衡时间、搅拌速度等，方便用户提升工作效率。</w:t>
      </w:r>
    </w:p>
    <w:p w14:paraId="14AF799C">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(9) 固相微萃取前处理系统外壳防护等级≥IP 65 </w:t>
      </w:r>
    </w:p>
    <w:p w14:paraId="4DF07FA9">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(10) 具有固相微萃取综合前处理仪操作系统软件著作权</w:t>
      </w:r>
    </w:p>
    <w:p w14:paraId="449624F0">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3.7 数据处理系统</w:t>
      </w:r>
    </w:p>
    <w:p w14:paraId="0FEA7329">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(1) 全中文软件界面。 </w:t>
      </w:r>
    </w:p>
    <w:p w14:paraId="60FBC81F">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 xml:space="preserve">(2) </w:t>
      </w:r>
      <w:bookmarkStart w:id="211" w:name="_Hlk112337610"/>
      <w:r>
        <w:rPr>
          <w:rFonts w:hint="eastAsia" w:ascii="宋体" w:hAnsi="宋体" w:cs="宋体"/>
          <w:sz w:val="24"/>
          <w:szCs w:val="24"/>
          <w:highlight w:val="none"/>
        </w:rPr>
        <w:t>简约直观的图形化操作界面、人机交互式触摸屏，可在无人值守情况下按照事先设置好的序列运行设备。</w:t>
      </w:r>
      <w:bookmarkEnd w:id="211"/>
    </w:p>
    <w:p w14:paraId="037554F2">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(3)</w:t>
      </w:r>
      <w:bookmarkStart w:id="212" w:name="_Hlk112337620"/>
      <w:r>
        <w:rPr>
          <w:rFonts w:hint="eastAsia" w:ascii="宋体" w:hAnsi="宋体" w:cs="宋体"/>
          <w:sz w:val="24"/>
          <w:szCs w:val="24"/>
          <w:highlight w:val="none"/>
        </w:rPr>
        <w:t xml:space="preserve"> 软件具有实时定性功能，在分析未结束时即可对已出峰的物质进行定性，提高现场检测效率。</w:t>
      </w:r>
      <w:bookmarkEnd w:id="212"/>
    </w:p>
    <w:p w14:paraId="2EE8E6EB">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(4) 具有自动调谐功能，无需输入电压或质量数等任何参数即可进行调谐，</w:t>
      </w:r>
      <w:bookmarkStart w:id="213" w:name="_Hlk112337927"/>
      <w:r>
        <w:rPr>
          <w:rFonts w:hint="eastAsia" w:ascii="宋体" w:hAnsi="宋体" w:cs="宋体"/>
          <w:sz w:val="24"/>
          <w:szCs w:val="24"/>
          <w:highlight w:val="none"/>
        </w:rPr>
        <w:t>关键离子丰度应满足HJ1223-2021《环境空气 挥发性有机物的应急测定 便携式气相色谱-质谱法》的要求。</w:t>
      </w:r>
      <w:bookmarkEnd w:id="213"/>
    </w:p>
    <w:p w14:paraId="1C01B465">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(5) 具有自动维护功能，可设定自动维护周期。</w:t>
      </w:r>
    </w:p>
    <w:p w14:paraId="7159AF72">
      <w:pPr>
        <w:adjustRightInd w:val="0"/>
        <w:snapToGrid w:val="0"/>
        <w:ind w:firstLine="0" w:firstLineChars="0"/>
        <w:rPr>
          <w:rFonts w:hint="eastAsia" w:ascii="宋体" w:hAnsi="宋体" w:eastAsia="宋体" w:cs="宋体"/>
          <w:sz w:val="24"/>
          <w:szCs w:val="24"/>
          <w:highlight w:val="none"/>
          <w:lang w:val="zh-CN"/>
        </w:rPr>
      </w:pP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(6)</w:t>
      </w:r>
      <w:bookmarkStart w:id="214" w:name="_Hlk112337964"/>
      <w:r>
        <w:rPr>
          <w:rFonts w:hint="eastAsia" w:ascii="宋体" w:hAnsi="宋体" w:cs="宋体"/>
          <w:sz w:val="24"/>
          <w:szCs w:val="24"/>
          <w:highlight w:val="none"/>
        </w:rPr>
        <w:t xml:space="preserve"> 设备</w:t>
      </w:r>
      <w:r>
        <w:rPr>
          <w:rFonts w:hint="eastAsia" w:ascii="宋体" w:hAnsi="宋体" w:cs="宋体"/>
          <w:sz w:val="24"/>
          <w:szCs w:val="24"/>
          <w:highlight w:val="none"/>
          <w:lang w:val="zh-CN"/>
        </w:rPr>
        <w:t>内置北斗定位系统以及GPS定位系统，无需外接模块或天线即可通过主机触屏任选一种模式定位，也可以双模式同时定位。</w:t>
      </w:r>
      <w:bookmarkEnd w:id="214"/>
    </w:p>
    <w:p w14:paraId="7E9F2EB2">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(7) 标准谱库：内装NIST与AMDIS的质谱库，NIOSH数据库。</w:t>
      </w:r>
    </w:p>
    <w:p w14:paraId="28EEC6BE">
      <w:pPr>
        <w:adjustRightInd w:val="0"/>
        <w:snapToGrid w:val="0"/>
        <w:ind w:firstLine="0" w:firstLineChars="0"/>
        <w:rPr>
          <w:rFonts w:hint="eastAsia" w:ascii="宋体" w:hAnsi="宋体" w:eastAsia="宋体" w:cs="宋体"/>
          <w:sz w:val="24"/>
          <w:szCs w:val="24"/>
          <w:highlight w:val="none"/>
        </w:rPr>
      </w:pPr>
      <w:r>
        <w:rPr>
          <w:rFonts w:hint="eastAsia" w:ascii="宋体" w:hAnsi="宋体" w:cs="宋体"/>
          <w:sz w:val="24"/>
          <w:szCs w:val="24"/>
          <w:highlight w:val="none"/>
        </w:rPr>
        <w:t>(8) 专用数据库：中文版SIC数据库，环境标准参考数据库，环境样品专用谱库（内含超过1000种物质）。</w:t>
      </w:r>
    </w:p>
    <w:p w14:paraId="2F97D60A">
      <w:pPr>
        <w:adjustRightInd w:val="0"/>
        <w:snapToGrid w:val="0"/>
        <w:ind w:firstLine="0" w:firstLineChars="0"/>
        <w:rPr>
          <w:rFonts w:hint="eastAsia" w:ascii="宋体" w:hAnsi="宋体" w:eastAsia="宋体" w:cs="宋体"/>
          <w:sz w:val="24"/>
          <w:szCs w:val="24"/>
          <w:highlight w:val="none"/>
          <w:lang w:val="zh-CN"/>
        </w:rPr>
      </w:pPr>
      <w:r>
        <w:rPr>
          <w:rFonts w:hint="eastAsia" w:ascii="宋体" w:hAnsi="宋体" w:cs="宋体"/>
          <w:sz w:val="24"/>
          <w:szCs w:val="24"/>
          <w:highlight w:val="none"/>
        </w:rPr>
        <w:t>(9)</w:t>
      </w:r>
      <w:bookmarkStart w:id="215" w:name="_Hlk112338471"/>
      <w:r>
        <w:rPr>
          <w:rFonts w:hint="eastAsia" w:ascii="宋体" w:hAnsi="宋体" w:cs="宋体"/>
          <w:sz w:val="24"/>
          <w:szCs w:val="24"/>
          <w:highlight w:val="none"/>
        </w:rPr>
        <w:t xml:space="preserve"> </w:t>
      </w:r>
      <w:r>
        <w:rPr>
          <w:rFonts w:hint="eastAsia" w:ascii="宋体" w:hAnsi="宋体" w:cs="宋体"/>
          <w:sz w:val="24"/>
          <w:szCs w:val="24"/>
          <w:highlight w:val="none"/>
          <w:lang w:val="zh-CN"/>
        </w:rPr>
        <w:t>可将检测结果链接到设备内置的环境标准（超过90种），在主机面板上标识出超标的物质。</w:t>
      </w:r>
      <w:bookmarkEnd w:id="215"/>
    </w:p>
    <w:p w14:paraId="28345EB5">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3.8 售后服务要求</w:t>
      </w:r>
    </w:p>
    <w:p w14:paraId="467C48E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(1) 响应时间：在接到用户电话或书面通知后4小时内给予答复，紧急问题应在48小时内抵达现场。</w:t>
      </w:r>
    </w:p>
    <w:p w14:paraId="21B5D646">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(2) 质量保证期：以双方对所供货物验收合格之日开始计算12个月。</w:t>
      </w:r>
    </w:p>
    <w:p w14:paraId="79A51621">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(3) 技术服务的范围及内容：卖方(仪器制造商授权的技术人员)须到买方提供的现场免费进行安装调试，进行操作试验，直至运行正常，确保仪器技术指标验收合格。</w:t>
      </w:r>
    </w:p>
    <w:p w14:paraId="1D572C37">
      <w:pPr>
        <w:adjustRightInd w:val="0"/>
        <w:snapToGrid w:val="0"/>
        <w:ind w:firstLine="0" w:firstLineChars="0"/>
        <w:rPr>
          <w:rFonts w:hint="eastAsia" w:ascii="宋体" w:hAnsi="宋体" w:cs="宋体"/>
          <w:sz w:val="24"/>
          <w:szCs w:val="24"/>
          <w:highlight w:val="none"/>
        </w:rPr>
      </w:pPr>
      <w:r>
        <w:rPr>
          <w:rFonts w:hint="eastAsia" w:ascii="宋体" w:hAnsi="宋体" w:cs="宋体"/>
          <w:sz w:val="24"/>
          <w:szCs w:val="24"/>
          <w:highlight w:val="none"/>
        </w:rPr>
        <w:t>(4) 对用户实验室仪器操作人员提供免费的操作及现场维护培训。质保期内提供3人次，五个工作日的技术培训班。</w:t>
      </w:r>
    </w:p>
    <w:p w14:paraId="2C996A58">
      <w:pPr>
        <w:adjustRightInd w:val="0"/>
        <w:snapToGrid w:val="0"/>
        <w:ind w:firstLine="0" w:firstLineChars="0"/>
        <w:rPr>
          <w:rFonts w:hint="eastAsia" w:ascii="宋体" w:hAnsi="宋体" w:cs="宋体"/>
          <w:b/>
          <w:bCs/>
          <w:sz w:val="24"/>
          <w:szCs w:val="24"/>
          <w:highlight w:val="none"/>
        </w:rPr>
      </w:pPr>
      <w:r>
        <w:rPr>
          <w:rFonts w:hint="eastAsia" w:ascii="宋体" w:hAnsi="宋体" w:cs="宋体"/>
          <w:sz w:val="24"/>
          <w:szCs w:val="24"/>
          <w:highlight w:val="none"/>
        </w:rPr>
        <w:t>(5) 需承诺操作软件和数据谱库终身免费升级更新</w:t>
      </w:r>
    </w:p>
    <w:p w14:paraId="736FF14D">
      <w:pPr>
        <w:adjustRightInd w:val="0"/>
        <w:snapToGrid w:val="0"/>
        <w:ind w:firstLine="0" w:firstLineChars="0"/>
        <w:rPr>
          <w:rFonts w:hint="eastAsia" w:ascii="宋体" w:hAnsi="宋体" w:cs="宋体"/>
          <w:b/>
          <w:bCs/>
          <w:sz w:val="24"/>
          <w:szCs w:val="24"/>
          <w:highlight w:val="none"/>
        </w:rPr>
      </w:pPr>
      <w:r>
        <w:rPr>
          <w:rFonts w:hint="eastAsia" w:ascii="宋体" w:hAnsi="宋体" w:cs="宋体"/>
          <w:b/>
          <w:bCs/>
          <w:sz w:val="24"/>
          <w:szCs w:val="24"/>
          <w:highlight w:val="none"/>
        </w:rPr>
        <w:t>4. 重点验收技术参数指标</w:t>
      </w:r>
    </w:p>
    <w:p w14:paraId="11B1BD1A">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电池：应急现场内置电池电量耗尽后可无需拆机快速更换，实现热切换，重量≤2.5kg。</w:t>
      </w:r>
    </w:p>
    <w:p w14:paraId="35A60D6E">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分析速度：GC-MS分析≤4 min，且甲苯与2-己酮分离度＞1（以分离TO-15混合标气为准，提供总离子流分析色谱图并标注各物质定性结果）</w:t>
      </w:r>
    </w:p>
    <w:p w14:paraId="093A0FDF">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载气：氦气或氮气；便携式载气瓶容积≤100ml，与主机连接的同时具备减压阀，可调节载气压力大小。</w:t>
      </w:r>
    </w:p>
    <w:p w14:paraId="26ABB35F">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内标气至少包括1,3,5-三（三氟甲基）苯及4-溴氟苯，具有内标调谐功能。内标钢瓶可反复灌充，容积不大于90mL，灌充标气可耐受1500 psi或更高压力，以适应应急现场大量样品的分析需求。</w:t>
      </w:r>
    </w:p>
    <w:p w14:paraId="51F253B0">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用2ppb TO-15（进样量500 ml，分流比50：1）标准气体检测，能够准确定性70%以上物质，同时70%以上物质的保留时间重复性（六组数据）RSD≤1%</w:t>
      </w:r>
    </w:p>
    <w:p w14:paraId="5E9E36C7">
      <w:pPr>
        <w:pStyle w:val="8"/>
        <w:spacing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顶空系统具有适应于应急现场携带的便携性，重量≤8kg，尺寸≤300x350x200（mm）。</w:t>
      </w:r>
    </w:p>
    <w:p w14:paraId="72E521EE">
      <w:pPr>
        <w:pStyle w:val="8"/>
        <w:spacing w:after="0" w:line="4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顶空系统能够对样品瓶进行加热，加热温度≥80℃；加热位：≥4位；此外，顶空插针及支撑杆应具有限位，限制操作人员任意旋转，避免插针直接碰撞样品池导致损坏。</w:t>
      </w:r>
    </w:p>
    <w:p w14:paraId="45570FFB">
      <w:pPr>
        <w:pStyle w:val="8"/>
        <w:spacing w:after="0" w:line="4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使用石英砂作为基质，添加滴滴伊（p,p’-DDE），制作0.2 mg/kg的标准土壤。使用固相微萃取综合前处理仪进行样品前处理，然后进行便携式GC-MS检测，滴滴伊特征离子峰的信噪比高于10:1。</w:t>
      </w:r>
    </w:p>
    <w:p w14:paraId="70F60CEF">
      <w:pPr>
        <w:pStyle w:val="8"/>
        <w:spacing w:after="0" w:line="4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软件具有实时定性功能，在分析未结束时即可对已出峰的物质进行定性，提高现场检测效率。</w:t>
      </w:r>
    </w:p>
    <w:p w14:paraId="07A31E69">
      <w:pPr>
        <w:pStyle w:val="8"/>
        <w:autoSpaceDE/>
        <w:autoSpaceDN/>
        <w:spacing w:after="0" w:line="4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设备</w:t>
      </w:r>
      <w:r>
        <w:rPr>
          <w:rFonts w:hint="eastAsia" w:ascii="宋体" w:hAnsi="宋体" w:eastAsia="宋体" w:cs="宋体"/>
          <w:color w:val="auto"/>
          <w:sz w:val="24"/>
          <w:szCs w:val="24"/>
          <w:highlight w:val="none"/>
          <w:lang w:val="zh-CN"/>
        </w:rPr>
        <w:t>内置北斗定位系统以及GPS定位系统，无需外接模块或天线即可通过主机触屏任选一种模式定位，也可以双模式同时定位。</w:t>
      </w:r>
    </w:p>
    <w:p w14:paraId="3A1B29D9">
      <w:pPr>
        <w:numPr>
          <w:ilvl w:val="0"/>
          <w:numId w:val="0"/>
        </w:numPr>
        <w:adjustRightInd/>
        <w:spacing w:line="480" w:lineRule="exact"/>
        <w:ind w:firstLine="482" w:firstLineChars="200"/>
        <w:rPr>
          <w:rFonts w:hint="eastAsia" w:ascii="宋体" w:hAnsi="宋体" w:eastAsia="宋体" w:cs="宋体"/>
          <w:b w:val="0"/>
          <w:bCs w:val="0"/>
          <w:i/>
          <w:iCs/>
          <w:strike w:val="0"/>
          <w:dstrike w:val="0"/>
          <w:color w:val="FF0000"/>
          <w:sz w:val="24"/>
          <w:szCs w:val="24"/>
          <w:highlight w:val="none"/>
          <w:u w:val="single"/>
          <w:lang w:val="en-US" w:eastAsia="zh-CN"/>
        </w:rPr>
      </w:pPr>
      <w:r>
        <w:rPr>
          <w:rFonts w:hint="eastAsia" w:ascii="宋体" w:hAnsi="宋体" w:eastAsia="宋体" w:cs="宋体"/>
          <w:b/>
          <w:bCs/>
          <w:i/>
          <w:iCs/>
          <w:strike w:val="0"/>
          <w:dstrike w:val="0"/>
          <w:color w:val="FF0000"/>
          <w:sz w:val="24"/>
          <w:szCs w:val="24"/>
          <w:highlight w:val="none"/>
          <w:u w:val="single"/>
          <w:lang w:val="en-US" w:eastAsia="zh-CN"/>
        </w:rPr>
        <w:t>★为满足协助园区进行污染溯源及环境应急服务需求，投标人须承诺中标后30天内采购或租赁VOCs走航车（具备环境空气、污染源监测及污染物实时走航边走边测等功能模式。环境空气监测、污染源监测要求系统具备现场准确定性和定量能力）及环境应急监测车（搭载ICP-MS一套）各一辆，在运维期间，根据业主需求，可随时提供走航服务及应急服务。中标单位应在30天内将相关车辆驾驶至运维所在地由招标人检查（投标时需提供承诺函）</w:t>
      </w:r>
      <w:r>
        <w:rPr>
          <w:rFonts w:hint="eastAsia" w:ascii="宋体" w:hAnsi="宋体" w:eastAsia="宋体" w:cs="宋体"/>
          <w:b/>
          <w:bCs/>
          <w:i/>
          <w:iCs/>
          <w:strike w:val="0"/>
          <w:dstrike w:val="0"/>
          <w:color w:val="auto"/>
          <w:sz w:val="24"/>
          <w:szCs w:val="24"/>
          <w:highlight w:val="none"/>
          <w:u w:val="single"/>
          <w:lang w:val="en-US" w:eastAsia="zh-CN"/>
        </w:rPr>
        <w:t>。</w:t>
      </w:r>
    </w:p>
    <w:p w14:paraId="195FD31A">
      <w:pPr>
        <w:pStyle w:val="8"/>
        <w:spacing w:line="480" w:lineRule="exact"/>
        <w:ind w:firstLine="481"/>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一、VOCs走航车技术要求：</w:t>
      </w:r>
    </w:p>
    <w:p w14:paraId="419D263A">
      <w:pPr>
        <w:pStyle w:val="8"/>
        <w:ind w:firstLine="481"/>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1、配置清单：</w:t>
      </w:r>
    </w:p>
    <w:tbl>
      <w:tblPr>
        <w:tblStyle w:val="14"/>
        <w:tblpPr w:leftFromText="180" w:rightFromText="180" w:vertAnchor="text" w:horzAnchor="page" w:tblpX="1629" w:tblpY="543"/>
        <w:tblOverlap w:val="never"/>
        <w:tblW w:w="8851" w:type="dxa"/>
        <w:tblInd w:w="0" w:type="dxa"/>
        <w:tblLayout w:type="fixed"/>
        <w:tblCellMar>
          <w:top w:w="0" w:type="dxa"/>
          <w:left w:w="108" w:type="dxa"/>
          <w:bottom w:w="0" w:type="dxa"/>
          <w:right w:w="108" w:type="dxa"/>
        </w:tblCellMar>
      </w:tblPr>
      <w:tblGrid>
        <w:gridCol w:w="898"/>
        <w:gridCol w:w="5922"/>
        <w:gridCol w:w="897"/>
        <w:gridCol w:w="1134"/>
      </w:tblGrid>
      <w:tr w14:paraId="4A6B8A96">
        <w:tblPrEx>
          <w:tblCellMar>
            <w:top w:w="0" w:type="dxa"/>
            <w:left w:w="108" w:type="dxa"/>
            <w:bottom w:w="0" w:type="dxa"/>
            <w:right w:w="108" w:type="dxa"/>
          </w:tblCellMar>
        </w:tblPrEx>
        <w:trPr>
          <w:trHeight w:val="340" w:hRule="atLeast"/>
        </w:trPr>
        <w:tc>
          <w:tcPr>
            <w:tcW w:w="898" w:type="dxa"/>
            <w:tcBorders>
              <w:top w:val="single" w:color="auto" w:sz="8" w:space="0"/>
              <w:left w:val="single" w:color="auto" w:sz="8" w:space="0"/>
              <w:bottom w:val="single" w:color="auto" w:sz="8" w:space="0"/>
              <w:right w:val="single" w:color="auto" w:sz="8" w:space="0"/>
            </w:tcBorders>
            <w:shd w:val="clear" w:color="auto" w:fill="auto"/>
            <w:vAlign w:val="center"/>
          </w:tcPr>
          <w:p w14:paraId="5A6D4516">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序号</w:t>
            </w:r>
          </w:p>
        </w:tc>
        <w:tc>
          <w:tcPr>
            <w:tcW w:w="5922" w:type="dxa"/>
            <w:tcBorders>
              <w:top w:val="single" w:color="auto" w:sz="8" w:space="0"/>
              <w:left w:val="nil"/>
              <w:bottom w:val="single" w:color="auto" w:sz="8" w:space="0"/>
              <w:right w:val="single" w:color="auto" w:sz="8" w:space="0"/>
            </w:tcBorders>
            <w:shd w:val="clear" w:color="auto" w:fill="auto"/>
            <w:vAlign w:val="center"/>
          </w:tcPr>
          <w:p w14:paraId="63DB944F">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名称描述</w:t>
            </w:r>
          </w:p>
        </w:tc>
        <w:tc>
          <w:tcPr>
            <w:tcW w:w="897" w:type="dxa"/>
            <w:tcBorders>
              <w:top w:val="single" w:color="auto" w:sz="8" w:space="0"/>
              <w:left w:val="nil"/>
              <w:bottom w:val="single" w:color="auto" w:sz="8" w:space="0"/>
              <w:right w:val="single" w:color="auto" w:sz="8" w:space="0"/>
            </w:tcBorders>
            <w:shd w:val="clear" w:color="auto" w:fill="auto"/>
            <w:vAlign w:val="center"/>
          </w:tcPr>
          <w:p w14:paraId="13E895ED">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数量</w:t>
            </w:r>
          </w:p>
        </w:tc>
        <w:tc>
          <w:tcPr>
            <w:tcW w:w="1134" w:type="dxa"/>
            <w:tcBorders>
              <w:top w:val="single" w:color="auto" w:sz="8" w:space="0"/>
              <w:left w:val="nil"/>
              <w:bottom w:val="single" w:color="auto" w:sz="8" w:space="0"/>
              <w:right w:val="single" w:color="auto" w:sz="8" w:space="0"/>
            </w:tcBorders>
            <w:shd w:val="clear" w:color="auto" w:fill="auto"/>
            <w:vAlign w:val="center"/>
          </w:tcPr>
          <w:p w14:paraId="62930812">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单位</w:t>
            </w:r>
          </w:p>
        </w:tc>
      </w:tr>
      <w:tr w14:paraId="18C011F7">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0D476A9D">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5922" w:type="dxa"/>
            <w:tcBorders>
              <w:top w:val="nil"/>
              <w:left w:val="nil"/>
              <w:bottom w:val="single" w:color="auto" w:sz="8" w:space="0"/>
              <w:right w:val="single" w:color="auto" w:sz="8" w:space="0"/>
            </w:tcBorders>
            <w:shd w:val="clear" w:color="auto" w:fill="auto"/>
            <w:vAlign w:val="center"/>
          </w:tcPr>
          <w:p w14:paraId="56A94F14">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VOCs走航监测系统</w:t>
            </w:r>
          </w:p>
        </w:tc>
        <w:tc>
          <w:tcPr>
            <w:tcW w:w="897" w:type="dxa"/>
            <w:tcBorders>
              <w:top w:val="nil"/>
              <w:left w:val="nil"/>
              <w:bottom w:val="single" w:color="auto" w:sz="8" w:space="0"/>
              <w:right w:val="single" w:color="auto" w:sz="8" w:space="0"/>
            </w:tcBorders>
            <w:shd w:val="clear" w:color="auto" w:fill="auto"/>
            <w:vAlign w:val="center"/>
          </w:tcPr>
          <w:p w14:paraId="109C56A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nil"/>
              <w:left w:val="nil"/>
              <w:bottom w:val="single" w:color="auto" w:sz="8" w:space="0"/>
              <w:right w:val="single" w:color="auto" w:sz="8" w:space="0"/>
            </w:tcBorders>
            <w:shd w:val="clear" w:color="auto" w:fill="auto"/>
            <w:vAlign w:val="center"/>
          </w:tcPr>
          <w:p w14:paraId="774A646A">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r w14:paraId="683E333E">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393A419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1.1</w:t>
            </w:r>
          </w:p>
        </w:tc>
        <w:tc>
          <w:tcPr>
            <w:tcW w:w="5922" w:type="dxa"/>
            <w:tcBorders>
              <w:top w:val="nil"/>
              <w:left w:val="nil"/>
              <w:bottom w:val="single" w:color="auto" w:sz="8" w:space="0"/>
              <w:right w:val="single" w:color="auto" w:sz="8" w:space="0"/>
            </w:tcBorders>
            <w:shd w:val="clear" w:color="000000" w:fill="FFFFFF"/>
            <w:vAlign w:val="center"/>
          </w:tcPr>
          <w:p w14:paraId="4344D429">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走航质谱分析仪主机</w:t>
            </w:r>
          </w:p>
        </w:tc>
        <w:tc>
          <w:tcPr>
            <w:tcW w:w="897" w:type="dxa"/>
            <w:tcBorders>
              <w:top w:val="nil"/>
              <w:left w:val="nil"/>
              <w:bottom w:val="single" w:color="auto" w:sz="8" w:space="0"/>
              <w:right w:val="single" w:color="auto" w:sz="8" w:space="0"/>
            </w:tcBorders>
            <w:shd w:val="clear" w:color="000000" w:fill="FFFFFF"/>
            <w:vAlign w:val="center"/>
          </w:tcPr>
          <w:p w14:paraId="74C85282">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nil"/>
              <w:left w:val="nil"/>
              <w:bottom w:val="single" w:color="auto" w:sz="8" w:space="0"/>
              <w:right w:val="single" w:color="auto" w:sz="8" w:space="0"/>
            </w:tcBorders>
            <w:shd w:val="clear" w:color="000000" w:fill="FFFFFF"/>
            <w:vAlign w:val="center"/>
          </w:tcPr>
          <w:p w14:paraId="0B3B28A6">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r w14:paraId="688BEE3F">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041A5CE7">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14:textFill>
                  <w14:solidFill>
                    <w14:schemeClr w14:val="tx1"/>
                  </w14:solidFill>
                </w14:textFill>
              </w:rPr>
              <w:t>1</w:t>
            </w:r>
            <w:r>
              <w:rPr>
                <w:rFonts w:ascii="Times New Roman" w:hAnsi="Times New Roman" w:eastAsia="宋体" w:cs="Times New Roman"/>
                <w:b w:val="0"/>
                <w:bCs w:val="0"/>
                <w:color w:val="000000" w:themeColor="text1"/>
                <w:kern w:val="0"/>
                <w:szCs w:val="24"/>
                <w:highlight w:val="none"/>
                <w14:textFill>
                  <w14:solidFill>
                    <w14:schemeClr w14:val="tx1"/>
                  </w14:solidFill>
                </w14:textFill>
              </w:rPr>
              <w:t>.2</w:t>
            </w:r>
          </w:p>
        </w:tc>
        <w:tc>
          <w:tcPr>
            <w:tcW w:w="5922" w:type="dxa"/>
            <w:tcBorders>
              <w:top w:val="nil"/>
              <w:left w:val="nil"/>
              <w:bottom w:val="single" w:color="auto" w:sz="8" w:space="0"/>
              <w:right w:val="single" w:color="auto" w:sz="8" w:space="0"/>
            </w:tcBorders>
            <w:shd w:val="clear" w:color="000000" w:fill="FFFFFF"/>
            <w:vAlign w:val="center"/>
          </w:tcPr>
          <w:p w14:paraId="4669F998">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数据分析工作站</w:t>
            </w:r>
          </w:p>
        </w:tc>
        <w:tc>
          <w:tcPr>
            <w:tcW w:w="897" w:type="dxa"/>
            <w:tcBorders>
              <w:top w:val="nil"/>
              <w:left w:val="nil"/>
              <w:bottom w:val="single" w:color="auto" w:sz="8" w:space="0"/>
              <w:right w:val="single" w:color="auto" w:sz="8" w:space="0"/>
            </w:tcBorders>
            <w:shd w:val="clear" w:color="000000" w:fill="FFFFFF"/>
            <w:vAlign w:val="center"/>
          </w:tcPr>
          <w:p w14:paraId="67C06DE8">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nil"/>
              <w:left w:val="nil"/>
              <w:bottom w:val="single" w:color="auto" w:sz="8" w:space="0"/>
              <w:right w:val="single" w:color="auto" w:sz="8" w:space="0"/>
            </w:tcBorders>
            <w:shd w:val="clear" w:color="000000" w:fill="FFFFFF"/>
            <w:vAlign w:val="center"/>
          </w:tcPr>
          <w:p w14:paraId="0A0D2C18">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r w14:paraId="1E8869A4">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0CE90916">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14:textFill>
                  <w14:solidFill>
                    <w14:schemeClr w14:val="tx1"/>
                  </w14:solidFill>
                </w14:textFill>
              </w:rPr>
              <w:t>1</w:t>
            </w:r>
            <w:r>
              <w:rPr>
                <w:rFonts w:ascii="Times New Roman" w:hAnsi="Times New Roman" w:eastAsia="宋体" w:cs="Times New Roman"/>
                <w:b w:val="0"/>
                <w:bCs w:val="0"/>
                <w:color w:val="000000" w:themeColor="text1"/>
                <w:kern w:val="0"/>
                <w:szCs w:val="24"/>
                <w:highlight w:val="none"/>
                <w14:textFill>
                  <w14:solidFill>
                    <w14:schemeClr w14:val="tx1"/>
                  </w14:solidFill>
                </w14:textFill>
              </w:rPr>
              <w:t>.3</w:t>
            </w:r>
          </w:p>
        </w:tc>
        <w:tc>
          <w:tcPr>
            <w:tcW w:w="5922" w:type="dxa"/>
            <w:tcBorders>
              <w:top w:val="nil"/>
              <w:left w:val="nil"/>
              <w:bottom w:val="single" w:color="auto" w:sz="8" w:space="0"/>
              <w:right w:val="single" w:color="auto" w:sz="8" w:space="0"/>
            </w:tcBorders>
            <w:shd w:val="clear" w:color="000000" w:fill="FFFFFF"/>
            <w:vAlign w:val="center"/>
          </w:tcPr>
          <w:p w14:paraId="217046DA">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lang w:val="zh-CN"/>
                <w14:textFill>
                  <w14:solidFill>
                    <w14:schemeClr w14:val="tx1"/>
                  </w14:solidFill>
                </w14:textFill>
              </w:rPr>
              <w:t>车载式大气采样系统</w:t>
            </w:r>
          </w:p>
        </w:tc>
        <w:tc>
          <w:tcPr>
            <w:tcW w:w="897" w:type="dxa"/>
            <w:tcBorders>
              <w:top w:val="nil"/>
              <w:left w:val="nil"/>
              <w:bottom w:val="single" w:color="auto" w:sz="8" w:space="0"/>
              <w:right w:val="single" w:color="auto" w:sz="8" w:space="0"/>
            </w:tcBorders>
            <w:shd w:val="clear" w:color="000000" w:fill="FFFFFF"/>
            <w:vAlign w:val="center"/>
          </w:tcPr>
          <w:p w14:paraId="27005FBB">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nil"/>
              <w:left w:val="nil"/>
              <w:bottom w:val="single" w:color="auto" w:sz="8" w:space="0"/>
              <w:right w:val="single" w:color="auto" w:sz="8" w:space="0"/>
            </w:tcBorders>
            <w:shd w:val="clear" w:color="000000" w:fill="FFFFFF"/>
            <w:vAlign w:val="center"/>
          </w:tcPr>
          <w:p w14:paraId="797C0092">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r w14:paraId="0E3D31B6">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48017975">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14:textFill>
                  <w14:solidFill>
                    <w14:schemeClr w14:val="tx1"/>
                  </w14:solidFill>
                </w14:textFill>
              </w:rPr>
              <w:t>1</w:t>
            </w:r>
            <w:r>
              <w:rPr>
                <w:rFonts w:ascii="Times New Roman" w:hAnsi="Times New Roman" w:eastAsia="宋体" w:cs="Times New Roman"/>
                <w:b w:val="0"/>
                <w:bCs w:val="0"/>
                <w:color w:val="000000" w:themeColor="text1"/>
                <w:kern w:val="0"/>
                <w:szCs w:val="24"/>
                <w:highlight w:val="none"/>
                <w14:textFill>
                  <w14:solidFill>
                    <w14:schemeClr w14:val="tx1"/>
                  </w14:solidFill>
                </w14:textFill>
              </w:rPr>
              <w:t>.4</w:t>
            </w:r>
          </w:p>
        </w:tc>
        <w:tc>
          <w:tcPr>
            <w:tcW w:w="5922" w:type="dxa"/>
            <w:tcBorders>
              <w:top w:val="nil"/>
              <w:left w:val="nil"/>
              <w:bottom w:val="single" w:color="auto" w:sz="8" w:space="0"/>
              <w:right w:val="single" w:color="auto" w:sz="8" w:space="0"/>
            </w:tcBorders>
            <w:shd w:val="clear" w:color="000000" w:fill="FFFFFF"/>
            <w:vAlign w:val="center"/>
          </w:tcPr>
          <w:p w14:paraId="6BC3AE94">
            <w:pPr>
              <w:widowControl/>
              <w:spacing w:line="240" w:lineRule="auto"/>
              <w:jc w:val="left"/>
              <w:rPr>
                <w:rFonts w:ascii="Times New Roman" w:hAnsi="Times New Roman" w:eastAsia="宋体" w:cs="Times New Roman"/>
                <w:b w:val="0"/>
                <w:bCs w:val="0"/>
                <w:color w:val="000000" w:themeColor="text1"/>
                <w:kern w:val="0"/>
                <w:szCs w:val="24"/>
                <w:highlight w:val="none"/>
                <w:lang w:val="zh-CN"/>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lang w:val="zh-CN"/>
                <w14:textFill>
                  <w14:solidFill>
                    <w14:schemeClr w14:val="tx1"/>
                  </w14:solidFill>
                </w14:textFill>
              </w:rPr>
              <w:t>车载式五参数气象站</w:t>
            </w:r>
          </w:p>
        </w:tc>
        <w:tc>
          <w:tcPr>
            <w:tcW w:w="897" w:type="dxa"/>
            <w:tcBorders>
              <w:top w:val="nil"/>
              <w:left w:val="nil"/>
              <w:bottom w:val="single" w:color="auto" w:sz="8" w:space="0"/>
              <w:right w:val="single" w:color="auto" w:sz="8" w:space="0"/>
            </w:tcBorders>
            <w:shd w:val="clear" w:color="000000" w:fill="FFFFFF"/>
            <w:vAlign w:val="center"/>
          </w:tcPr>
          <w:p w14:paraId="2A4E6689">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nil"/>
              <w:left w:val="nil"/>
              <w:bottom w:val="single" w:color="auto" w:sz="8" w:space="0"/>
              <w:right w:val="single" w:color="auto" w:sz="8" w:space="0"/>
            </w:tcBorders>
            <w:shd w:val="clear" w:color="000000" w:fill="FFFFFF"/>
            <w:vAlign w:val="center"/>
          </w:tcPr>
          <w:p w14:paraId="383A0C4B">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r w14:paraId="72EA342C">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0A040F2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2</w:t>
            </w:r>
          </w:p>
        </w:tc>
        <w:tc>
          <w:tcPr>
            <w:tcW w:w="5922" w:type="dxa"/>
            <w:tcBorders>
              <w:top w:val="nil"/>
              <w:left w:val="nil"/>
              <w:bottom w:val="single" w:color="auto" w:sz="8" w:space="0"/>
              <w:right w:val="single" w:color="auto" w:sz="8" w:space="0"/>
            </w:tcBorders>
            <w:shd w:val="clear" w:color="000000" w:fill="FFFFFF"/>
            <w:vAlign w:val="center"/>
          </w:tcPr>
          <w:p w14:paraId="725AA124">
            <w:pPr>
              <w:widowControl/>
              <w:spacing w:line="240" w:lineRule="auto"/>
              <w:jc w:val="left"/>
              <w:rPr>
                <w:rFonts w:ascii="Times New Roman" w:hAnsi="Times New Roman" w:eastAsia="宋体" w:cs="Times New Roman"/>
                <w:b w:val="0"/>
                <w:bCs w:val="0"/>
                <w:color w:val="000000" w:themeColor="text1"/>
                <w:kern w:val="0"/>
                <w:szCs w:val="24"/>
                <w:highlight w:val="none"/>
                <w:lang w:val="zh-CN"/>
                <w14:textFill>
                  <w14:solidFill>
                    <w14:schemeClr w14:val="tx1"/>
                  </w14:solidFill>
                </w14:textFill>
              </w:rPr>
            </w:pPr>
            <w:r>
              <w:rPr>
                <w:rFonts w:ascii="Times New Roman" w:hAnsi="Times New Roman" w:cs="Times New Roman"/>
                <w:b w:val="0"/>
                <w:bCs w:val="0"/>
                <w:color w:val="000000"/>
                <w:kern w:val="0"/>
                <w:highlight w:val="none"/>
              </w:rPr>
              <w:t>VOCs分析专用动态校准仪</w:t>
            </w:r>
          </w:p>
        </w:tc>
        <w:tc>
          <w:tcPr>
            <w:tcW w:w="897" w:type="dxa"/>
            <w:tcBorders>
              <w:top w:val="nil"/>
              <w:left w:val="nil"/>
              <w:bottom w:val="single" w:color="auto" w:sz="8" w:space="0"/>
              <w:right w:val="single" w:color="auto" w:sz="8" w:space="0"/>
            </w:tcBorders>
            <w:shd w:val="clear" w:color="000000" w:fill="FFFFFF"/>
            <w:vAlign w:val="center"/>
          </w:tcPr>
          <w:p w14:paraId="142B30C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33F993A5">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7A5E82B0">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20B3A485">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3</w:t>
            </w:r>
          </w:p>
        </w:tc>
        <w:tc>
          <w:tcPr>
            <w:tcW w:w="5922" w:type="dxa"/>
            <w:tcBorders>
              <w:top w:val="nil"/>
              <w:left w:val="nil"/>
              <w:bottom w:val="single" w:color="auto" w:sz="8" w:space="0"/>
              <w:right w:val="single" w:color="auto" w:sz="8" w:space="0"/>
            </w:tcBorders>
            <w:shd w:val="clear" w:color="000000" w:fill="FFFFFF"/>
            <w:vAlign w:val="center"/>
          </w:tcPr>
          <w:p w14:paraId="06AEC706">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cs="Times New Roman"/>
                <w:b w:val="0"/>
                <w:bCs w:val="0"/>
                <w:color w:val="000000"/>
                <w:kern w:val="0"/>
                <w:highlight w:val="none"/>
              </w:rPr>
              <w:t>NH</w:t>
            </w:r>
            <w:r>
              <w:rPr>
                <w:rFonts w:hint="eastAsia" w:ascii="Times New Roman" w:hAnsi="Times New Roman" w:cs="Times New Roman"/>
                <w:b w:val="0"/>
                <w:bCs w:val="0"/>
                <w:color w:val="000000"/>
                <w:kern w:val="0"/>
                <w:highlight w:val="none"/>
                <w:vertAlign w:val="subscript"/>
              </w:rPr>
              <w:t>3</w:t>
            </w:r>
            <w:r>
              <w:rPr>
                <w:rFonts w:hint="eastAsia" w:ascii="Times New Roman" w:hAnsi="Times New Roman" w:cs="Times New Roman"/>
                <w:b w:val="0"/>
                <w:bCs w:val="0"/>
                <w:color w:val="000000"/>
                <w:kern w:val="0"/>
                <w:highlight w:val="none"/>
              </w:rPr>
              <w:t>/NOx</w:t>
            </w:r>
            <w:r>
              <w:rPr>
                <w:rFonts w:ascii="Times New Roman" w:hAnsi="Times New Roman" w:cs="Times New Roman"/>
                <w:b w:val="0"/>
                <w:bCs w:val="0"/>
                <w:color w:val="000000"/>
                <w:kern w:val="0"/>
                <w:highlight w:val="none"/>
              </w:rPr>
              <w:t>分析仪</w:t>
            </w:r>
          </w:p>
        </w:tc>
        <w:tc>
          <w:tcPr>
            <w:tcW w:w="897" w:type="dxa"/>
            <w:tcBorders>
              <w:top w:val="nil"/>
              <w:left w:val="nil"/>
              <w:bottom w:val="single" w:color="auto" w:sz="8" w:space="0"/>
              <w:right w:val="single" w:color="auto" w:sz="8" w:space="0"/>
            </w:tcBorders>
            <w:shd w:val="clear" w:color="000000" w:fill="FFFFFF"/>
            <w:vAlign w:val="center"/>
          </w:tcPr>
          <w:p w14:paraId="70E51BA4">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332B4B87">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3D208BA1">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63DF8779">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4</w:t>
            </w:r>
          </w:p>
        </w:tc>
        <w:tc>
          <w:tcPr>
            <w:tcW w:w="5922" w:type="dxa"/>
            <w:tcBorders>
              <w:top w:val="nil"/>
              <w:left w:val="nil"/>
              <w:bottom w:val="single" w:color="auto" w:sz="8" w:space="0"/>
              <w:right w:val="single" w:color="auto" w:sz="8" w:space="0"/>
            </w:tcBorders>
            <w:shd w:val="clear" w:color="000000" w:fill="FFFFFF"/>
            <w:vAlign w:val="center"/>
          </w:tcPr>
          <w:p w14:paraId="1CFB6083">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H</w:t>
            </w:r>
            <w:r>
              <w:rPr>
                <w:rFonts w:ascii="Times New Roman" w:hAnsi="Times New Roman" w:cs="Times New Roman"/>
                <w:b w:val="0"/>
                <w:bCs w:val="0"/>
                <w:color w:val="000000"/>
                <w:kern w:val="0"/>
                <w:highlight w:val="none"/>
                <w:vertAlign w:val="subscript"/>
              </w:rPr>
              <w:t>2</w:t>
            </w:r>
            <w:r>
              <w:rPr>
                <w:rFonts w:ascii="Times New Roman" w:hAnsi="Times New Roman" w:cs="Times New Roman"/>
                <w:b w:val="0"/>
                <w:bCs w:val="0"/>
                <w:color w:val="000000"/>
                <w:kern w:val="0"/>
                <w:highlight w:val="none"/>
              </w:rPr>
              <w:t>S/SO</w:t>
            </w:r>
            <w:r>
              <w:rPr>
                <w:rFonts w:ascii="Times New Roman" w:hAnsi="Times New Roman" w:cs="Times New Roman"/>
                <w:b w:val="0"/>
                <w:bCs w:val="0"/>
                <w:color w:val="000000"/>
                <w:kern w:val="0"/>
                <w:highlight w:val="none"/>
                <w:vertAlign w:val="subscript"/>
              </w:rPr>
              <w:t>2</w:t>
            </w:r>
            <w:r>
              <w:rPr>
                <w:rFonts w:ascii="Times New Roman" w:hAnsi="Times New Roman" w:cs="Times New Roman"/>
                <w:b w:val="0"/>
                <w:bCs w:val="0"/>
                <w:color w:val="000000"/>
                <w:kern w:val="0"/>
                <w:highlight w:val="none"/>
              </w:rPr>
              <w:t>分析仪</w:t>
            </w:r>
          </w:p>
        </w:tc>
        <w:tc>
          <w:tcPr>
            <w:tcW w:w="897" w:type="dxa"/>
            <w:tcBorders>
              <w:top w:val="nil"/>
              <w:left w:val="nil"/>
              <w:bottom w:val="single" w:color="auto" w:sz="8" w:space="0"/>
              <w:right w:val="single" w:color="auto" w:sz="8" w:space="0"/>
            </w:tcBorders>
            <w:shd w:val="clear" w:color="000000" w:fill="FFFFFF"/>
            <w:vAlign w:val="center"/>
          </w:tcPr>
          <w:p w14:paraId="0BF5562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01A55BA6">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4054ABB8">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501783DA">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5</w:t>
            </w:r>
          </w:p>
        </w:tc>
        <w:tc>
          <w:tcPr>
            <w:tcW w:w="5922" w:type="dxa"/>
            <w:tcBorders>
              <w:top w:val="nil"/>
              <w:left w:val="nil"/>
              <w:bottom w:val="single" w:color="auto" w:sz="8" w:space="0"/>
              <w:right w:val="single" w:color="auto" w:sz="8" w:space="0"/>
            </w:tcBorders>
            <w:shd w:val="clear" w:color="000000" w:fill="FFFFFF"/>
            <w:vAlign w:val="center"/>
          </w:tcPr>
          <w:p w14:paraId="6EFE0ACF">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CO分析仪</w:t>
            </w:r>
          </w:p>
        </w:tc>
        <w:tc>
          <w:tcPr>
            <w:tcW w:w="897" w:type="dxa"/>
            <w:tcBorders>
              <w:top w:val="nil"/>
              <w:left w:val="nil"/>
              <w:bottom w:val="single" w:color="auto" w:sz="8" w:space="0"/>
              <w:right w:val="single" w:color="auto" w:sz="8" w:space="0"/>
            </w:tcBorders>
            <w:shd w:val="clear" w:color="000000" w:fill="FFFFFF"/>
            <w:vAlign w:val="center"/>
          </w:tcPr>
          <w:p w14:paraId="213BB09D">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7FD434DC">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724B437A">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20EC0028">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6</w:t>
            </w:r>
          </w:p>
        </w:tc>
        <w:tc>
          <w:tcPr>
            <w:tcW w:w="5922" w:type="dxa"/>
            <w:tcBorders>
              <w:top w:val="nil"/>
              <w:left w:val="nil"/>
              <w:bottom w:val="single" w:color="auto" w:sz="8" w:space="0"/>
              <w:right w:val="single" w:color="auto" w:sz="8" w:space="0"/>
            </w:tcBorders>
            <w:shd w:val="clear" w:color="000000" w:fill="FFFFFF"/>
            <w:vAlign w:val="center"/>
          </w:tcPr>
          <w:p w14:paraId="657120F2">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O</w:t>
            </w:r>
            <w:r>
              <w:rPr>
                <w:rFonts w:ascii="Times New Roman" w:hAnsi="Times New Roman" w:cs="Times New Roman"/>
                <w:b w:val="0"/>
                <w:bCs w:val="0"/>
                <w:color w:val="000000"/>
                <w:kern w:val="0"/>
                <w:highlight w:val="none"/>
                <w:vertAlign w:val="subscript"/>
              </w:rPr>
              <w:t>3</w:t>
            </w:r>
            <w:r>
              <w:rPr>
                <w:rFonts w:ascii="Times New Roman" w:hAnsi="Times New Roman" w:cs="Times New Roman"/>
                <w:b w:val="0"/>
                <w:bCs w:val="0"/>
                <w:color w:val="000000"/>
                <w:kern w:val="0"/>
                <w:highlight w:val="none"/>
              </w:rPr>
              <w:t>分析仪</w:t>
            </w:r>
          </w:p>
        </w:tc>
        <w:tc>
          <w:tcPr>
            <w:tcW w:w="897" w:type="dxa"/>
            <w:tcBorders>
              <w:top w:val="nil"/>
              <w:left w:val="nil"/>
              <w:bottom w:val="single" w:color="auto" w:sz="8" w:space="0"/>
              <w:right w:val="single" w:color="auto" w:sz="8" w:space="0"/>
            </w:tcBorders>
            <w:shd w:val="clear" w:color="000000" w:fill="FFFFFF"/>
            <w:vAlign w:val="center"/>
          </w:tcPr>
          <w:p w14:paraId="7E3C75BF">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72D051A2">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4ED19F85">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22A0EE2E">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7</w:t>
            </w:r>
          </w:p>
        </w:tc>
        <w:tc>
          <w:tcPr>
            <w:tcW w:w="5922" w:type="dxa"/>
            <w:tcBorders>
              <w:top w:val="nil"/>
              <w:left w:val="nil"/>
              <w:bottom w:val="single" w:color="auto" w:sz="8" w:space="0"/>
              <w:right w:val="single" w:color="auto" w:sz="8" w:space="0"/>
            </w:tcBorders>
            <w:shd w:val="clear" w:color="000000" w:fill="FFFFFF"/>
            <w:vAlign w:val="center"/>
          </w:tcPr>
          <w:p w14:paraId="615DC21F">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颗粒物分析仪</w:t>
            </w:r>
          </w:p>
        </w:tc>
        <w:tc>
          <w:tcPr>
            <w:tcW w:w="897" w:type="dxa"/>
            <w:tcBorders>
              <w:top w:val="nil"/>
              <w:left w:val="nil"/>
              <w:bottom w:val="single" w:color="auto" w:sz="8" w:space="0"/>
              <w:right w:val="single" w:color="auto" w:sz="8" w:space="0"/>
            </w:tcBorders>
            <w:shd w:val="clear" w:color="000000" w:fill="FFFFFF"/>
            <w:vAlign w:val="center"/>
          </w:tcPr>
          <w:p w14:paraId="0E39BE5B">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53DCEF6D">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cs="Times New Roman"/>
                <w:b w:val="0"/>
                <w:bCs w:val="0"/>
                <w:color w:val="000000"/>
                <w:kern w:val="0"/>
                <w:highlight w:val="none"/>
              </w:rPr>
              <w:t>套</w:t>
            </w:r>
          </w:p>
        </w:tc>
      </w:tr>
      <w:tr w14:paraId="1D511FF7">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5A6DBAE1">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8</w:t>
            </w:r>
          </w:p>
        </w:tc>
        <w:tc>
          <w:tcPr>
            <w:tcW w:w="5922" w:type="dxa"/>
            <w:tcBorders>
              <w:top w:val="nil"/>
              <w:left w:val="nil"/>
              <w:bottom w:val="single" w:color="auto" w:sz="8" w:space="0"/>
              <w:right w:val="single" w:color="auto" w:sz="8" w:space="0"/>
            </w:tcBorders>
            <w:shd w:val="clear" w:color="000000" w:fill="FFFFFF"/>
            <w:vAlign w:val="center"/>
          </w:tcPr>
          <w:p w14:paraId="2316DCAD">
            <w:pPr>
              <w:widowControl/>
              <w:spacing w:line="240" w:lineRule="auto"/>
              <w:jc w:val="left"/>
              <w:rPr>
                <w:rFonts w:ascii="Times New Roman" w:hAnsi="Times New Roman" w:cs="Times New Roman"/>
                <w:b w:val="0"/>
                <w:bCs w:val="0"/>
                <w:color w:val="000000"/>
                <w:kern w:val="0"/>
                <w:highlight w:val="none"/>
              </w:rPr>
            </w:pPr>
            <w:r>
              <w:rPr>
                <w:rFonts w:hint="eastAsia" w:ascii="Times New Roman" w:hAnsi="Times New Roman" w:cs="Times New Roman"/>
                <w:b w:val="0"/>
                <w:bCs w:val="0"/>
                <w:color w:val="000000"/>
                <w:kern w:val="0"/>
                <w:highlight w:val="none"/>
              </w:rPr>
              <w:t>无机动态校准仪</w:t>
            </w:r>
          </w:p>
        </w:tc>
        <w:tc>
          <w:tcPr>
            <w:tcW w:w="897" w:type="dxa"/>
            <w:tcBorders>
              <w:top w:val="nil"/>
              <w:left w:val="nil"/>
              <w:bottom w:val="single" w:color="auto" w:sz="8" w:space="0"/>
              <w:right w:val="single" w:color="auto" w:sz="8" w:space="0"/>
            </w:tcBorders>
            <w:shd w:val="clear" w:color="000000" w:fill="FFFFFF"/>
            <w:vAlign w:val="center"/>
          </w:tcPr>
          <w:p w14:paraId="45B738EE">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59B1B6A2">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套</w:t>
            </w:r>
          </w:p>
        </w:tc>
      </w:tr>
      <w:tr w14:paraId="4E8AC759">
        <w:tblPrEx>
          <w:tblCellMar>
            <w:top w:w="0" w:type="dxa"/>
            <w:left w:w="108" w:type="dxa"/>
            <w:bottom w:w="0" w:type="dxa"/>
            <w:right w:w="108" w:type="dxa"/>
          </w:tblCellMar>
        </w:tblPrEx>
        <w:trPr>
          <w:trHeight w:val="340" w:hRule="atLeast"/>
        </w:trPr>
        <w:tc>
          <w:tcPr>
            <w:tcW w:w="898" w:type="dxa"/>
            <w:tcBorders>
              <w:top w:val="nil"/>
              <w:left w:val="single" w:color="auto" w:sz="8" w:space="0"/>
              <w:bottom w:val="single" w:color="auto" w:sz="8" w:space="0"/>
              <w:right w:val="single" w:color="auto" w:sz="8" w:space="0"/>
            </w:tcBorders>
            <w:shd w:val="clear" w:color="000000" w:fill="FFFFFF"/>
            <w:vAlign w:val="center"/>
          </w:tcPr>
          <w:p w14:paraId="35C3885E">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9</w:t>
            </w:r>
          </w:p>
        </w:tc>
        <w:tc>
          <w:tcPr>
            <w:tcW w:w="5922" w:type="dxa"/>
            <w:tcBorders>
              <w:top w:val="nil"/>
              <w:left w:val="nil"/>
              <w:bottom w:val="single" w:color="auto" w:sz="8" w:space="0"/>
              <w:right w:val="single" w:color="auto" w:sz="8" w:space="0"/>
            </w:tcBorders>
            <w:shd w:val="clear" w:color="000000" w:fill="FFFFFF"/>
            <w:vAlign w:val="center"/>
          </w:tcPr>
          <w:p w14:paraId="5EF5AB59">
            <w:pPr>
              <w:widowControl/>
              <w:spacing w:line="240" w:lineRule="auto"/>
              <w:jc w:val="left"/>
              <w:rPr>
                <w:rFonts w:ascii="Times New Roman" w:hAnsi="Times New Roman" w:cs="Times New Roman"/>
                <w:b w:val="0"/>
                <w:bCs w:val="0"/>
                <w:color w:val="000000"/>
                <w:kern w:val="0"/>
                <w:highlight w:val="none"/>
              </w:rPr>
            </w:pPr>
            <w:r>
              <w:rPr>
                <w:rFonts w:hint="eastAsia" w:ascii="Times New Roman" w:hAnsi="Times New Roman" w:cs="Times New Roman"/>
                <w:b w:val="0"/>
                <w:bCs w:val="0"/>
                <w:color w:val="000000"/>
                <w:kern w:val="0"/>
                <w:highlight w:val="none"/>
              </w:rPr>
              <w:t>零气发生器</w:t>
            </w:r>
          </w:p>
        </w:tc>
        <w:tc>
          <w:tcPr>
            <w:tcW w:w="897" w:type="dxa"/>
            <w:tcBorders>
              <w:top w:val="nil"/>
              <w:left w:val="nil"/>
              <w:bottom w:val="single" w:color="auto" w:sz="8" w:space="0"/>
              <w:right w:val="single" w:color="auto" w:sz="8" w:space="0"/>
            </w:tcBorders>
            <w:shd w:val="clear" w:color="000000" w:fill="FFFFFF"/>
            <w:vAlign w:val="center"/>
          </w:tcPr>
          <w:p w14:paraId="4FC61FB4">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1</w:t>
            </w:r>
          </w:p>
        </w:tc>
        <w:tc>
          <w:tcPr>
            <w:tcW w:w="1134" w:type="dxa"/>
            <w:tcBorders>
              <w:top w:val="nil"/>
              <w:left w:val="nil"/>
              <w:bottom w:val="single" w:color="auto" w:sz="8" w:space="0"/>
              <w:right w:val="single" w:color="auto" w:sz="8" w:space="0"/>
            </w:tcBorders>
            <w:shd w:val="clear" w:color="000000" w:fill="FFFFFF"/>
            <w:vAlign w:val="center"/>
          </w:tcPr>
          <w:p w14:paraId="1B9F461E">
            <w:pPr>
              <w:widowControl/>
              <w:spacing w:line="240" w:lineRule="auto"/>
              <w:jc w:val="center"/>
              <w:rPr>
                <w:rFonts w:ascii="Times New Roman" w:hAnsi="Times New Roman" w:cs="Times New Roman"/>
                <w:b w:val="0"/>
                <w:bCs w:val="0"/>
                <w:color w:val="000000"/>
                <w:kern w:val="0"/>
                <w:highlight w:val="none"/>
              </w:rPr>
            </w:pPr>
            <w:r>
              <w:rPr>
                <w:rFonts w:ascii="Times New Roman" w:hAnsi="Times New Roman" w:cs="Times New Roman"/>
                <w:b w:val="0"/>
                <w:bCs w:val="0"/>
                <w:color w:val="000000"/>
                <w:kern w:val="0"/>
                <w:highlight w:val="none"/>
              </w:rPr>
              <w:t>套</w:t>
            </w:r>
          </w:p>
        </w:tc>
      </w:tr>
      <w:tr w14:paraId="69B37B22">
        <w:tblPrEx>
          <w:tblCellMar>
            <w:top w:w="0" w:type="dxa"/>
            <w:left w:w="108" w:type="dxa"/>
            <w:bottom w:w="0" w:type="dxa"/>
            <w:right w:w="108" w:type="dxa"/>
          </w:tblCellMar>
        </w:tblPrEx>
        <w:trPr>
          <w:trHeight w:val="340" w:hRule="atLeast"/>
        </w:trPr>
        <w:tc>
          <w:tcPr>
            <w:tcW w:w="898" w:type="dxa"/>
            <w:tcBorders>
              <w:top w:val="single" w:color="auto" w:sz="4" w:space="0"/>
              <w:left w:val="single" w:color="auto" w:sz="4" w:space="0"/>
              <w:bottom w:val="single" w:color="auto" w:sz="4" w:space="0"/>
              <w:right w:val="single" w:color="auto" w:sz="4" w:space="0"/>
            </w:tcBorders>
            <w:shd w:val="clear" w:color="000000" w:fill="FFFFFF"/>
            <w:vAlign w:val="center"/>
          </w:tcPr>
          <w:p w14:paraId="7BB5706A">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10</w:t>
            </w:r>
          </w:p>
        </w:tc>
        <w:tc>
          <w:tcPr>
            <w:tcW w:w="5922" w:type="dxa"/>
            <w:tcBorders>
              <w:top w:val="single" w:color="auto" w:sz="4" w:space="0"/>
              <w:left w:val="single" w:color="auto" w:sz="4" w:space="0"/>
              <w:bottom w:val="single" w:color="auto" w:sz="4" w:space="0"/>
              <w:right w:val="single" w:color="auto" w:sz="4" w:space="0"/>
            </w:tcBorders>
            <w:shd w:val="clear" w:color="auto" w:fill="auto"/>
            <w:vAlign w:val="center"/>
          </w:tcPr>
          <w:p w14:paraId="756D2B99">
            <w:pPr>
              <w:widowControl/>
              <w:spacing w:line="240" w:lineRule="auto"/>
              <w:jc w:val="left"/>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Cs w:val="24"/>
                <w:highlight w:val="none"/>
                <w14:textFill>
                  <w14:solidFill>
                    <w14:schemeClr w14:val="tx1"/>
                  </w14:solidFill>
                </w14:textFill>
              </w:rPr>
              <w:t>监测车</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07955EE6">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7F5487">
            <w:pPr>
              <w:widowControl/>
              <w:spacing w:line="240" w:lineRule="auto"/>
              <w:jc w:val="center"/>
              <w:rPr>
                <w:rFonts w:ascii="Times New Roman" w:hAnsi="Times New Roman" w:eastAsia="宋体" w:cs="Times New Roman"/>
                <w:b w:val="0"/>
                <w:bCs w:val="0"/>
                <w:color w:val="000000" w:themeColor="text1"/>
                <w:kern w:val="0"/>
                <w:szCs w:val="24"/>
                <w:highlight w:val="none"/>
                <w14:textFill>
                  <w14:solidFill>
                    <w14:schemeClr w14:val="tx1"/>
                  </w14:solidFill>
                </w14:textFill>
              </w:rPr>
            </w:pPr>
            <w:r>
              <w:rPr>
                <w:rFonts w:ascii="Times New Roman" w:hAnsi="Times New Roman" w:eastAsia="宋体" w:cs="Times New Roman"/>
                <w:b w:val="0"/>
                <w:bCs w:val="0"/>
                <w:color w:val="000000" w:themeColor="text1"/>
                <w:kern w:val="0"/>
                <w:szCs w:val="24"/>
                <w:highlight w:val="none"/>
                <w14:textFill>
                  <w14:solidFill>
                    <w14:schemeClr w14:val="tx1"/>
                  </w14:solidFill>
                </w14:textFill>
              </w:rPr>
              <w:t>套</w:t>
            </w:r>
          </w:p>
        </w:tc>
      </w:tr>
    </w:tbl>
    <w:p w14:paraId="1B3AE857">
      <w:pPr>
        <w:pStyle w:val="6"/>
        <w:spacing w:before="240" w:beforeLines="100" w:after="0" w:line="240" w:lineRule="auto"/>
        <w:rPr>
          <w:rFonts w:ascii="Times New Roman" w:hAnsi="Times New Roman" w:eastAsia="宋体" w:cs="Times New Roman"/>
          <w:b w:val="0"/>
          <w:bCs w:val="0"/>
          <w:color w:val="000000" w:themeColor="text1"/>
          <w:highlight w:val="none"/>
          <w14:textFill>
            <w14:solidFill>
              <w14:schemeClr w14:val="tx1"/>
            </w14:solidFill>
          </w14:textFill>
        </w:rPr>
      </w:pPr>
      <w:r>
        <w:rPr>
          <w:rFonts w:hint="eastAsia" w:ascii="Times New Roman" w:hAnsi="Times New Roman" w:eastAsia="宋体" w:cs="Times New Roman"/>
          <w:b w:val="0"/>
          <w:bCs w:val="0"/>
          <w:color w:val="000000" w:themeColor="text1"/>
          <w:highlight w:val="none"/>
          <w:lang w:val="en-US" w:eastAsia="zh-CN"/>
          <w14:textFill>
            <w14:solidFill>
              <w14:schemeClr w14:val="tx1"/>
            </w14:solidFill>
          </w14:textFill>
        </w:rPr>
        <w:t>2</w:t>
      </w:r>
      <w:r>
        <w:rPr>
          <w:rFonts w:ascii="Times New Roman" w:hAnsi="Times New Roman" w:eastAsia="宋体" w:cs="Times New Roman"/>
          <w:b w:val="0"/>
          <w:bCs w:val="0"/>
          <w:color w:val="000000" w:themeColor="text1"/>
          <w:highlight w:val="none"/>
          <w14:textFill>
            <w14:solidFill>
              <w14:schemeClr w14:val="tx1"/>
            </w14:solidFill>
          </w14:textFill>
        </w:rPr>
        <w:t>、技术要求</w:t>
      </w:r>
    </w:p>
    <w:p w14:paraId="32C597E1">
      <w:pPr>
        <w:spacing w:after="0" w:line="360" w:lineRule="auto"/>
        <w:rPr>
          <w:b w:val="0"/>
          <w:bCs w:val="0"/>
          <w:sz w:val="24"/>
          <w:szCs w:val="24"/>
          <w:highlight w:val="none"/>
        </w:rPr>
      </w:pPr>
      <w:r>
        <w:rPr>
          <w:rFonts w:hint="eastAsia"/>
          <w:b w:val="0"/>
          <w:bCs w:val="0"/>
          <w:sz w:val="24"/>
          <w:szCs w:val="24"/>
          <w:highlight w:val="none"/>
          <w:lang w:val="en-US" w:eastAsia="zh-CN"/>
        </w:rPr>
        <w:t>2.1.</w:t>
      </w:r>
      <w:r>
        <w:rPr>
          <w:b w:val="0"/>
          <w:bCs w:val="0"/>
          <w:sz w:val="24"/>
          <w:szCs w:val="24"/>
          <w:highlight w:val="none"/>
        </w:rPr>
        <w:t>VOCs走航监测系统</w:t>
      </w:r>
    </w:p>
    <w:p w14:paraId="687461F7">
      <w:pPr>
        <w:spacing w:before="0" w:after="0" w:line="360" w:lineRule="auto"/>
        <w:ind w:left="663" w:hangingChars="236"/>
        <w:rPr>
          <w:rFonts w:hint="eastAsia" w:ascii="Arial" w:hAnsi="Arial" w:eastAsia="Arial" w:cs="Arial"/>
          <w:b w:val="0"/>
          <w:bCs w:val="0"/>
          <w:sz w:val="24"/>
          <w:szCs w:val="24"/>
          <w:highlight w:val="none"/>
        </w:rPr>
      </w:pPr>
      <w:r>
        <w:rPr>
          <w:rFonts w:hint="eastAsia" w:ascii="Arial" w:hAnsi="Arial"/>
          <w:b w:val="0"/>
          <w:bCs w:val="0"/>
          <w:sz w:val="24"/>
          <w:szCs w:val="24"/>
          <w:highlight w:val="none"/>
          <w:lang w:val="en-US" w:eastAsia="zh-CN"/>
        </w:rPr>
        <w:t>2.1.1.</w:t>
      </w:r>
      <w:r>
        <w:rPr>
          <w:rFonts w:hint="default" w:ascii="Arial" w:hAnsi="Arial"/>
          <w:b w:val="0"/>
          <w:bCs w:val="0"/>
          <w:sz w:val="24"/>
          <w:szCs w:val="24"/>
          <w:highlight w:val="none"/>
        </w:rPr>
        <w:t>系统</w:t>
      </w:r>
      <w:r>
        <w:rPr>
          <w:rFonts w:hint="eastAsia" w:ascii="Arial" w:hAnsi="Arial"/>
          <w:b w:val="0"/>
          <w:bCs w:val="0"/>
          <w:sz w:val="24"/>
          <w:szCs w:val="24"/>
          <w:highlight w:val="none"/>
        </w:rPr>
        <w:t>基本要求</w:t>
      </w:r>
    </w:p>
    <w:p w14:paraId="73EE8C3B">
      <w:pPr>
        <w:pStyle w:val="26"/>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（1）系统具备环境空气、污染源监测及污染物实时走航边走边测等功能模式。环境空气监测、污染源监测要求系统具备现场准确定性和定量能力，数据准确可靠。</w:t>
      </w:r>
    </w:p>
    <w:p w14:paraId="6BA28C99">
      <w:pPr>
        <w:pStyle w:val="26"/>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（2）设备分析方法满足生态环境部 《环境空气  挥发性有机物的应急测定 便携式气相色谱-质谱法》（HJ1223-2021）以及《长三角生态绿水一体化发展示范区挥发性有机物走航监测技术规范》（DB31/T 310002-2021、DB32/T 310002-2021、DB33/T 310002-2021）的要求。</w:t>
      </w:r>
    </w:p>
    <w:p w14:paraId="42D110E1">
      <w:pPr>
        <w:pStyle w:val="26"/>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（3）利用单质谱秒级连续响应迅速找到VOCs污染高值点，实时获取VOCs单组分和TVOCs浓度分布和变化规律，同时结合快速气质联用分析方法于现场对污染组分进行准确定性（需提供官网截图及官网地址）。</w:t>
      </w:r>
    </w:p>
    <w:p w14:paraId="779F8DA4">
      <w:pPr>
        <w:pStyle w:val="26"/>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（4）为满足分析需求，系统可具备或集成单质谱快速分析和色谱质谱联用分析模块，两套质谱模块</w:t>
      </w:r>
      <w:r>
        <w:rPr>
          <w:rFonts w:hint="eastAsia" w:ascii="宋体" w:hAnsi="宋体" w:eastAsia="宋体" w:cs="宋体"/>
          <w:b w:val="0"/>
          <w:bCs w:val="0"/>
          <w:sz w:val="24"/>
          <w:szCs w:val="24"/>
          <w:highlight w:val="none"/>
          <w:lang w:val="en-US" w:eastAsia="zh-CN"/>
        </w:rPr>
        <w:t>使用相同的离子源及质量分析器，且各自</w:t>
      </w:r>
      <w:r>
        <w:rPr>
          <w:rFonts w:hint="eastAsia" w:ascii="宋体" w:hAnsi="宋体" w:eastAsia="宋体" w:cs="宋体"/>
          <w:b w:val="0"/>
          <w:bCs w:val="0"/>
          <w:sz w:val="24"/>
          <w:szCs w:val="24"/>
          <w:highlight w:val="none"/>
        </w:rPr>
        <w:t>具备独立的质量分析器和真空系统，保证两套模块可同时监测</w:t>
      </w:r>
      <w:r>
        <w:rPr>
          <w:rFonts w:hint="eastAsia" w:ascii="宋体" w:hAnsi="宋体" w:eastAsia="宋体" w:cs="宋体"/>
          <w:b w:val="0"/>
          <w:bCs w:val="0"/>
          <w:sz w:val="24"/>
          <w:szCs w:val="24"/>
          <w:highlight w:val="none"/>
          <w:lang w:eastAsia="zh-CN"/>
        </w:rPr>
        <w:t>。</w:t>
      </w:r>
    </w:p>
    <w:p w14:paraId="23F67922">
      <w:pPr>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val="en-US" w:eastAsia="zh-CN"/>
        </w:rPr>
        <w:t>为满足走航车复杂的使用场景需求，</w:t>
      </w:r>
      <w:r>
        <w:rPr>
          <w:rFonts w:hint="eastAsia" w:ascii="宋体" w:hAnsi="宋体" w:eastAsia="宋体" w:cs="宋体"/>
          <w:b w:val="0"/>
          <w:bCs w:val="0"/>
          <w:sz w:val="24"/>
          <w:szCs w:val="24"/>
          <w:highlight w:val="none"/>
        </w:rPr>
        <w:t>VOCs走航监测系统</w:t>
      </w:r>
      <w:r>
        <w:rPr>
          <w:rFonts w:hint="eastAsia" w:ascii="宋体" w:hAnsi="宋体" w:eastAsia="宋体" w:cs="宋体"/>
          <w:b w:val="0"/>
          <w:bCs w:val="0"/>
          <w:sz w:val="24"/>
          <w:szCs w:val="24"/>
          <w:highlight w:val="none"/>
          <w:lang w:val="en-US" w:eastAsia="zh-CN"/>
        </w:rPr>
        <w:t>需高度集成，系统重量不得大于65kg</w:t>
      </w:r>
      <w:r>
        <w:rPr>
          <w:rFonts w:hint="eastAsia" w:ascii="宋体" w:hAnsi="宋体" w:eastAsia="宋体" w:cs="宋体"/>
          <w:b w:val="0"/>
          <w:bCs w:val="0"/>
          <w:sz w:val="24"/>
          <w:szCs w:val="24"/>
          <w:highlight w:val="none"/>
        </w:rPr>
        <w:t>。</w:t>
      </w:r>
    </w:p>
    <w:p w14:paraId="60AD69E2">
      <w:pPr>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为满足走航车改装一体化设计，</w:t>
      </w:r>
      <w:r>
        <w:rPr>
          <w:rFonts w:hint="eastAsia" w:ascii="宋体" w:hAnsi="宋体" w:eastAsia="宋体" w:cs="宋体"/>
          <w:b w:val="0"/>
          <w:bCs w:val="0"/>
          <w:sz w:val="24"/>
          <w:szCs w:val="24"/>
          <w:highlight w:val="none"/>
        </w:rPr>
        <w:t>VOCs走航监测系统</w:t>
      </w:r>
      <w:r>
        <w:rPr>
          <w:rFonts w:hint="eastAsia" w:ascii="宋体" w:hAnsi="宋体" w:eastAsia="宋体" w:cs="宋体"/>
          <w:b w:val="0"/>
          <w:bCs w:val="0"/>
          <w:sz w:val="24"/>
          <w:szCs w:val="24"/>
          <w:highlight w:val="none"/>
          <w:lang w:val="en-US" w:eastAsia="zh-CN"/>
        </w:rPr>
        <w:t>需与无机因子走航监测设备安装形式保持一致，符合19英寸标准机柜安装尺寸。</w:t>
      </w:r>
    </w:p>
    <w:p w14:paraId="6E9EF74E">
      <w:pPr>
        <w:spacing w:before="0" w:after="0" w:line="400" w:lineRule="exact"/>
        <w:ind w:left="663" w:hangingChars="236"/>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2.1.2.</w:t>
      </w:r>
      <w:r>
        <w:rPr>
          <w:rFonts w:hint="eastAsia" w:ascii="Arial" w:hAnsi="Arial"/>
          <w:b w:val="0"/>
          <w:bCs w:val="0"/>
          <w:sz w:val="24"/>
          <w:szCs w:val="24"/>
          <w:highlight w:val="none"/>
        </w:rPr>
        <w:t>走航质谱分析仪</w:t>
      </w:r>
      <w:r>
        <w:rPr>
          <w:rFonts w:hint="default" w:ascii="Arial" w:hAnsi="Arial"/>
          <w:b w:val="0"/>
          <w:bCs w:val="0"/>
          <w:sz w:val="24"/>
          <w:szCs w:val="24"/>
          <w:highlight w:val="none"/>
        </w:rPr>
        <w:t>性能要求</w:t>
      </w:r>
    </w:p>
    <w:p w14:paraId="4A0AD71D">
      <w:pPr>
        <w:numPr>
          <w:ilvl w:val="0"/>
          <w:numId w:val="7"/>
        </w:numPr>
        <w:spacing w:line="40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应采用实验室设备相同电离模式70eV</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rPr>
        <w:t>EI</w:t>
      </w:r>
      <w:r>
        <w:rPr>
          <w:rFonts w:hint="eastAsia" w:ascii="宋体" w:hAnsi="宋体" w:cs="宋体"/>
          <w:b w:val="0"/>
          <w:bCs w:val="0"/>
          <w:color w:val="auto"/>
          <w:sz w:val="24"/>
          <w:szCs w:val="24"/>
          <w:highlight w:val="none"/>
          <w:lang w:val="en-US" w:eastAsia="zh-CN"/>
        </w:rPr>
        <w:t>源</w:t>
      </w:r>
      <w:r>
        <w:rPr>
          <w:rFonts w:hint="eastAsia" w:ascii="宋体" w:hAnsi="宋体" w:cs="宋体"/>
          <w:b w:val="0"/>
          <w:bCs w:val="0"/>
          <w:color w:val="auto"/>
          <w:sz w:val="24"/>
          <w:szCs w:val="24"/>
          <w:highlight w:val="none"/>
        </w:rPr>
        <w:t>，可与NIST谱库进行匹配。</w:t>
      </w:r>
    </w:p>
    <w:p w14:paraId="39CF155C">
      <w:pPr>
        <w:numPr>
          <w:ilvl w:val="0"/>
          <w:numId w:val="7"/>
        </w:numPr>
        <w:spacing w:line="40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内置真空系统为</w:t>
      </w:r>
      <w:r>
        <w:rPr>
          <w:rFonts w:hint="eastAsia" w:ascii="宋体" w:hAnsi="宋体" w:cs="宋体"/>
          <w:b w:val="0"/>
          <w:bCs w:val="0"/>
          <w:color w:val="auto"/>
          <w:sz w:val="24"/>
          <w:szCs w:val="24"/>
          <w:highlight w:val="none"/>
          <w:lang w:val="en-US" w:eastAsia="zh-CN"/>
        </w:rPr>
        <w:t>非消耗型器件（</w:t>
      </w:r>
      <w:r>
        <w:rPr>
          <w:rFonts w:hint="eastAsia" w:ascii="宋体" w:hAnsi="宋体" w:eastAsia="宋体" w:cs="宋体"/>
          <w:b w:val="0"/>
          <w:bCs w:val="0"/>
          <w:color w:val="auto"/>
          <w:sz w:val="24"/>
          <w:szCs w:val="24"/>
          <w:highlight w:val="none"/>
        </w:rPr>
        <w:t>机械泵</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rPr>
        <w:t>，抗震性强，能适应恶劣环境下走航工作。</w:t>
      </w:r>
    </w:p>
    <w:p w14:paraId="74B0E56D">
      <w:pPr>
        <w:pStyle w:val="8"/>
        <w:numPr>
          <w:ilvl w:val="0"/>
          <w:numId w:val="7"/>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温度可编程GC柱，建议长度≤10米；温度设置范围：45℃至260℃；升温速率：≥100℃/分钟。</w:t>
      </w:r>
    </w:p>
    <w:p w14:paraId="463D1C9F">
      <w:pPr>
        <w:pStyle w:val="8"/>
        <w:numPr>
          <w:ilvl w:val="0"/>
          <w:numId w:val="7"/>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内置碳分子筛或TENAX吸附剂的富集管及惰性化定量环。</w:t>
      </w:r>
    </w:p>
    <w:p w14:paraId="29C35354">
      <w:pPr>
        <w:pStyle w:val="8"/>
        <w:numPr>
          <w:ilvl w:val="0"/>
          <w:numId w:val="7"/>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快速筛查模式下可实现秒级响应，响应时间≤1s；全分析准确判定模式下，样品分析时间应不超过7分钟。</w:t>
      </w:r>
    </w:p>
    <w:p w14:paraId="191880F6">
      <w:pPr>
        <w:pStyle w:val="8"/>
        <w:numPr>
          <w:ilvl w:val="0"/>
          <w:numId w:val="7"/>
        </w:numPr>
        <w:spacing w:line="400" w:lineRule="exact"/>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配置CBM实现VOCs、无机因子（如CO、SO</w:t>
      </w:r>
      <w:r>
        <w:rPr>
          <w:rFonts w:hint="eastAsia" w:ascii="宋体" w:hAnsi="宋体" w:eastAsia="宋体" w:cs="宋体"/>
          <w:b w:val="0"/>
          <w:bCs w:val="0"/>
          <w:color w:val="auto"/>
          <w:sz w:val="24"/>
          <w:szCs w:val="24"/>
          <w:highlight w:val="none"/>
          <w:vertAlign w:val="subscript"/>
        </w:rPr>
        <w:t>2</w:t>
      </w:r>
      <w:r>
        <w:rPr>
          <w:rFonts w:hint="eastAsia" w:ascii="宋体" w:hAnsi="宋体" w:eastAsia="宋体" w:cs="宋体"/>
          <w:b w:val="0"/>
          <w:bCs w:val="0"/>
          <w:color w:val="auto"/>
          <w:sz w:val="24"/>
          <w:szCs w:val="24"/>
          <w:highlight w:val="none"/>
        </w:rPr>
        <w:t>、O</w:t>
      </w:r>
      <w:r>
        <w:rPr>
          <w:rFonts w:hint="eastAsia" w:ascii="宋体" w:hAnsi="宋体" w:eastAsia="宋体" w:cs="宋体"/>
          <w:b w:val="0"/>
          <w:bCs w:val="0"/>
          <w:color w:val="auto"/>
          <w:sz w:val="24"/>
          <w:szCs w:val="24"/>
          <w:highlight w:val="none"/>
          <w:vertAlign w:val="subscript"/>
        </w:rPr>
        <w:t>3</w:t>
      </w:r>
      <w:r>
        <w:rPr>
          <w:rFonts w:hint="eastAsia" w:ascii="宋体" w:hAnsi="宋体" w:eastAsia="宋体" w:cs="宋体"/>
          <w:b w:val="0"/>
          <w:bCs w:val="0"/>
          <w:color w:val="auto"/>
          <w:sz w:val="24"/>
          <w:szCs w:val="24"/>
          <w:highlight w:val="none"/>
        </w:rPr>
        <w:t>、NOx、PM</w:t>
      </w:r>
      <w:r>
        <w:rPr>
          <w:rFonts w:hint="eastAsia" w:ascii="宋体" w:hAnsi="宋体" w:eastAsia="宋体" w:cs="宋体"/>
          <w:b w:val="0"/>
          <w:bCs w:val="0"/>
          <w:color w:val="auto"/>
          <w:sz w:val="24"/>
          <w:szCs w:val="24"/>
          <w:highlight w:val="none"/>
          <w:vertAlign w:val="subscript"/>
        </w:rPr>
        <w:t>2.5</w:t>
      </w:r>
      <w:r>
        <w:rPr>
          <w:rFonts w:hint="eastAsia" w:ascii="宋体" w:hAnsi="宋体" w:eastAsia="宋体" w:cs="宋体"/>
          <w:b w:val="0"/>
          <w:bCs w:val="0"/>
          <w:color w:val="auto"/>
          <w:sz w:val="24"/>
          <w:szCs w:val="24"/>
          <w:highlight w:val="none"/>
        </w:rPr>
        <w:t>、PM</w:t>
      </w:r>
      <w:r>
        <w:rPr>
          <w:rFonts w:hint="eastAsia" w:ascii="宋体" w:hAnsi="宋体" w:eastAsia="宋体" w:cs="宋体"/>
          <w:b w:val="0"/>
          <w:bCs w:val="0"/>
          <w:color w:val="auto"/>
          <w:sz w:val="24"/>
          <w:szCs w:val="24"/>
          <w:highlight w:val="none"/>
          <w:vertAlign w:val="subscript"/>
        </w:rPr>
        <w:t>10</w:t>
      </w:r>
      <w:r>
        <w:rPr>
          <w:rFonts w:hint="eastAsia" w:ascii="宋体" w:hAnsi="宋体" w:eastAsia="宋体" w:cs="宋体"/>
          <w:b w:val="0"/>
          <w:bCs w:val="0"/>
          <w:color w:val="auto"/>
          <w:sz w:val="24"/>
          <w:szCs w:val="24"/>
          <w:highlight w:val="none"/>
        </w:rPr>
        <w:t>）、气象五参数等仪表转接集成，利用TCP通讯方式将系统监测数据进行输入和输出</w:t>
      </w:r>
      <w:r>
        <w:rPr>
          <w:rFonts w:hint="eastAsia" w:ascii="宋体" w:hAnsi="宋体" w:eastAsia="宋体" w:cs="宋体"/>
          <w:b w:val="0"/>
          <w:bCs w:val="0"/>
          <w:sz w:val="24"/>
          <w:szCs w:val="24"/>
          <w:highlight w:val="none"/>
        </w:rPr>
        <w:t>。</w:t>
      </w:r>
    </w:p>
    <w:p w14:paraId="6FFE7728">
      <w:pPr>
        <w:spacing w:before="0" w:after="0" w:line="400" w:lineRule="exact"/>
        <w:ind w:left="663" w:hangingChars="236"/>
        <w:rPr>
          <w:rFonts w:hint="eastAsia" w:ascii="Arial" w:hAnsi="Arial"/>
          <w:b w:val="0"/>
          <w:bCs w:val="0"/>
          <w:color w:val="auto"/>
          <w:sz w:val="24"/>
          <w:szCs w:val="24"/>
          <w:highlight w:val="none"/>
        </w:rPr>
      </w:pPr>
      <w:r>
        <w:rPr>
          <w:rFonts w:hint="eastAsia" w:ascii="Arial" w:hAnsi="Arial"/>
          <w:b w:val="0"/>
          <w:bCs w:val="0"/>
          <w:sz w:val="24"/>
          <w:szCs w:val="24"/>
          <w:highlight w:val="none"/>
          <w:lang w:val="en-US" w:eastAsia="zh-CN"/>
        </w:rPr>
        <w:t>2.1.3.</w:t>
      </w:r>
      <w:r>
        <w:rPr>
          <w:rFonts w:hint="eastAsia" w:ascii="Arial" w:hAnsi="Arial"/>
          <w:b w:val="0"/>
          <w:bCs w:val="0"/>
          <w:color w:val="auto"/>
          <w:sz w:val="24"/>
          <w:szCs w:val="24"/>
          <w:highlight w:val="none"/>
        </w:rPr>
        <w:t>走航质谱分析仪技术指标</w:t>
      </w:r>
    </w:p>
    <w:p w14:paraId="3CD21060">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可检测物质包括烷烃、烯烃、</w:t>
      </w:r>
      <w:r>
        <w:rPr>
          <w:rFonts w:hint="eastAsia" w:ascii="宋体" w:hAnsi="宋体" w:eastAsia="宋体" w:cs="宋体"/>
          <w:b w:val="0"/>
          <w:bCs w:val="0"/>
          <w:color w:val="auto"/>
          <w:sz w:val="24"/>
          <w:szCs w:val="24"/>
          <w:highlight w:val="none"/>
          <w:lang w:val="en-US" w:eastAsia="zh-CN"/>
        </w:rPr>
        <w:t>炔烃、</w:t>
      </w:r>
      <w:r>
        <w:rPr>
          <w:rFonts w:hint="eastAsia" w:ascii="宋体" w:hAnsi="宋体" w:eastAsia="宋体" w:cs="宋体"/>
          <w:b w:val="0"/>
          <w:bCs w:val="0"/>
          <w:color w:val="auto"/>
          <w:sz w:val="24"/>
          <w:szCs w:val="24"/>
          <w:highlight w:val="none"/>
        </w:rPr>
        <w:t>芳香烃、卤代烃、含氧有机物、含氮有机物等多种物质。</w:t>
      </w:r>
    </w:p>
    <w:p w14:paraId="745668F3">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进样方式：具备膜进样方法、定量环进样方法、富集管进样方法；</w:t>
      </w:r>
    </w:p>
    <w:p w14:paraId="7A4216CE">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具有采样预抽和管路清洗反吹功能；</w:t>
      </w:r>
    </w:p>
    <w:p w14:paraId="730D9105">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分析周期：≤5min</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对氮中43组分VOCs混合气体标准物质进行检测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，且苯乙烯与1,2-二甲苯分离度＞1.0；</w:t>
      </w:r>
    </w:p>
    <w:p w14:paraId="50635B09">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检测限：≤1nmol/mol（甲苯、正己烷、三氯甲烷）；</w:t>
      </w:r>
    </w:p>
    <w:p w14:paraId="65541F40">
      <w:pPr>
        <w:pStyle w:val="8"/>
        <w:numPr>
          <w:ilvl w:val="0"/>
          <w:numId w:val="8"/>
        </w:numPr>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测量范围：</w:t>
      </w:r>
      <w:r>
        <w:rPr>
          <w:rFonts w:hint="eastAsia" w:ascii="宋体" w:hAnsi="宋体" w:eastAsia="宋体" w:cs="宋体"/>
          <w:b w:val="0"/>
          <w:bCs w:val="0"/>
          <w:color w:val="auto"/>
          <w:sz w:val="24"/>
          <w:szCs w:val="24"/>
          <w:highlight w:val="none"/>
          <w:lang w:val="en-US" w:eastAsia="zh-CN"/>
        </w:rPr>
        <w:t>0.1</w:t>
      </w:r>
      <w:r>
        <w:rPr>
          <w:rFonts w:hint="eastAsia" w:ascii="宋体" w:hAnsi="宋体" w:eastAsia="宋体" w:cs="宋体"/>
          <w:b w:val="0"/>
          <w:bCs w:val="0"/>
          <w:color w:val="auto"/>
          <w:sz w:val="24"/>
          <w:szCs w:val="24"/>
          <w:highlight w:val="none"/>
        </w:rPr>
        <w:t>nmol/mol-500 μmol/mol（10</w:t>
      </w:r>
      <w:r>
        <w:rPr>
          <w:rFonts w:hint="eastAsia" w:ascii="宋体" w:hAnsi="宋体" w:eastAsia="宋体" w:cs="宋体"/>
          <w:b w:val="0"/>
          <w:bCs w:val="0"/>
          <w:color w:val="auto"/>
          <w:sz w:val="24"/>
          <w:szCs w:val="24"/>
          <w:highlight w:val="none"/>
          <w:vertAlign w:val="superscript"/>
        </w:rPr>
        <w:t>6</w:t>
      </w:r>
      <w:r>
        <w:rPr>
          <w:rFonts w:hint="eastAsia" w:ascii="宋体" w:hAnsi="宋体" w:eastAsia="宋体" w:cs="宋体"/>
          <w:b w:val="0"/>
          <w:bCs w:val="0"/>
          <w:color w:val="auto"/>
          <w:sz w:val="24"/>
          <w:szCs w:val="24"/>
          <w:highlight w:val="none"/>
        </w:rPr>
        <w:t>即6个数量级）</w:t>
      </w:r>
      <w:r>
        <w:rPr>
          <w:rFonts w:hint="eastAsia" w:ascii="宋体" w:hAnsi="宋体" w:eastAsia="宋体" w:cs="宋体"/>
          <w:b w:val="0"/>
          <w:bCs w:val="0"/>
          <w:color w:val="auto"/>
          <w:sz w:val="24"/>
          <w:szCs w:val="24"/>
          <w:highlight w:val="none"/>
          <w:lang w:eastAsia="zh-CN"/>
        </w:rPr>
        <w:t>。</w:t>
      </w:r>
    </w:p>
    <w:p w14:paraId="1F9C7776">
      <w:pPr>
        <w:pStyle w:val="19"/>
        <w:spacing w:line="400" w:lineRule="exact"/>
        <w:rPr>
          <w:rFonts w:hint="eastAsia" w:ascii="宋体" w:hAnsi="宋体" w:cs="宋体"/>
          <w:b w:val="0"/>
          <w:bCs w:val="0"/>
          <w:sz w:val="24"/>
          <w:szCs w:val="24"/>
          <w:highlight w:val="none"/>
        </w:rPr>
      </w:pPr>
      <w:r>
        <w:rPr>
          <w:rFonts w:hint="eastAsia" w:ascii="宋体" w:hAnsi="宋体" w:cs="宋体"/>
          <w:b w:val="0"/>
          <w:bCs w:val="0"/>
          <w:sz w:val="24"/>
          <w:szCs w:val="24"/>
          <w:highlight w:val="none"/>
        </w:rPr>
        <w:t>注：为确保设备响应快速、出数准确，适用于多种场景的走航分析需求</w:t>
      </w:r>
    </w:p>
    <w:p w14:paraId="1601AEC3">
      <w:pPr>
        <w:spacing w:before="0" w:after="0" w:line="360" w:lineRule="auto"/>
        <w:ind w:left="663" w:hangingChars="236"/>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2.1.4.</w:t>
      </w:r>
      <w:r>
        <w:rPr>
          <w:rFonts w:hint="eastAsia" w:ascii="Arial" w:hAnsi="Arial"/>
          <w:b w:val="0"/>
          <w:bCs w:val="0"/>
          <w:sz w:val="24"/>
          <w:szCs w:val="24"/>
          <w:highlight w:val="none"/>
        </w:rPr>
        <w:t>数据分析工作站</w:t>
      </w:r>
    </w:p>
    <w:p w14:paraId="0B3D8E92">
      <w:pPr>
        <w:spacing w:before="0" w:after="0" w:line="360" w:lineRule="auto"/>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2.1.4.1.</w:t>
      </w:r>
      <w:r>
        <w:rPr>
          <w:rFonts w:hint="default" w:ascii="Arial" w:hAnsi="Arial"/>
          <w:b w:val="0"/>
          <w:bCs w:val="0"/>
          <w:sz w:val="24"/>
          <w:szCs w:val="24"/>
          <w:highlight w:val="none"/>
        </w:rPr>
        <w:t>质谱控制软件</w:t>
      </w:r>
    </w:p>
    <w:p w14:paraId="19314366">
      <w:pPr>
        <w:pStyle w:val="27"/>
        <w:numPr>
          <w:ilvl w:val="2"/>
          <w:numId w:val="9"/>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具有自动维护功能，可进行色谱柱维护、色谱柱老化、吸附管维护、质量分析器烘烤功能；</w:t>
      </w:r>
    </w:p>
    <w:p w14:paraId="78476955">
      <w:pPr>
        <w:pStyle w:val="27"/>
        <w:numPr>
          <w:ilvl w:val="2"/>
          <w:numId w:val="9"/>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具备仪器状态（伴热管线温度、过滤器温度、气质接口温度）、质谱参数（真空度、分子泵电流、转速及温度、灯丝电流及使用寿命等）、系统参数显示功能；</w:t>
      </w:r>
    </w:p>
    <w:p w14:paraId="03BD6C0A">
      <w:pPr>
        <w:pStyle w:val="27"/>
        <w:numPr>
          <w:ilvl w:val="2"/>
          <w:numId w:val="9"/>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具备数据采集与分析、样品定性和定量测定、实时显示、谱库建立和检索等功能；</w:t>
      </w:r>
    </w:p>
    <w:p w14:paraId="38D4EC57">
      <w:pPr>
        <w:pStyle w:val="27"/>
        <w:numPr>
          <w:ilvl w:val="2"/>
          <w:numId w:val="9"/>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应用软件可检索标准质谱图和用户自己建立的质谱图库，操作人员可设计、改进和储存自己的分析方法。</w:t>
      </w:r>
    </w:p>
    <w:p w14:paraId="77568388">
      <w:pPr>
        <w:spacing w:before="0" w:after="0" w:line="360" w:lineRule="auto"/>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2.1.4.2.</w:t>
      </w:r>
      <w:r>
        <w:rPr>
          <w:rFonts w:hint="eastAsia" w:ascii="Arial" w:hAnsi="Arial"/>
          <w:b w:val="0"/>
          <w:bCs w:val="0"/>
          <w:sz w:val="24"/>
          <w:szCs w:val="24"/>
          <w:highlight w:val="none"/>
        </w:rPr>
        <w:t>走航分析软件</w:t>
      </w:r>
    </w:p>
    <w:p w14:paraId="223028E3">
      <w:pPr>
        <w:pStyle w:val="25"/>
        <w:numPr>
          <w:ilvl w:val="0"/>
          <w:numId w:val="10"/>
        </w:numPr>
        <w:ind w:firstLineChars="0"/>
        <w:rPr>
          <w:rFonts w:hint="eastAsia" w:ascii="宋体" w:hAnsi="宋体" w:cs="宋体"/>
          <w:b w:val="0"/>
          <w:bCs w:val="0"/>
          <w:vanish/>
          <w:szCs w:val="24"/>
          <w:highlight w:val="none"/>
          <w:lang w:val="zh-CN"/>
        </w:rPr>
      </w:pPr>
    </w:p>
    <w:p w14:paraId="21204A13">
      <w:pPr>
        <w:pStyle w:val="25"/>
        <w:numPr>
          <w:ilvl w:val="1"/>
          <w:numId w:val="10"/>
        </w:numPr>
        <w:ind w:firstLineChars="0"/>
        <w:rPr>
          <w:rFonts w:hint="eastAsia" w:ascii="宋体" w:hAnsi="宋体" w:cs="宋体"/>
          <w:b w:val="0"/>
          <w:bCs w:val="0"/>
          <w:vanish/>
          <w:szCs w:val="24"/>
          <w:highlight w:val="none"/>
          <w:lang w:val="zh-CN"/>
        </w:rPr>
      </w:pPr>
    </w:p>
    <w:p w14:paraId="38D01361">
      <w:pPr>
        <w:pStyle w:val="25"/>
        <w:numPr>
          <w:ilvl w:val="2"/>
          <w:numId w:val="11"/>
        </w:numPr>
        <w:ind w:left="0" w:firstLine="480"/>
        <w:rPr>
          <w:rFonts w:hint="eastAsia" w:ascii="宋体" w:hAnsi="宋体" w:cs="宋体"/>
          <w:b w:val="0"/>
          <w:bCs w:val="0"/>
          <w:szCs w:val="24"/>
          <w:highlight w:val="none"/>
          <w:lang w:val="zh-CN"/>
        </w:rPr>
      </w:pPr>
      <w:r>
        <w:rPr>
          <w:rFonts w:hint="eastAsia" w:ascii="宋体" w:hAnsi="宋体" w:cs="宋体"/>
          <w:b w:val="0"/>
          <w:bCs w:val="0"/>
          <w:szCs w:val="24"/>
          <w:highlight w:val="none"/>
          <w:lang w:val="zh-CN"/>
        </w:rPr>
        <w:t>自动记录GPS信息、气象参数、监测因子信息及浓度结果，以3D-GIS实时显示VOCs浓度变化，可给出任意点位的VOCs总量及主要物质浓度值；</w:t>
      </w:r>
    </w:p>
    <w:p w14:paraId="25BCA409">
      <w:pPr>
        <w:pStyle w:val="25"/>
        <w:numPr>
          <w:ilvl w:val="2"/>
          <w:numId w:val="11"/>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软件应具有对历史数据导出导入功能，并支持原始监测数据以XLS、TXT、JPG、PNG等多种格式导出；</w:t>
      </w:r>
    </w:p>
    <w:p w14:paraId="75DB7B3E">
      <w:pPr>
        <w:pStyle w:val="25"/>
        <w:numPr>
          <w:ilvl w:val="2"/>
          <w:numId w:val="11"/>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软件具有组分监测数据展示和环境情况实时记录功能；</w:t>
      </w:r>
    </w:p>
    <w:p w14:paraId="3017FC12">
      <w:pPr>
        <w:pStyle w:val="25"/>
        <w:numPr>
          <w:ilvl w:val="2"/>
          <w:numId w:val="11"/>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软件应具备对相关监测因子（CO、SO</w:t>
      </w:r>
      <w:r>
        <w:rPr>
          <w:rFonts w:hint="eastAsia" w:ascii="宋体" w:hAnsi="宋体" w:cs="宋体"/>
          <w:b w:val="0"/>
          <w:bCs w:val="0"/>
          <w:sz w:val="24"/>
          <w:szCs w:val="24"/>
          <w:highlight w:val="none"/>
          <w:vertAlign w:val="subscript"/>
          <w:lang w:val="zh-CN"/>
        </w:rPr>
        <w:t>2</w:t>
      </w:r>
      <w:r>
        <w:rPr>
          <w:rFonts w:hint="eastAsia" w:ascii="宋体" w:hAnsi="宋体" w:cs="宋体"/>
          <w:b w:val="0"/>
          <w:bCs w:val="0"/>
          <w:sz w:val="24"/>
          <w:szCs w:val="24"/>
          <w:highlight w:val="none"/>
          <w:lang w:val="zh-CN"/>
        </w:rPr>
        <w:t>、O</w:t>
      </w:r>
      <w:r>
        <w:rPr>
          <w:rFonts w:hint="eastAsia" w:ascii="宋体" w:hAnsi="宋体" w:cs="宋体"/>
          <w:b w:val="0"/>
          <w:bCs w:val="0"/>
          <w:sz w:val="24"/>
          <w:szCs w:val="24"/>
          <w:highlight w:val="none"/>
          <w:vertAlign w:val="subscript"/>
          <w:lang w:val="zh-CN"/>
        </w:rPr>
        <w:t>3</w:t>
      </w:r>
      <w:r>
        <w:rPr>
          <w:rFonts w:hint="eastAsia" w:ascii="宋体" w:hAnsi="宋体" w:cs="宋体"/>
          <w:b w:val="0"/>
          <w:bCs w:val="0"/>
          <w:sz w:val="24"/>
          <w:szCs w:val="24"/>
          <w:highlight w:val="none"/>
          <w:lang w:val="zh-CN"/>
        </w:rPr>
        <w:t>、NOx、PM</w:t>
      </w:r>
      <w:r>
        <w:rPr>
          <w:rFonts w:hint="eastAsia" w:ascii="宋体" w:hAnsi="宋体" w:cs="宋体"/>
          <w:b w:val="0"/>
          <w:bCs w:val="0"/>
          <w:sz w:val="24"/>
          <w:szCs w:val="24"/>
          <w:highlight w:val="none"/>
          <w:vertAlign w:val="subscript"/>
          <w:lang w:val="zh-CN"/>
        </w:rPr>
        <w:t>2.5</w:t>
      </w:r>
      <w:r>
        <w:rPr>
          <w:rFonts w:hint="eastAsia" w:ascii="宋体" w:hAnsi="宋体" w:cs="宋体"/>
          <w:b w:val="0"/>
          <w:bCs w:val="0"/>
          <w:sz w:val="24"/>
          <w:szCs w:val="24"/>
          <w:highlight w:val="none"/>
          <w:lang w:val="zh-CN"/>
        </w:rPr>
        <w:t>、PM</w:t>
      </w:r>
      <w:r>
        <w:rPr>
          <w:rFonts w:hint="eastAsia" w:ascii="宋体" w:hAnsi="宋体" w:cs="宋体"/>
          <w:b w:val="0"/>
          <w:bCs w:val="0"/>
          <w:sz w:val="24"/>
          <w:szCs w:val="24"/>
          <w:highlight w:val="none"/>
          <w:vertAlign w:val="subscript"/>
          <w:lang w:val="zh-CN"/>
        </w:rPr>
        <w:t>10</w:t>
      </w:r>
      <w:r>
        <w:rPr>
          <w:rFonts w:hint="eastAsia" w:ascii="宋体" w:hAnsi="宋体" w:cs="宋体"/>
          <w:b w:val="0"/>
          <w:bCs w:val="0"/>
          <w:sz w:val="24"/>
          <w:szCs w:val="24"/>
          <w:highlight w:val="none"/>
          <w:lang w:val="zh-CN"/>
        </w:rPr>
        <w:t>等）绘制走航图，同时也能以折线图和列表形式展示，可对因子进行编辑、添加、删除；</w:t>
      </w:r>
    </w:p>
    <w:p w14:paraId="71063743">
      <w:pPr>
        <w:pStyle w:val="25"/>
        <w:numPr>
          <w:ilvl w:val="2"/>
          <w:numId w:val="11"/>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软件应具备历史数据查询功能，并能通过柱状图、饼图等方式展示监测数据。</w:t>
      </w:r>
    </w:p>
    <w:p w14:paraId="5238ABF5">
      <w:pPr>
        <w:spacing w:before="0" w:after="0" w:line="360" w:lineRule="auto"/>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2.2.</w:t>
      </w:r>
      <w:r>
        <w:rPr>
          <w:rFonts w:hint="eastAsia" w:ascii="Arial" w:hAnsi="Arial"/>
          <w:b w:val="0"/>
          <w:bCs w:val="0"/>
          <w:sz w:val="24"/>
          <w:szCs w:val="24"/>
          <w:highlight w:val="none"/>
        </w:rPr>
        <w:t>辅助分析和管理决策的数据库配置要求</w:t>
      </w:r>
    </w:p>
    <w:p w14:paraId="6CD572C4">
      <w:pPr>
        <w:pStyle w:val="25"/>
        <w:numPr>
          <w:ilvl w:val="2"/>
          <w:numId w:val="12"/>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rPr>
        <w:t>仪器具有标准谱库的检索功能，支持自建谱库；</w:t>
      </w:r>
    </w:p>
    <w:p w14:paraId="472A53C4">
      <w:pPr>
        <w:pStyle w:val="25"/>
        <w:numPr>
          <w:ilvl w:val="2"/>
          <w:numId w:val="12"/>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rPr>
        <w:t>质谱仪标准谱库包括： 美国国家标准与技术研究院（NIST）谱库、自动质谱图解卷积和鉴定系统（AMDIS）、环境样品专用谱库（大于1000种）、中文版化学品安全指导数据库（SIC）、环境标准参考数据库；</w:t>
      </w:r>
    </w:p>
    <w:p w14:paraId="3EF7AA56">
      <w:pPr>
        <w:spacing w:before="0" w:after="0" w:line="360" w:lineRule="auto"/>
        <w:ind w:left="663" w:hangingChars="236"/>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2.3.</w:t>
      </w:r>
      <w:r>
        <w:rPr>
          <w:rFonts w:hint="eastAsia" w:ascii="Arial" w:hAnsi="Arial"/>
          <w:b w:val="0"/>
          <w:bCs w:val="0"/>
          <w:sz w:val="24"/>
          <w:szCs w:val="24"/>
          <w:highlight w:val="none"/>
        </w:rPr>
        <w:t>车载式大气采样系统</w:t>
      </w:r>
    </w:p>
    <w:p w14:paraId="60DEAAA1">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采样头：防止雨水和粗大的颗粒物落入总管，同时避免小动物和大型昆虫进入总管。采样头的设计应保证采样气流不受风向影响，稳定进入总管；</w:t>
      </w:r>
    </w:p>
    <w:p w14:paraId="0198B8AA">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采样总管：采样总管内的气流应保持层流状态，采样气体在总管内的滞留时间应小于10s；</w:t>
      </w:r>
    </w:p>
    <w:p w14:paraId="14F24F6F">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制作材料：不锈钢或聚四氟乙烯；</w:t>
      </w:r>
    </w:p>
    <w:p w14:paraId="179920DF">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工作环境温度：-20-45℃；</w:t>
      </w:r>
    </w:p>
    <w:p w14:paraId="766C8C6D">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样品相对湿度：≤80%；</w:t>
      </w:r>
    </w:p>
    <w:p w14:paraId="73957914">
      <w:pPr>
        <w:pStyle w:val="25"/>
        <w:numPr>
          <w:ilvl w:val="2"/>
          <w:numId w:val="13"/>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电源电压：24V。</w:t>
      </w:r>
    </w:p>
    <w:p w14:paraId="05319CD7">
      <w:pPr>
        <w:spacing w:before="0" w:after="0" w:line="360" w:lineRule="auto"/>
        <w:ind w:left="663" w:hangingChars="236"/>
        <w:rPr>
          <w:rFonts w:hint="eastAsia" w:ascii="Arial" w:hAnsi="Arial"/>
          <w:b w:val="0"/>
          <w:bCs w:val="0"/>
          <w:sz w:val="24"/>
          <w:szCs w:val="24"/>
          <w:highlight w:val="none"/>
        </w:rPr>
      </w:pPr>
      <w:r>
        <w:rPr>
          <w:rFonts w:hint="eastAsia" w:ascii="Arial" w:hAnsi="Arial"/>
          <w:b w:val="0"/>
          <w:bCs w:val="0"/>
          <w:sz w:val="24"/>
          <w:szCs w:val="24"/>
          <w:highlight w:val="none"/>
          <w:lang w:val="en-US" w:eastAsia="zh-CN"/>
        </w:rPr>
        <w:t>2.4.</w:t>
      </w:r>
      <w:r>
        <w:rPr>
          <w:rFonts w:hint="eastAsia" w:ascii="Arial" w:hAnsi="Arial"/>
          <w:b w:val="0"/>
          <w:bCs w:val="0"/>
          <w:sz w:val="24"/>
          <w:szCs w:val="24"/>
          <w:highlight w:val="none"/>
        </w:rPr>
        <w:t>车载式五参数气象站</w:t>
      </w:r>
    </w:p>
    <w:p w14:paraId="6D5BFE06">
      <w:pPr>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车载式五参数气象站除具有风向、风速、温度、湿度、气压参数的监测能力外，还需内置电子罗盘及GPS系统，方便走航过程中的风向、风速修正及污染物的空间定位。</w:t>
      </w:r>
    </w:p>
    <w:p w14:paraId="7D98E6C7">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风速：测量范围：0～40m/s；分辨率：0.1m/s；</w:t>
      </w:r>
    </w:p>
    <w:p w14:paraId="3730F6A0">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风向：测量范围：0～360°；分辨率：0.1°；</w:t>
      </w:r>
    </w:p>
    <w:p w14:paraId="38A8AE81">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空气温度：测量范围：-40℃～+55℃；分辨率：0.1℃；</w:t>
      </w:r>
    </w:p>
    <w:p w14:paraId="0EE64BFB">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环境湿度：测量范围：10%RH～95%RH；分辨率：0.1%RH；</w:t>
      </w:r>
    </w:p>
    <w:p w14:paraId="504D3CC7">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大气压力：测量范围：300mbar～1100mbar；精度：±1mbar；</w:t>
      </w:r>
    </w:p>
    <w:p w14:paraId="766181A2">
      <w:pPr>
        <w:pStyle w:val="25"/>
        <w:numPr>
          <w:ilvl w:val="2"/>
          <w:numId w:val="14"/>
        </w:numPr>
        <w:ind w:left="0" w:firstLine="480"/>
        <w:rPr>
          <w:rFonts w:hint="eastAsia" w:ascii="宋体" w:hAnsi="宋体" w:cs="宋体"/>
          <w:b w:val="0"/>
          <w:bCs w:val="0"/>
          <w:sz w:val="24"/>
          <w:szCs w:val="24"/>
          <w:highlight w:val="none"/>
          <w:lang w:val="zh-CN"/>
        </w:rPr>
      </w:pPr>
      <w:r>
        <w:rPr>
          <w:rFonts w:hint="eastAsia" w:ascii="宋体" w:hAnsi="宋体" w:cs="宋体"/>
          <w:b w:val="0"/>
          <w:bCs w:val="0"/>
          <w:sz w:val="24"/>
          <w:szCs w:val="24"/>
          <w:highlight w:val="none"/>
          <w:lang w:val="zh-CN"/>
        </w:rPr>
        <w:t>电子罗盘精度：1°水平行驶时；俯仰和滚动范围/精准度：±50°/＜1°；</w:t>
      </w:r>
    </w:p>
    <w:p w14:paraId="07343B2E">
      <w:pPr>
        <w:pStyle w:val="25"/>
        <w:numPr>
          <w:ilvl w:val="2"/>
          <w:numId w:val="14"/>
        </w:numPr>
        <w:ind w:left="0" w:firstLine="480"/>
        <w:rPr>
          <w:rFonts w:hint="eastAsia" w:ascii="宋体" w:hAnsi="宋体" w:cs="宋体"/>
          <w:b w:val="0"/>
          <w:bCs w:val="0"/>
          <w:szCs w:val="24"/>
          <w:highlight w:val="none"/>
          <w:lang w:val="zh-CN"/>
        </w:rPr>
      </w:pPr>
      <w:r>
        <w:rPr>
          <w:rFonts w:hint="eastAsia" w:ascii="宋体" w:hAnsi="宋体" w:cs="宋体"/>
          <w:b w:val="0"/>
          <w:bCs w:val="0"/>
          <w:szCs w:val="24"/>
          <w:highlight w:val="none"/>
          <w:lang w:val="zh-CN"/>
        </w:rPr>
        <w:t>GPS定位精度：3 m (10’)，并带有广域增强系统。</w:t>
      </w:r>
    </w:p>
    <w:p w14:paraId="4447E194">
      <w:pPr>
        <w:pStyle w:val="25"/>
        <w:keepNext/>
        <w:keepLines/>
        <w:numPr>
          <w:ilvl w:val="0"/>
          <w:numId w:val="15"/>
        </w:numPr>
        <w:spacing w:before="280"/>
        <w:ind w:left="360" w:hanging="360" w:firstLineChars="0"/>
        <w:outlineLvl w:val="3"/>
        <w:rPr>
          <w:rFonts w:hint="eastAsia" w:ascii="宋体" w:hAnsi="宋体" w:eastAsia="宋体" w:cs="宋体"/>
          <w:b w:val="0"/>
          <w:bCs w:val="0"/>
          <w:vanish/>
          <w:sz w:val="28"/>
          <w:szCs w:val="24"/>
          <w:highlight w:val="none"/>
        </w:rPr>
      </w:pPr>
    </w:p>
    <w:p w14:paraId="53BB8006">
      <w:pPr>
        <w:spacing w:after="0" w:line="360" w:lineRule="auto"/>
        <w:rPr>
          <w:rFonts w:hint="eastAsia" w:ascii="宋体" w:hAnsi="宋体" w:eastAsia="宋体" w:cs="宋体"/>
          <w:b w:val="0"/>
          <w:bCs w:val="0"/>
          <w:sz w:val="24"/>
          <w:szCs w:val="24"/>
          <w:highlight w:val="none"/>
          <w:lang w:val="en-US" w:eastAsia="zh-CN"/>
        </w:rPr>
      </w:pPr>
    </w:p>
    <w:p w14:paraId="0B477D77">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rPr>
        <w:t>VOCs分析专用动态校准仪</w:t>
      </w:r>
    </w:p>
    <w:p w14:paraId="3C1C526A">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气体混合区域恒压，采用电子压力控制，控制压力范围：0~300kPa，精度小于±0.2 kPa；</w:t>
      </w:r>
    </w:p>
    <w:p w14:paraId="61E0C4E5">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具有温控功能，混合区域温度可0~50℃设置，控制精度±1℃；质量流量传感器阀座温度可0~45℃温度设置，控制精度±1℃；</w:t>
      </w:r>
    </w:p>
    <w:p w14:paraId="278464EF">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具有远程遥控或序列编辑功能；具有多点自动序列配气功能，具有单点或多点自动校准功能；</w:t>
      </w:r>
    </w:p>
    <w:p w14:paraId="7809486E">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稀释比率：1/10～1/5000；</w:t>
      </w:r>
    </w:p>
    <w:p w14:paraId="198B58C0">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流量测量精度：±1%满刻度；</w:t>
      </w:r>
    </w:p>
    <w:p w14:paraId="3AF332B0">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流量控制重复性：±0.2%满刻度；</w:t>
      </w:r>
    </w:p>
    <w:p w14:paraId="7B17C983">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流量控制线性度：±0.5%满刻度；</w:t>
      </w:r>
    </w:p>
    <w:p w14:paraId="39B6E60E">
      <w:pPr>
        <w:pStyle w:val="28"/>
        <w:numPr>
          <w:ilvl w:val="2"/>
          <w:numId w:val="16"/>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具有6英寸以上LCD液晶屏显示，实时显示用户软件界面、系统设置/故障/报警信息等。</w:t>
      </w:r>
    </w:p>
    <w:p w14:paraId="3B77B31F">
      <w:pPr>
        <w:spacing w:after="0" w:line="360" w:lineRule="auto"/>
        <w:rPr>
          <w:rFonts w:hint="eastAsia" w:ascii="宋体" w:hAnsi="宋体" w:eastAsia="宋体" w:cs="宋体"/>
          <w:b w:val="0"/>
          <w:bCs w:val="0"/>
          <w:sz w:val="24"/>
          <w:szCs w:val="24"/>
          <w:highlight w:val="none"/>
          <w:lang w:val="en-US" w:eastAsia="zh-CN"/>
        </w:rPr>
      </w:pPr>
    </w:p>
    <w:p w14:paraId="4164C2AE">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rPr>
        <w:t>NH</w:t>
      </w:r>
      <w:r>
        <w:rPr>
          <w:rFonts w:hint="eastAsia" w:ascii="宋体" w:hAnsi="宋体" w:eastAsia="宋体" w:cs="宋体"/>
          <w:b w:val="0"/>
          <w:bCs w:val="0"/>
          <w:sz w:val="24"/>
          <w:szCs w:val="24"/>
          <w:highlight w:val="none"/>
          <w:vertAlign w:val="baseline"/>
        </w:rPr>
        <w:t>3</w:t>
      </w:r>
      <w:r>
        <w:rPr>
          <w:rFonts w:hint="eastAsia" w:ascii="宋体" w:hAnsi="宋体" w:eastAsia="宋体" w:cs="宋体"/>
          <w:b w:val="0"/>
          <w:bCs w:val="0"/>
          <w:sz w:val="24"/>
          <w:szCs w:val="24"/>
          <w:highlight w:val="none"/>
        </w:rPr>
        <w:t>/NOx分析仪</w:t>
      </w:r>
    </w:p>
    <w:p w14:paraId="34E6CCDF">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量程：0-50ppb到0-2000ppb，用户可选，支持NH</w:t>
      </w:r>
      <w:r>
        <w:rPr>
          <w:rFonts w:hint="eastAsia" w:ascii="宋体" w:hAnsi="宋体" w:cs="宋体"/>
          <w:b w:val="0"/>
          <w:bCs w:val="0"/>
          <w:sz w:val="24"/>
          <w:szCs w:val="24"/>
          <w:highlight w:val="none"/>
          <w:vertAlign w:val="subscript"/>
        </w:rPr>
        <w:t>3</w:t>
      </w:r>
      <w:r>
        <w:rPr>
          <w:rFonts w:hint="eastAsia" w:ascii="宋体" w:hAnsi="宋体" w:cs="宋体"/>
          <w:b w:val="0"/>
          <w:bCs w:val="0"/>
          <w:sz w:val="24"/>
          <w:szCs w:val="24"/>
          <w:highlight w:val="none"/>
        </w:rPr>
        <w:t>，NO，NO</w:t>
      </w:r>
      <w:r>
        <w:rPr>
          <w:rFonts w:hint="eastAsia" w:ascii="宋体" w:hAnsi="宋体" w:cs="宋体"/>
          <w:b w:val="0"/>
          <w:bCs w:val="0"/>
          <w:sz w:val="24"/>
          <w:szCs w:val="24"/>
          <w:highlight w:val="none"/>
          <w:vertAlign w:val="subscript"/>
        </w:rPr>
        <w:t>2</w:t>
      </w:r>
      <w:r>
        <w:rPr>
          <w:rFonts w:hint="eastAsia" w:ascii="宋体" w:hAnsi="宋体" w:cs="宋体"/>
          <w:b w:val="0"/>
          <w:bCs w:val="0"/>
          <w:sz w:val="24"/>
          <w:szCs w:val="24"/>
          <w:highlight w:val="none"/>
        </w:rPr>
        <w:t>，NO</w:t>
      </w:r>
      <w:r>
        <w:rPr>
          <w:rFonts w:hint="eastAsia" w:ascii="宋体" w:hAnsi="宋体" w:cs="宋体"/>
          <w:b w:val="0"/>
          <w:bCs w:val="0"/>
          <w:sz w:val="24"/>
          <w:szCs w:val="24"/>
          <w:highlight w:val="none"/>
          <w:vertAlign w:val="subscript"/>
        </w:rPr>
        <w:t>x</w:t>
      </w:r>
      <w:r>
        <w:rPr>
          <w:rFonts w:hint="eastAsia" w:ascii="宋体" w:hAnsi="宋体" w:cs="宋体"/>
          <w:b w:val="0"/>
          <w:bCs w:val="0"/>
          <w:sz w:val="24"/>
          <w:szCs w:val="24"/>
          <w:highlight w:val="none"/>
        </w:rPr>
        <w:t>独立量程和自动量程设置；</w:t>
      </w:r>
    </w:p>
    <w:p w14:paraId="026F303E">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单位：ppb，ppm或µg/m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，mg/m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（用户可选）</w:t>
      </w:r>
    </w:p>
    <w:p w14:paraId="643D829C">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零点噪声：&lt;0.5ppb(RMS)</w:t>
      </w:r>
    </w:p>
    <w:p w14:paraId="0C2B3EC5">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跨度噪声：50ppb以上&lt;0.5%读数(RMS)</w:t>
      </w:r>
    </w:p>
    <w:p w14:paraId="0EE646EA">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最低检出限：1ppb</w:t>
      </w:r>
    </w:p>
    <w:p w14:paraId="3352E042">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零点漂移：&lt;0.5ppb/24 小时</w:t>
      </w:r>
    </w:p>
    <w:p w14:paraId="609D38F6">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跨度漂移：读数&lt;1%/24小时</w:t>
      </w:r>
    </w:p>
    <w:p w14:paraId="417E976E">
      <w:pPr>
        <w:widowControl/>
        <w:numPr>
          <w:ilvl w:val="0"/>
          <w:numId w:val="17"/>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响应时间：&lt;120s（达到90%）</w:t>
      </w:r>
    </w:p>
    <w:p w14:paraId="0BEBB73B">
      <w:pPr>
        <w:widowControl/>
        <w:numPr>
          <w:ilvl w:val="0"/>
          <w:numId w:val="18"/>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线性：&lt;1%F.S</w:t>
      </w:r>
    </w:p>
    <w:p w14:paraId="71FD6929">
      <w:pPr>
        <w:widowControl/>
        <w:numPr>
          <w:ilvl w:val="0"/>
          <w:numId w:val="18"/>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精度：读数的0.5%;</w:t>
      </w:r>
    </w:p>
    <w:p w14:paraId="3894515D">
      <w:pPr>
        <w:widowControl/>
        <w:numPr>
          <w:ilvl w:val="0"/>
          <w:numId w:val="18"/>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采样流量：1000 cm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/min±10%</w:t>
      </w:r>
    </w:p>
    <w:p w14:paraId="4D600C4F">
      <w:pPr>
        <w:spacing w:after="0" w:line="360" w:lineRule="auto"/>
        <w:rPr>
          <w:rFonts w:hint="eastAsia" w:ascii="宋体" w:hAnsi="宋体" w:eastAsia="宋体" w:cs="宋体"/>
          <w:b w:val="0"/>
          <w:bCs w:val="0"/>
          <w:sz w:val="24"/>
          <w:szCs w:val="24"/>
          <w:highlight w:val="none"/>
          <w:lang w:val="en-US" w:eastAsia="zh-CN"/>
        </w:rPr>
      </w:pPr>
    </w:p>
    <w:p w14:paraId="5883DDFC">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rPr>
        <w:t>H</w:t>
      </w:r>
      <w:r>
        <w:rPr>
          <w:rFonts w:hint="eastAsia" w:ascii="宋体" w:hAnsi="宋体" w:eastAsia="宋体" w:cs="宋体"/>
          <w:b w:val="0"/>
          <w:bCs w:val="0"/>
          <w:sz w:val="24"/>
          <w:szCs w:val="24"/>
          <w:highlight w:val="none"/>
          <w:vertAlign w:val="baseline"/>
        </w:rPr>
        <w:t>2</w:t>
      </w:r>
      <w:r>
        <w:rPr>
          <w:rFonts w:hint="eastAsia" w:ascii="宋体" w:hAnsi="宋体" w:eastAsia="宋体" w:cs="宋体"/>
          <w:b w:val="0"/>
          <w:bCs w:val="0"/>
          <w:sz w:val="24"/>
          <w:szCs w:val="24"/>
          <w:highlight w:val="none"/>
        </w:rPr>
        <w:t>S/SO</w:t>
      </w:r>
      <w:r>
        <w:rPr>
          <w:rFonts w:hint="eastAsia" w:ascii="宋体" w:hAnsi="宋体" w:eastAsia="宋体" w:cs="宋体"/>
          <w:b w:val="0"/>
          <w:bCs w:val="0"/>
          <w:sz w:val="24"/>
          <w:szCs w:val="24"/>
          <w:highlight w:val="none"/>
          <w:vertAlign w:val="baseline"/>
        </w:rPr>
        <w:t>2</w:t>
      </w:r>
      <w:r>
        <w:rPr>
          <w:rFonts w:hint="eastAsia" w:ascii="宋体" w:hAnsi="宋体" w:eastAsia="宋体" w:cs="宋体"/>
          <w:b w:val="0"/>
          <w:bCs w:val="0"/>
          <w:sz w:val="24"/>
          <w:szCs w:val="24"/>
          <w:highlight w:val="none"/>
        </w:rPr>
        <w:t>分析仪</w:t>
      </w:r>
    </w:p>
    <w:p w14:paraId="01FA4037">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量程：H</w:t>
      </w:r>
      <w:r>
        <w:rPr>
          <w:rFonts w:hint="eastAsia" w:ascii="宋体" w:hAnsi="宋体" w:cs="宋体"/>
          <w:b w:val="0"/>
          <w:bCs w:val="0"/>
          <w:sz w:val="24"/>
          <w:szCs w:val="24"/>
          <w:highlight w:val="none"/>
          <w:vertAlign w:val="subscript"/>
        </w:rPr>
        <w:t>2</w:t>
      </w:r>
      <w:r>
        <w:rPr>
          <w:rFonts w:hint="eastAsia" w:ascii="宋体" w:hAnsi="宋体" w:cs="宋体"/>
          <w:b w:val="0"/>
          <w:bCs w:val="0"/>
          <w:sz w:val="24"/>
          <w:szCs w:val="24"/>
          <w:highlight w:val="none"/>
        </w:rPr>
        <w:t>S：最小0～50ppb，最大0～10ppm；SO</w:t>
      </w:r>
      <w:r>
        <w:rPr>
          <w:rFonts w:hint="eastAsia" w:ascii="宋体" w:hAnsi="宋体" w:cs="宋体"/>
          <w:b w:val="0"/>
          <w:bCs w:val="0"/>
          <w:sz w:val="24"/>
          <w:szCs w:val="24"/>
          <w:highlight w:val="none"/>
          <w:vertAlign w:val="subscript"/>
        </w:rPr>
        <w:t>2</w:t>
      </w:r>
      <w:r>
        <w:rPr>
          <w:rFonts w:hint="eastAsia" w:ascii="宋体" w:hAnsi="宋体" w:cs="宋体"/>
          <w:b w:val="0"/>
          <w:bCs w:val="0"/>
          <w:sz w:val="24"/>
          <w:szCs w:val="24"/>
          <w:highlight w:val="none"/>
        </w:rPr>
        <w:t>：0-20ppm（可选，独立量程和自动量程设置）；单位：ppb，ppm或µg/m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，mg/m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（用户可选）</w:t>
      </w:r>
    </w:p>
    <w:p w14:paraId="6AE8C30B">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零点噪声：&lt;0.2 ppb（RMS）</w:t>
      </w:r>
    </w:p>
    <w:p w14:paraId="4F787F8E">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跨度噪声：50ppb以上&lt;0.5%读数(RMS)</w:t>
      </w:r>
    </w:p>
    <w:p w14:paraId="28F4C284">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最低检测限：0.4ppb</w:t>
      </w:r>
    </w:p>
    <w:p w14:paraId="7BF2C178">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零点漂移：≤0.5ppb/24小时</w:t>
      </w:r>
    </w:p>
    <w:p w14:paraId="4329F75C">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跨度漂移：&lt;0.5%F.S/24小时</w:t>
      </w:r>
    </w:p>
    <w:p w14:paraId="1E7F008B">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响应时间：&lt;120秒（达到95%）</w:t>
      </w:r>
    </w:p>
    <w:p w14:paraId="446BDA81">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线性：&lt;1%F.S</w:t>
      </w:r>
    </w:p>
    <w:p w14:paraId="19E240F8">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精度：50ppb以上读数的0.5%;</w:t>
      </w:r>
    </w:p>
    <w:p w14:paraId="4D6473D9">
      <w:pPr>
        <w:widowControl/>
        <w:numPr>
          <w:ilvl w:val="0"/>
          <w:numId w:val="19"/>
        </w:numPr>
        <w:rPr>
          <w:rFonts w:hint="eastAsia" w:ascii="宋体" w:hAnsi="宋体" w:cs="宋体"/>
          <w:b w:val="0"/>
          <w:bCs w:val="0"/>
          <w:sz w:val="24"/>
          <w:szCs w:val="24"/>
          <w:highlight w:val="none"/>
        </w:rPr>
      </w:pPr>
      <w:r>
        <w:rPr>
          <w:rFonts w:hint="eastAsia" w:ascii="宋体" w:hAnsi="宋体" w:cs="宋体"/>
          <w:b w:val="0"/>
          <w:bCs w:val="0"/>
          <w:sz w:val="24"/>
          <w:szCs w:val="24"/>
          <w:highlight w:val="none"/>
        </w:rPr>
        <w:t>采样流量：650 cm</w:t>
      </w:r>
      <w:r>
        <w:rPr>
          <w:rFonts w:hint="eastAsia" w:ascii="宋体" w:hAnsi="宋体" w:cs="宋体"/>
          <w:b w:val="0"/>
          <w:bCs w:val="0"/>
          <w:sz w:val="24"/>
          <w:szCs w:val="24"/>
          <w:highlight w:val="none"/>
          <w:vertAlign w:val="superscript"/>
        </w:rPr>
        <w:t>3</w:t>
      </w:r>
      <w:r>
        <w:rPr>
          <w:rFonts w:hint="eastAsia" w:ascii="宋体" w:hAnsi="宋体" w:cs="宋体"/>
          <w:b w:val="0"/>
          <w:bCs w:val="0"/>
          <w:sz w:val="24"/>
          <w:szCs w:val="24"/>
          <w:highlight w:val="none"/>
        </w:rPr>
        <w:t>/min±10%</w:t>
      </w:r>
    </w:p>
    <w:p w14:paraId="583353A1">
      <w:pPr>
        <w:spacing w:after="0" w:line="360" w:lineRule="auto"/>
        <w:rPr>
          <w:rFonts w:hint="eastAsia"/>
          <w:b w:val="0"/>
          <w:bCs w:val="0"/>
          <w:sz w:val="24"/>
          <w:szCs w:val="24"/>
          <w:highlight w:val="none"/>
          <w:lang w:val="en-US" w:eastAsia="zh-CN"/>
        </w:rPr>
      </w:pPr>
    </w:p>
    <w:p w14:paraId="4FB62726">
      <w:pPr>
        <w:spacing w:after="0" w:line="360" w:lineRule="auto"/>
        <w:rPr>
          <w:rFonts w:hint="eastAsia" w:ascii="Arial" w:hAnsi="Arial" w:eastAsia="Arial" w:cs="Arial"/>
          <w:b w:val="0"/>
          <w:bCs w:val="0"/>
          <w:sz w:val="24"/>
          <w:szCs w:val="24"/>
          <w:highlight w:val="none"/>
        </w:rPr>
      </w:pPr>
      <w:r>
        <w:rPr>
          <w:rFonts w:hint="eastAsia"/>
          <w:b w:val="0"/>
          <w:bCs w:val="0"/>
          <w:sz w:val="24"/>
          <w:szCs w:val="24"/>
          <w:highlight w:val="none"/>
          <w:lang w:val="en-US" w:eastAsia="zh-CN"/>
        </w:rPr>
        <w:t>2.8.</w:t>
      </w:r>
      <w:r>
        <w:rPr>
          <w:rFonts w:hint="eastAsia" w:ascii="Arial" w:hAnsi="Arial" w:eastAsia="Arial" w:cs="Arial"/>
          <w:b w:val="0"/>
          <w:bCs w:val="0"/>
          <w:sz w:val="24"/>
          <w:szCs w:val="24"/>
          <w:highlight w:val="none"/>
        </w:rPr>
        <w:t>CO分析仪</w:t>
      </w:r>
    </w:p>
    <w:p w14:paraId="569AEED5">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量程范围：0-50ppm；</w:t>
      </w:r>
    </w:p>
    <w:p w14:paraId="1548F780">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零点噪声：≤0.02ppm；</w:t>
      </w:r>
    </w:p>
    <w:p w14:paraId="05DF6590">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量程噪声：≤0.25ppm；</w:t>
      </w:r>
    </w:p>
    <w:p w14:paraId="0E436340">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检测下限：≤0.04ppm；</w:t>
      </w:r>
    </w:p>
    <w:p w14:paraId="5766C9AE">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零点漂移：±0.1ppm/24h；</w:t>
      </w:r>
    </w:p>
    <w:p w14:paraId="34713E03">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7d长期零点漂移≤0.5umol/mol；</w:t>
      </w:r>
    </w:p>
    <w:p w14:paraId="10035EFB">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20%量程漂移：±0.5ppm/24h；</w:t>
      </w:r>
    </w:p>
    <w:p w14:paraId="58C07F20">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示值误差：±1% F.S.；</w:t>
      </w:r>
    </w:p>
    <w:p w14:paraId="780F1F89">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响应时间：＜90s(从0上升到90%满量程)；</w:t>
      </w:r>
    </w:p>
    <w:p w14:paraId="731B44AF">
      <w:pPr>
        <w:pStyle w:val="28"/>
        <w:numPr>
          <w:ilvl w:val="0"/>
          <w:numId w:val="20"/>
        </w:numPr>
        <w:ind w:left="0" w:firstLine="480"/>
        <w:rPr>
          <w:rFonts w:hint="eastAsia" w:ascii="宋体" w:hAnsi="宋体" w:cs="宋体"/>
          <w:b w:val="0"/>
          <w:bCs w:val="0"/>
          <w:sz w:val="24"/>
          <w:highlight w:val="none"/>
        </w:rPr>
      </w:pPr>
      <w:r>
        <w:rPr>
          <w:rFonts w:hint="eastAsia" w:ascii="宋体" w:hAnsi="宋体" w:cs="宋体"/>
          <w:b w:val="0"/>
          <w:bCs w:val="0"/>
          <w:color w:val="000000"/>
          <w:sz w:val="24"/>
          <w:highlight w:val="none"/>
        </w:rPr>
        <w:t>流量稳定性：≤±10%。</w:t>
      </w:r>
    </w:p>
    <w:p w14:paraId="09BD160B">
      <w:pPr>
        <w:spacing w:after="0" w:line="360" w:lineRule="auto"/>
        <w:rPr>
          <w:rFonts w:hint="eastAsia" w:ascii="宋体" w:hAnsi="宋体" w:eastAsia="宋体" w:cs="宋体"/>
          <w:b w:val="0"/>
          <w:bCs w:val="0"/>
          <w:sz w:val="24"/>
          <w:szCs w:val="24"/>
          <w:highlight w:val="none"/>
          <w:lang w:val="en-US" w:eastAsia="zh-CN"/>
        </w:rPr>
      </w:pPr>
    </w:p>
    <w:p w14:paraId="514B1176">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2.9.</w:t>
      </w:r>
      <w:r>
        <w:rPr>
          <w:rFonts w:hint="eastAsia" w:ascii="宋体" w:hAnsi="宋体" w:eastAsia="宋体" w:cs="宋体"/>
          <w:b w:val="0"/>
          <w:bCs w:val="0"/>
          <w:sz w:val="24"/>
          <w:szCs w:val="24"/>
          <w:highlight w:val="none"/>
        </w:rPr>
        <w:t>O3分析仪</w:t>
      </w:r>
    </w:p>
    <w:p w14:paraId="737DC44E">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量程：0-500 ppb；</w:t>
      </w:r>
    </w:p>
    <w:p w14:paraId="152EBB38">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零点噪声：≤0.3ppb；</w:t>
      </w:r>
    </w:p>
    <w:p w14:paraId="300F7D7C">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量程噪声：≤2.5ppb；</w:t>
      </w:r>
    </w:p>
    <w:p w14:paraId="5E08FA58">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检测下限：≤0.6ppb；</w:t>
      </w:r>
    </w:p>
    <w:p w14:paraId="11ABDF56">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零点漂移：±2ppb/24h；</w:t>
      </w:r>
    </w:p>
    <w:p w14:paraId="64BA691E">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20%量程漂移：±5ppb；</w:t>
      </w:r>
    </w:p>
    <w:p w14:paraId="2B214228">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示值误差：＜±1% F.S.；</w:t>
      </w:r>
    </w:p>
    <w:p w14:paraId="465CF9D5">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响应时间：＜80s(从0上升到 90%满量程)；</w:t>
      </w:r>
    </w:p>
    <w:p w14:paraId="7A57BD23">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流量稳定性：≤±10%F.S.；</w:t>
      </w:r>
    </w:p>
    <w:p w14:paraId="6E144C9E">
      <w:pPr>
        <w:pStyle w:val="28"/>
        <w:numPr>
          <w:ilvl w:val="0"/>
          <w:numId w:val="21"/>
        </w:numPr>
        <w:ind w:left="0" w:firstLine="480"/>
        <w:rPr>
          <w:rFonts w:hint="eastAsia" w:ascii="宋体" w:hAnsi="宋体" w:cs="宋体"/>
          <w:b w:val="0"/>
          <w:bCs w:val="0"/>
          <w:sz w:val="24"/>
          <w:highlight w:val="none"/>
        </w:rPr>
      </w:pPr>
      <w:r>
        <w:rPr>
          <w:rFonts w:hint="eastAsia" w:ascii="宋体" w:hAnsi="宋体" w:cs="宋体"/>
          <w:b w:val="0"/>
          <w:bCs w:val="0"/>
          <w:sz w:val="24"/>
          <w:highlight w:val="none"/>
        </w:rPr>
        <w:t>环境温度变化的影响：＜0.5/℃。</w:t>
      </w:r>
    </w:p>
    <w:p w14:paraId="6B457C4E">
      <w:pPr>
        <w:spacing w:after="0" w:line="360" w:lineRule="auto"/>
        <w:rPr>
          <w:rFonts w:hint="eastAsia" w:ascii="宋体" w:hAnsi="宋体" w:eastAsia="宋体" w:cs="宋体"/>
          <w:b w:val="0"/>
          <w:bCs w:val="0"/>
          <w:sz w:val="24"/>
          <w:szCs w:val="24"/>
          <w:highlight w:val="none"/>
          <w:lang w:val="en-US" w:eastAsia="zh-CN"/>
        </w:rPr>
      </w:pPr>
    </w:p>
    <w:p w14:paraId="5776DE39">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2.10.</w:t>
      </w:r>
      <w:r>
        <w:rPr>
          <w:rFonts w:hint="eastAsia" w:ascii="宋体" w:hAnsi="宋体" w:eastAsia="宋体" w:cs="宋体"/>
          <w:b w:val="0"/>
          <w:bCs w:val="0"/>
          <w:sz w:val="24"/>
          <w:szCs w:val="24"/>
          <w:highlight w:val="none"/>
        </w:rPr>
        <w:t>颗粒物分析仪</w:t>
      </w:r>
    </w:p>
    <w:p w14:paraId="2E354DEF">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测量原理：激光散射法；</w:t>
      </w:r>
    </w:p>
    <w:p w14:paraId="0F07D45C">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监测因子：PM</w:t>
      </w:r>
      <w:r>
        <w:rPr>
          <w:rFonts w:hint="eastAsia" w:ascii="宋体" w:hAnsi="宋体" w:eastAsia="宋体" w:cs="宋体"/>
          <w:b w:val="0"/>
          <w:bCs w:val="0"/>
          <w:color w:val="000000"/>
          <w:sz w:val="24"/>
          <w:szCs w:val="24"/>
          <w:highlight w:val="none"/>
          <w:vertAlign w:val="subscript"/>
          <w:lang w:bidi="ar"/>
        </w:rPr>
        <w:t>1.0</w:t>
      </w:r>
      <w:r>
        <w:rPr>
          <w:rFonts w:hint="eastAsia" w:ascii="宋体" w:hAnsi="宋体" w:eastAsia="宋体" w:cs="宋体"/>
          <w:b w:val="0"/>
          <w:bCs w:val="0"/>
          <w:color w:val="000000"/>
          <w:sz w:val="24"/>
          <w:szCs w:val="24"/>
          <w:highlight w:val="none"/>
          <w:lang w:bidi="ar"/>
        </w:rPr>
        <w:t>、PM</w:t>
      </w:r>
      <w:r>
        <w:rPr>
          <w:rFonts w:hint="eastAsia" w:ascii="宋体" w:hAnsi="宋体" w:eastAsia="宋体" w:cs="宋体"/>
          <w:b w:val="0"/>
          <w:bCs w:val="0"/>
          <w:color w:val="000000"/>
          <w:sz w:val="24"/>
          <w:szCs w:val="24"/>
          <w:highlight w:val="none"/>
          <w:vertAlign w:val="subscript"/>
          <w:lang w:bidi="ar"/>
        </w:rPr>
        <w:t>2.5</w:t>
      </w:r>
      <w:r>
        <w:rPr>
          <w:rFonts w:hint="eastAsia" w:ascii="宋体" w:hAnsi="宋体" w:eastAsia="宋体" w:cs="宋体"/>
          <w:b w:val="0"/>
          <w:bCs w:val="0"/>
          <w:color w:val="000000"/>
          <w:sz w:val="24"/>
          <w:szCs w:val="24"/>
          <w:highlight w:val="none"/>
          <w:lang w:bidi="ar"/>
        </w:rPr>
        <w:t>、PM</w:t>
      </w:r>
      <w:r>
        <w:rPr>
          <w:rFonts w:hint="eastAsia" w:ascii="宋体" w:hAnsi="宋体" w:eastAsia="宋体" w:cs="宋体"/>
          <w:b w:val="0"/>
          <w:bCs w:val="0"/>
          <w:color w:val="000000"/>
          <w:sz w:val="24"/>
          <w:szCs w:val="24"/>
          <w:highlight w:val="none"/>
          <w:vertAlign w:val="subscript"/>
          <w:lang w:bidi="ar"/>
        </w:rPr>
        <w:t>10</w:t>
      </w:r>
      <w:r>
        <w:rPr>
          <w:rFonts w:hint="eastAsia" w:ascii="宋体" w:hAnsi="宋体" w:eastAsia="宋体" w:cs="宋体"/>
          <w:b w:val="0"/>
          <w:bCs w:val="0"/>
          <w:color w:val="000000"/>
          <w:sz w:val="24"/>
          <w:szCs w:val="24"/>
          <w:highlight w:val="none"/>
          <w:lang w:bidi="ar"/>
        </w:rPr>
        <w:t>；</w:t>
      </w:r>
    </w:p>
    <w:p w14:paraId="4D715A64">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测量范围：0~10000μg/m³；</w:t>
      </w:r>
    </w:p>
    <w:p w14:paraId="50488577">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颗粒物浓度示值误差：0-100：±10μg/m³；大于100：±15% F.S；</w:t>
      </w:r>
    </w:p>
    <w:p w14:paraId="21E80546">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响应速度：≤2S；</w:t>
      </w:r>
    </w:p>
    <w:p w14:paraId="43434049">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分辨率：1μg/m³；</w:t>
      </w:r>
    </w:p>
    <w:p w14:paraId="18305125">
      <w:pPr>
        <w:numPr>
          <w:ilvl w:val="0"/>
          <w:numId w:val="22"/>
        </w:numPr>
        <w:ind w:left="0" w:firstLine="480" w:firstLineChars="200"/>
        <w:rPr>
          <w:rFonts w:hint="eastAsia" w:ascii="宋体" w:hAnsi="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bidi="ar"/>
        </w:rPr>
        <w:t>采样流量：1.1L/min（±5%）；</w:t>
      </w:r>
    </w:p>
    <w:p w14:paraId="57CDF2BC">
      <w:pPr>
        <w:numPr>
          <w:ilvl w:val="0"/>
          <w:numId w:val="22"/>
        </w:numPr>
        <w:ind w:left="0" w:firstLine="480" w:firstLineChars="200"/>
        <w:rPr>
          <w:rFonts w:hint="eastAsia" w:ascii="宋体" w:hAnsi="宋体" w:cs="宋体"/>
          <w:b w:val="0"/>
          <w:bCs w:val="0"/>
          <w:sz w:val="24"/>
          <w:szCs w:val="24"/>
          <w:highlight w:val="none"/>
        </w:rPr>
      </w:pPr>
      <w:r>
        <w:rPr>
          <w:rFonts w:hint="eastAsia" w:ascii="宋体" w:hAnsi="宋体" w:eastAsia="宋体" w:cs="宋体"/>
          <w:b w:val="0"/>
          <w:bCs w:val="0"/>
          <w:color w:val="000000"/>
          <w:sz w:val="24"/>
          <w:szCs w:val="24"/>
          <w:highlight w:val="none"/>
          <w:lang w:bidi="ar"/>
        </w:rPr>
        <w:t>进样管温度：60~80℃。</w:t>
      </w:r>
    </w:p>
    <w:p w14:paraId="50B5E795">
      <w:pPr>
        <w:spacing w:after="0" w:line="360" w:lineRule="auto"/>
        <w:rPr>
          <w:rFonts w:hint="eastAsia" w:ascii="宋体" w:hAnsi="宋体" w:eastAsia="宋体" w:cs="宋体"/>
          <w:b w:val="0"/>
          <w:bCs w:val="0"/>
          <w:sz w:val="24"/>
          <w:szCs w:val="24"/>
          <w:highlight w:val="none"/>
          <w:lang w:val="en-US" w:eastAsia="zh-CN"/>
        </w:rPr>
      </w:pPr>
    </w:p>
    <w:p w14:paraId="1B3D40E7">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2.11.</w:t>
      </w:r>
      <w:r>
        <w:rPr>
          <w:rFonts w:hint="eastAsia" w:ascii="宋体" w:hAnsi="宋体" w:eastAsia="宋体" w:cs="宋体"/>
          <w:b w:val="0"/>
          <w:bCs w:val="0"/>
          <w:sz w:val="24"/>
          <w:szCs w:val="24"/>
          <w:highlight w:val="none"/>
        </w:rPr>
        <w:t>无机动态稀释仪</w:t>
      </w:r>
    </w:p>
    <w:p w14:paraId="04C62EE7">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稀释气流量范围：标配：0~10SLM；</w:t>
      </w:r>
    </w:p>
    <w:p w14:paraId="094A5E64">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标气流量范围：标配：0~100sccm；</w:t>
      </w:r>
    </w:p>
    <w:p w14:paraId="34206E46">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流量控制准确度：±1%F.S.；</w:t>
      </w:r>
    </w:p>
    <w:p w14:paraId="6DBBC499">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流量线性：±（0.5~1）%F.S.；</w:t>
      </w:r>
    </w:p>
    <w:p w14:paraId="76FF11F1">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流量控制重复性：±0.2%F.S.；</w:t>
      </w:r>
    </w:p>
    <w:p w14:paraId="6CA1A33D">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标气输入口：3个或以上；</w:t>
      </w:r>
    </w:p>
    <w:p w14:paraId="356B701C">
      <w:pPr>
        <w:pStyle w:val="29"/>
        <w:numPr>
          <w:ilvl w:val="0"/>
          <w:numId w:val="23"/>
        </w:numPr>
        <w:spacing w:line="360" w:lineRule="auto"/>
        <w:ind w:left="0" w:firstLine="420" w:firstLineChars="0"/>
        <w:rPr>
          <w:rFonts w:hint="eastAsia" w:ascii="宋体" w:hAnsi="宋体" w:cs="宋体"/>
          <w:b w:val="0"/>
          <w:bCs w:val="0"/>
          <w:sz w:val="24"/>
          <w:szCs w:val="24"/>
          <w:highlight w:val="none"/>
        </w:rPr>
      </w:pPr>
      <w:r>
        <w:rPr>
          <w:rFonts w:hint="eastAsia" w:ascii="宋体" w:hAnsi="宋体" w:cs="宋体"/>
          <w:b w:val="0"/>
          <w:bCs w:val="0"/>
          <w:sz w:val="24"/>
          <w:szCs w:val="24"/>
          <w:highlight w:val="none"/>
        </w:rPr>
        <w:t>稀释气输入口：1个。</w:t>
      </w:r>
    </w:p>
    <w:p w14:paraId="0F1B870D">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2.12.</w:t>
      </w:r>
      <w:r>
        <w:rPr>
          <w:rFonts w:hint="eastAsia" w:ascii="宋体" w:hAnsi="宋体" w:eastAsia="宋体" w:cs="宋体"/>
          <w:b w:val="0"/>
          <w:bCs w:val="0"/>
          <w:sz w:val="24"/>
          <w:szCs w:val="24"/>
          <w:highlight w:val="none"/>
        </w:rPr>
        <w:t>臭氧配气模块</w:t>
      </w:r>
    </w:p>
    <w:p w14:paraId="161B8A22">
      <w:pPr>
        <w:pStyle w:val="28"/>
        <w:numPr>
          <w:ilvl w:val="0"/>
          <w:numId w:val="24"/>
        </w:numPr>
        <w:adjustRightInd w:val="0"/>
        <w:snapToGrid w:val="0"/>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输出范围：0.1~6ppm（1SLM）；</w:t>
      </w:r>
    </w:p>
    <w:p w14:paraId="0BFCFF19">
      <w:pPr>
        <w:pStyle w:val="28"/>
        <w:numPr>
          <w:ilvl w:val="0"/>
          <w:numId w:val="24"/>
        </w:numPr>
        <w:adjustRightInd w:val="0"/>
        <w:snapToGrid w:val="0"/>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稳定性：﹤1%/24h（有光度计）；</w:t>
      </w:r>
    </w:p>
    <w:p w14:paraId="245E0CAB">
      <w:pPr>
        <w:pStyle w:val="28"/>
        <w:numPr>
          <w:ilvl w:val="0"/>
          <w:numId w:val="24"/>
        </w:numPr>
        <w:adjustRightInd w:val="0"/>
        <w:snapToGrid w:val="0"/>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线性度：﹤1%F.S.（有光度计）。</w:t>
      </w:r>
    </w:p>
    <w:p w14:paraId="67822DC0">
      <w:pPr>
        <w:rPr>
          <w:rFonts w:hint="eastAsia" w:ascii="宋体" w:hAnsi="宋体" w:eastAsia="宋体" w:cs="宋体"/>
          <w:b w:val="0"/>
          <w:bCs w:val="0"/>
          <w:sz w:val="24"/>
          <w:szCs w:val="24"/>
          <w:highlight w:val="none"/>
          <w:lang w:val="en-US" w:eastAsia="zh-CN"/>
        </w:rPr>
      </w:pPr>
    </w:p>
    <w:p w14:paraId="35AD7E90">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2.13.</w:t>
      </w:r>
      <w:r>
        <w:rPr>
          <w:rFonts w:hint="eastAsia" w:ascii="宋体" w:hAnsi="宋体" w:eastAsia="宋体" w:cs="宋体"/>
          <w:b w:val="0"/>
          <w:bCs w:val="0"/>
          <w:sz w:val="24"/>
          <w:szCs w:val="24"/>
          <w:highlight w:val="none"/>
        </w:rPr>
        <w:t>臭氧光度计</w:t>
      </w:r>
    </w:p>
    <w:p w14:paraId="63337AD1">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量程：（0～0.1）ppm，（0～10）ppm；</w:t>
      </w:r>
    </w:p>
    <w:p w14:paraId="11AB9D6C">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准确度：1.0ppb；</w:t>
      </w:r>
    </w:p>
    <w:p w14:paraId="002B4600">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线性度：1%F.S.；</w:t>
      </w:r>
    </w:p>
    <w:p w14:paraId="0FB8C763">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上升/下降时间：﹤20s；</w:t>
      </w:r>
    </w:p>
    <w:p w14:paraId="365FF6C0">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响应时间：180s（95%）；</w:t>
      </w:r>
    </w:p>
    <w:p w14:paraId="507493DD">
      <w:pPr>
        <w:pStyle w:val="28"/>
        <w:numPr>
          <w:ilvl w:val="0"/>
          <w:numId w:val="25"/>
        </w:numPr>
        <w:adjustRightInd w:val="0"/>
        <w:snapToGrid w:val="0"/>
        <w:ind w:firstLineChars="0"/>
        <w:rPr>
          <w:rFonts w:hint="eastAsia" w:ascii="宋体" w:hAnsi="宋体" w:cs="宋体"/>
          <w:b w:val="0"/>
          <w:bCs w:val="0"/>
          <w:sz w:val="24"/>
          <w:highlight w:val="none"/>
        </w:rPr>
      </w:pPr>
      <w:r>
        <w:rPr>
          <w:rFonts w:hint="eastAsia" w:ascii="宋体" w:hAnsi="宋体" w:cs="宋体"/>
          <w:b w:val="0"/>
          <w:bCs w:val="0"/>
          <w:sz w:val="24"/>
          <w:highlight w:val="none"/>
        </w:rPr>
        <w:t>零点漂移：&lt;1.0ppb/24h。</w:t>
      </w:r>
    </w:p>
    <w:p w14:paraId="5FD4DB74">
      <w:pPr>
        <w:spacing w:after="0" w:line="360" w:lineRule="auto"/>
        <w:rPr>
          <w:rFonts w:hint="eastAsia" w:ascii="宋体" w:hAnsi="宋体" w:eastAsia="宋体" w:cs="宋体"/>
          <w:b w:val="0"/>
          <w:bCs w:val="0"/>
          <w:sz w:val="24"/>
          <w:szCs w:val="24"/>
          <w:highlight w:val="none"/>
          <w:lang w:val="en-US" w:eastAsia="zh-CN"/>
        </w:rPr>
      </w:pPr>
    </w:p>
    <w:p w14:paraId="56C2361B">
      <w:pPr>
        <w:spacing w:after="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2.14.</w:t>
      </w:r>
      <w:r>
        <w:rPr>
          <w:rFonts w:hint="eastAsia" w:ascii="宋体" w:hAnsi="宋体" w:eastAsia="宋体" w:cs="宋体"/>
          <w:b w:val="0"/>
          <w:bCs w:val="0"/>
          <w:sz w:val="24"/>
          <w:szCs w:val="24"/>
          <w:highlight w:val="none"/>
        </w:rPr>
        <w:t>零气发生器</w:t>
      </w:r>
    </w:p>
    <w:p w14:paraId="7AB800EC">
      <w:pPr>
        <w:pStyle w:val="28"/>
        <w:numPr>
          <w:ilvl w:val="0"/>
          <w:numId w:val="26"/>
        </w:numPr>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输出零气流量：0-5000mL/min；</w:t>
      </w:r>
    </w:p>
    <w:p w14:paraId="43247ED2">
      <w:pPr>
        <w:pStyle w:val="28"/>
        <w:numPr>
          <w:ilvl w:val="0"/>
          <w:numId w:val="26"/>
        </w:numPr>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输出零气烃类含量：&lt;10ppb；</w:t>
      </w:r>
    </w:p>
    <w:p w14:paraId="2F359206">
      <w:pPr>
        <w:pStyle w:val="28"/>
        <w:numPr>
          <w:ilvl w:val="0"/>
          <w:numId w:val="26"/>
        </w:numPr>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输出零气压力：0.1-0.6MPa；</w:t>
      </w:r>
    </w:p>
    <w:p w14:paraId="651382F1">
      <w:pPr>
        <w:pStyle w:val="28"/>
        <w:numPr>
          <w:ilvl w:val="0"/>
          <w:numId w:val="26"/>
        </w:numPr>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输出零气露点：&lt;-20℃；</w:t>
      </w:r>
    </w:p>
    <w:p w14:paraId="1EFA4821">
      <w:pPr>
        <w:pStyle w:val="28"/>
        <w:numPr>
          <w:ilvl w:val="0"/>
          <w:numId w:val="26"/>
        </w:numPr>
        <w:ind w:left="0" w:firstLine="420" w:firstLineChars="0"/>
        <w:rPr>
          <w:rFonts w:hint="eastAsia" w:ascii="宋体" w:hAnsi="宋体" w:cs="宋体"/>
          <w:b w:val="0"/>
          <w:bCs w:val="0"/>
          <w:sz w:val="24"/>
          <w:highlight w:val="none"/>
        </w:rPr>
      </w:pPr>
      <w:r>
        <w:rPr>
          <w:rFonts w:hint="eastAsia" w:ascii="宋体" w:hAnsi="宋体" w:cs="宋体"/>
          <w:b w:val="0"/>
          <w:bCs w:val="0"/>
          <w:sz w:val="24"/>
          <w:highlight w:val="none"/>
        </w:rPr>
        <w:t>输出零气颗粒：&lt;0.01μm；</w:t>
      </w:r>
    </w:p>
    <w:p w14:paraId="0BA0089B">
      <w:pPr>
        <w:pStyle w:val="28"/>
        <w:numPr>
          <w:ilvl w:val="0"/>
          <w:numId w:val="26"/>
        </w:numPr>
        <w:ind w:left="0" w:firstLine="420" w:firstLineChars="0"/>
        <w:rPr>
          <w:rFonts w:hint="eastAsia" w:ascii="宋体" w:hAnsi="宋体" w:eastAsia="宋体" w:cs="宋体"/>
          <w:b w:val="0"/>
          <w:bCs w:val="0"/>
          <w:sz w:val="24"/>
          <w:highlight w:val="none"/>
        </w:rPr>
      </w:pPr>
      <w:r>
        <w:rPr>
          <w:rFonts w:hint="eastAsia" w:ascii="宋体" w:hAnsi="宋体" w:cs="宋体"/>
          <w:b w:val="0"/>
          <w:bCs w:val="0"/>
          <w:sz w:val="24"/>
          <w:highlight w:val="none"/>
        </w:rPr>
        <w:t>工作条件：环境温度1－40℃，湿度&lt;80%。</w:t>
      </w:r>
    </w:p>
    <w:p w14:paraId="328DECE5">
      <w:pPr>
        <w:pStyle w:val="28"/>
        <w:numPr>
          <w:ilvl w:val="-1"/>
          <w:numId w:val="0"/>
        </w:numPr>
        <w:ind w:left="0" w:firstLine="0" w:firstLineChars="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二、环境应急监测车技术要求：</w:t>
      </w:r>
    </w:p>
    <w:p w14:paraId="26BD2FF9">
      <w:pPr>
        <w:numPr>
          <w:ilvl w:val="0"/>
          <w:numId w:val="27"/>
        </w:numPr>
        <w:spacing w:line="360" w:lineRule="auto"/>
        <w:rPr>
          <w:b w:val="0"/>
          <w:bCs w:val="0"/>
          <w:szCs w:val="21"/>
          <w:highlight w:val="none"/>
        </w:rPr>
      </w:pPr>
      <w:r>
        <w:rPr>
          <w:rFonts w:hint="eastAsia"/>
          <w:b w:val="0"/>
          <w:bCs w:val="0"/>
          <w:szCs w:val="21"/>
          <w:highlight w:val="none"/>
        </w:rPr>
        <w:t>总体要求</w:t>
      </w:r>
    </w:p>
    <w:p w14:paraId="1B597A14">
      <w:pPr>
        <w:numPr>
          <w:ilvl w:val="1"/>
          <w:numId w:val="28"/>
        </w:numPr>
        <w:spacing w:line="360" w:lineRule="auto"/>
        <w:ind w:firstLine="315" w:firstLineChars="150"/>
        <w:rPr>
          <w:rFonts w:hint="eastAsia"/>
          <w:b w:val="0"/>
          <w:bCs w:val="0"/>
          <w:szCs w:val="21"/>
          <w:highlight w:val="none"/>
        </w:rPr>
      </w:pPr>
      <w:r>
        <w:rPr>
          <w:rFonts w:hint="eastAsia"/>
          <w:b w:val="0"/>
          <w:bCs w:val="0"/>
          <w:szCs w:val="21"/>
          <w:highlight w:val="none"/>
        </w:rPr>
        <w:t xml:space="preserve"> </w:t>
      </w:r>
      <w:bookmarkStart w:id="216" w:name="OLE_LINK2"/>
      <w:bookmarkStart w:id="217" w:name="OLE_LINK1"/>
      <w:r>
        <w:rPr>
          <w:rFonts w:hint="eastAsia"/>
          <w:b w:val="0"/>
          <w:bCs w:val="0"/>
          <w:szCs w:val="21"/>
          <w:highlight w:val="none"/>
        </w:rPr>
        <w:t>车载电感耦合等离子体质谱仪</w:t>
      </w:r>
      <w:bookmarkEnd w:id="216"/>
      <w:bookmarkEnd w:id="217"/>
      <w:r>
        <w:rPr>
          <w:rFonts w:hint="eastAsia"/>
          <w:b w:val="0"/>
          <w:bCs w:val="0"/>
          <w:szCs w:val="21"/>
          <w:highlight w:val="none"/>
        </w:rPr>
        <w:t>可满足车载移动使用要求，可实现地表水、地下水、海水、污水、土壤中重金属元素的现场快速、准确监测功能。</w:t>
      </w:r>
    </w:p>
    <w:p w14:paraId="0E4BEFB8">
      <w:pPr>
        <w:numPr>
          <w:ilvl w:val="-1"/>
          <w:numId w:val="0"/>
        </w:numPr>
        <w:spacing w:line="360" w:lineRule="auto"/>
        <w:ind w:leftChars="150" w:firstLine="0" w:firstLineChars="0"/>
        <w:rPr>
          <w:rFonts w:hint="eastAsia"/>
          <w:b w:val="0"/>
          <w:bCs w:val="0"/>
          <w:szCs w:val="21"/>
          <w:highlight w:val="none"/>
        </w:rPr>
      </w:pPr>
      <w:r>
        <w:rPr>
          <w:rFonts w:hint="eastAsia"/>
          <w:b w:val="0"/>
          <w:bCs w:val="0"/>
          <w:szCs w:val="21"/>
          <w:highlight w:val="none"/>
        </w:rPr>
        <w:t>1.2 分体式循环冷却水机，实现优良的散热设计。</w:t>
      </w:r>
    </w:p>
    <w:p w14:paraId="7393DB60">
      <w:pPr>
        <w:spacing w:line="360" w:lineRule="auto"/>
        <w:ind w:firstLine="315" w:firstLineChars="150"/>
        <w:rPr>
          <w:rFonts w:hint="eastAsia"/>
          <w:b w:val="0"/>
          <w:bCs w:val="0"/>
          <w:szCs w:val="21"/>
          <w:highlight w:val="none"/>
        </w:rPr>
      </w:pPr>
      <w:r>
        <w:rPr>
          <w:rFonts w:hint="eastAsia"/>
          <w:b w:val="0"/>
          <w:bCs w:val="0"/>
          <w:szCs w:val="21"/>
          <w:highlight w:val="none"/>
        </w:rPr>
        <w:t>1.3具有车载行进过程中的真空保持能力，提供详细设计方案。</w:t>
      </w:r>
    </w:p>
    <w:p w14:paraId="13BB3697">
      <w:pPr>
        <w:spacing w:line="360" w:lineRule="auto"/>
        <w:ind w:firstLine="315" w:firstLineChars="150"/>
        <w:rPr>
          <w:rFonts w:hint="eastAsia"/>
          <w:b w:val="0"/>
          <w:bCs w:val="0"/>
          <w:szCs w:val="21"/>
          <w:highlight w:val="none"/>
        </w:rPr>
      </w:pPr>
      <w:r>
        <w:rPr>
          <w:rFonts w:hint="eastAsia"/>
          <w:b w:val="0"/>
          <w:bCs w:val="0"/>
          <w:szCs w:val="21"/>
          <w:highlight w:val="none"/>
        </w:rPr>
        <w:t>1.4 模块化设计和方便与成熟的上下车设计，实现平战结合。</w:t>
      </w:r>
    </w:p>
    <w:p w14:paraId="0F06D53A">
      <w:pPr>
        <w:spacing w:line="360" w:lineRule="auto"/>
        <w:ind w:firstLine="315" w:firstLineChars="150"/>
        <w:rPr>
          <w:rFonts w:hint="eastAsia"/>
          <w:b w:val="0"/>
          <w:bCs w:val="0"/>
          <w:szCs w:val="21"/>
          <w:highlight w:val="none"/>
        </w:rPr>
      </w:pPr>
      <w:r>
        <w:rPr>
          <w:rFonts w:hint="eastAsia"/>
          <w:b w:val="0"/>
          <w:bCs w:val="0"/>
          <w:szCs w:val="21"/>
          <w:highlight w:val="none"/>
        </w:rPr>
        <w:t>1.5 提供多种供电模式方案，具有大型发电机工作情况下的非离车验证的成熟案例。</w:t>
      </w:r>
    </w:p>
    <w:p w14:paraId="5EEBE7AE">
      <w:pPr>
        <w:spacing w:line="360" w:lineRule="auto"/>
        <w:ind w:firstLine="315" w:firstLineChars="150"/>
        <w:rPr>
          <w:rFonts w:hint="eastAsia"/>
          <w:b w:val="0"/>
          <w:bCs w:val="0"/>
          <w:szCs w:val="21"/>
          <w:highlight w:val="none"/>
        </w:rPr>
      </w:pPr>
      <w:r>
        <w:rPr>
          <w:rFonts w:hint="eastAsia"/>
          <w:b w:val="0"/>
          <w:bCs w:val="0"/>
          <w:szCs w:val="21"/>
          <w:highlight w:val="none"/>
        </w:rPr>
        <w:t>1.6 具有车载ICP-MS和载具的应急事故和重大保障经验</w:t>
      </w:r>
    </w:p>
    <w:p w14:paraId="790223BF">
      <w:pPr>
        <w:numPr>
          <w:ilvl w:val="0"/>
          <w:numId w:val="27"/>
        </w:numPr>
        <w:spacing w:line="360" w:lineRule="auto"/>
        <w:rPr>
          <w:rFonts w:hint="eastAsia"/>
          <w:b w:val="0"/>
          <w:bCs w:val="0"/>
          <w:szCs w:val="21"/>
          <w:highlight w:val="none"/>
        </w:rPr>
      </w:pPr>
      <w:r>
        <w:rPr>
          <w:b w:val="0"/>
          <w:bCs w:val="0"/>
          <w:szCs w:val="21"/>
          <w:highlight w:val="none"/>
        </w:rPr>
        <w:t>ICP-MS</w:t>
      </w:r>
      <w:r>
        <w:rPr>
          <w:rFonts w:hint="eastAsia"/>
          <w:b w:val="0"/>
          <w:bCs w:val="0"/>
          <w:szCs w:val="21"/>
          <w:highlight w:val="none"/>
        </w:rPr>
        <w:t>主机技术要求</w:t>
      </w:r>
    </w:p>
    <w:p w14:paraId="78DD3626">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 离子源：</w:t>
      </w:r>
    </w:p>
    <w:p w14:paraId="737884CC">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  自激式全固态ICP离子源，频率为27.12 MHz，功率范围为700-1600W，功率稳定性&lt; ±0.1%，频率稳定性&lt; ±0.01%。射频线圈使用水冷技术；无需匹配箱，毫秒级快速变频匹配等离子体负载变化，不易熄火。</w:t>
      </w:r>
    </w:p>
    <w:p w14:paraId="5EFBD802">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2.1.2   平衡式驱动，减少离子动能色散，降低二次离子产生，无需屏蔽圈等额外的昂贵消耗品，就可消除锥口二次电弧放电，延长锥使用寿命。</w:t>
      </w:r>
    </w:p>
    <w:p w14:paraId="6A46E96E">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2.1.3  提供500W超低功率待机，降低氩气消耗50%以上，氩气用量仅为5L/min。</w:t>
      </w:r>
    </w:p>
    <w:p w14:paraId="06709734">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2.2 接口：锥材质为镍、铂材质可选。铂锥抗腐蚀性强，可应对分析含磷酸等高腐蚀基体的样品。可灵活配置高灵敏度或耐高盐截取锥，耐高盐截取锥保证长期分析高盐样品的稳定性，高灵敏度截取锥可保证满足不同类型样品高通量分析等应用需求。提手式换锥系统，自带联锁保护，杜绝异常操作。简便的换锥维护，无需泄真空就可以方便换锥维护。</w:t>
      </w:r>
    </w:p>
    <w:p w14:paraId="108CD08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2.3   提取透镜：提取透镜上可以使用零电压、负电压和正电压等多种提取模式，独特的设计，免维护清洗。</w:t>
      </w:r>
    </w:p>
    <w:p w14:paraId="17013F99">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2.4   离子传输系统：低背景的离子传输设计，离子前后两次离轴，实现干扰粒子的有效消除（中性粒子、电子、光子），无需更换清洗离子透镜。</w:t>
      </w:r>
    </w:p>
    <w:p w14:paraId="7C00BCD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2.5 碰撞反应池：采用全新的六极杆碰撞/反应池系统，分布式进气系统最大限度消除干扰，大大提高碰撞效率，提升灵敏度。</w:t>
      </w:r>
    </w:p>
    <w:p w14:paraId="755E44F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2.6  四级杆质量分析器：高精度纯Mo材料四极杆，保证最佳的质量轴稳定性，采用2.0MHz低频驱动四极杆，以获得更宽的质谱分析范围和更优异的质量轴稳定性。</w:t>
      </w:r>
    </w:p>
    <w:p w14:paraId="0A9C1D6C">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2.7  检测器：脉冲/模拟双模式不连续打拿极检测器，可以在一次进样过程中同时完成扫描和选择分析（定性和定量分析），并可在模拟和脉冲模式之间实现自动切换。</w:t>
      </w:r>
    </w:p>
    <w:p w14:paraId="1EF482F4">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2.8  等离子体可视系统：具有带电磁屏蔽的等离子体实时观测功能，可以通过工作站软件实时监控等离子体状态，实时全彩监测等离子体、锥口和中心管状态，便于样品分析和维护确认。</w:t>
      </w:r>
    </w:p>
    <w:p w14:paraId="297BA5C2">
      <w:pPr>
        <w:adjustRightInd w:val="0"/>
        <w:snapToGrid w:val="0"/>
        <w:spacing w:line="360" w:lineRule="auto"/>
        <w:ind w:firstLine="420" w:firstLineChars="200"/>
        <w:rPr>
          <w:rFonts w:hint="eastAsia"/>
          <w:b w:val="0"/>
          <w:bCs w:val="0"/>
          <w:szCs w:val="21"/>
          <w:highlight w:val="none"/>
        </w:rPr>
      </w:pPr>
      <w:bookmarkStart w:id="218" w:name="OLE_LINK28"/>
      <w:bookmarkStart w:id="219" w:name="OLE_LINK27"/>
      <w:r>
        <w:rPr>
          <w:rFonts w:hint="eastAsia"/>
          <w:b w:val="0"/>
          <w:bCs w:val="0"/>
          <w:szCs w:val="21"/>
          <w:highlight w:val="none"/>
        </w:rPr>
        <w:t>2.9 进样系统要求：</w:t>
      </w:r>
      <w:bookmarkEnd w:id="218"/>
      <w:bookmarkEnd w:id="219"/>
    </w:p>
    <w:p w14:paraId="148B5BC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2.9.1   提供多种雾化器可选，包括标准高效石英同心雾化器；耐高盐同心雾化器；PFA微量进样雾化器，具有高雾化效率及可耐氢氟酸进样。</w:t>
      </w:r>
    </w:p>
    <w:p w14:paraId="179CF9DA">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2.9.2   小体积旋流型雾化室，死体积小，气溶胶雾化效率高，低记忆效应，标配TEC制冷模块，制冷温度&lt;10℃，提高仪器的连续工作稳定性和有机溶剂分析能力，降低氧化物产率，提升仪器的稳定性。</w:t>
      </w:r>
    </w:p>
    <w:p w14:paraId="6580BAF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2.9.3   分体设计的可拆卸式石英炬管，预准直的炬管座内置式气路连接，易操作的卡式推入炬管设计，方便日常更换维护而无需拆卸气体管路。</w:t>
      </w:r>
    </w:p>
    <w:p w14:paraId="538F5F6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2.9.4   多种中心管可选，与炬管分离式设计，针对不同应用仅需更换中心管即可实现有机、高盐、高灵敏、耐HF酸等不同进样需求，方便更换与维护。</w:t>
      </w:r>
    </w:p>
    <w:p w14:paraId="14A649C0">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2.9.5   高精度气体质量流量计标配控制四路工作气体，包括雾化气、辅助气、冷却气、碰撞气。根据需要可扩展第五路附加气，用做氩气在线稀释系统的稀释气。</w:t>
      </w:r>
    </w:p>
    <w:p w14:paraId="4BCDE831">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2.9.6 可配置全自动在线气体稀释装置，可在矩管之前把样品基体稀释到0.3%以内，保证接口区域与质谱区域不受高基体污染，消除高基体造成的信号抑制效果，具有预设稀释倍数和稀释气体流量手动调节两种工作模式。传统ICP-MS耐盐~0.2%，氩气稀释后可实现&gt;10%含盐量的直接测定。</w:t>
      </w:r>
    </w:p>
    <w:p w14:paraId="55210A7C">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 软件要求：</w:t>
      </w:r>
      <w:r>
        <w:rPr>
          <w:rFonts w:hint="eastAsia"/>
          <w:b w:val="0"/>
          <w:bCs w:val="0"/>
          <w:szCs w:val="21"/>
          <w:highlight w:val="none"/>
        </w:rPr>
        <w:tab/>
      </w:r>
    </w:p>
    <w:p w14:paraId="582CAA61">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2.10.1  操作系统：知名品牌商用电脑，多任务、多用户系统软件。</w:t>
      </w:r>
    </w:p>
    <w:p w14:paraId="3FC39852">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2.10.2  自动化分析功能（仪器形象化界面、自动调谐、自动诊断、定制化用户报告、启动关闭真空，炬位调整，等离子体参数\离子透镜电压优化，标准\碰撞池工作模式切换等）。</w:t>
      </w:r>
    </w:p>
    <w:p w14:paraId="466CC596">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2.10.3  实时数据显示和实时报告显示。</w:t>
      </w:r>
    </w:p>
    <w:p w14:paraId="79939F72">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2.10.4  其他智能化功能包括：动态调整进样时间和冲洗时间，用户方法库管理，QC 功能可以满足EPA方法的QC要求。</w:t>
      </w:r>
    </w:p>
    <w:p w14:paraId="381DF03B">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2.10.5  ICP-MS操作软件还可以安装于个人计算机上，样品分析数据可以使用此软件进行离线数据处理并生成报告。</w:t>
      </w:r>
    </w:p>
    <w:p w14:paraId="674698F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2.10.6 可配置 HPLC-ICP-MS接口：可以用同一台电脑和同一套软件同时控制现有HPLC和ICP-MS，实现联机全自动同步分析的系统，包括实时显示，实时数据分析，谱图叠加、保留时间、峰积分、工作曲线，自动进样分析等功能。</w:t>
      </w:r>
    </w:p>
    <w:p w14:paraId="2F0CE076">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    性能要求：</w:t>
      </w:r>
    </w:p>
    <w:p w14:paraId="3654D90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2.11.1  质量范围：4－260 amu。</w:t>
      </w:r>
    </w:p>
    <w:p w14:paraId="19E879A0">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2.11.2   质量分辨率：具有高分辨和标准分辨率两种模式，调节范围0.1-2.0amu。连续可调，可以在一次方法分析过程中同时使用两种模式，以便通过变化分辨率扩大样品分析应用范围。</w:t>
      </w:r>
    </w:p>
    <w:p w14:paraId="5EA87FCD">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2.11.3   线性动态范围：大于 9个数量级。</w:t>
      </w:r>
    </w:p>
    <w:p w14:paraId="4B96EEE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2.11.4   背景稳定性： 定义为220amu处背景信号的平均值，低于0.5cps。</w:t>
      </w:r>
    </w:p>
    <w:p w14:paraId="1A92723F">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2.11.5   短期稳定性：20分钟稳定性RSD均&lt;2%</w:t>
      </w:r>
    </w:p>
    <w:p w14:paraId="6FEC85B0">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 xml:space="preserve">2.11.6   长期稳定性：2小时稳定性RSD均&lt;3% </w:t>
      </w:r>
    </w:p>
    <w:p w14:paraId="3C9B706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2.11.7   灵敏度：在同样一个仪器条件下， Li的灵敏度应在15 Mcps/ppm 以上，In的灵敏度应在80 Mcps/ppm 以上， U的灵敏度应在100 Mcps/ppm 以上。</w:t>
      </w:r>
    </w:p>
    <w:p w14:paraId="0572DA88">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2.11.8   双电荷离子和氧化物离子: Ba++/Ba+低于3％，CeO+/Ce+的低于3％。</w:t>
      </w:r>
    </w:p>
    <w:p w14:paraId="1F9CC26D">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2.11.9   检出限： Li的检出限应低于5ppt, In的检出限应低于0.5ppt, U的检出限应低于0.5ppt。</w:t>
      </w:r>
    </w:p>
    <w:p w14:paraId="12F51DE0">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2.11.10  丰度灵敏度：低质量端: 1 x 10-6；高质量端: 5 x 10-7。</w:t>
      </w:r>
    </w:p>
    <w:p w14:paraId="7D85C10A">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2.11.11   质量轴稳定性: &lt; 0.05 amu/24h。</w:t>
      </w:r>
    </w:p>
    <w:p w14:paraId="365DC2EC">
      <w:pPr>
        <w:adjustRightInd w:val="0"/>
        <w:snapToGrid w:val="0"/>
        <w:spacing w:line="360" w:lineRule="auto"/>
        <w:ind w:firstLine="420" w:firstLineChars="200"/>
        <w:rPr>
          <w:rFonts w:hint="eastAsia"/>
          <w:b w:val="0"/>
          <w:bCs w:val="0"/>
          <w:szCs w:val="21"/>
          <w:highlight w:val="none"/>
        </w:rPr>
      </w:pPr>
      <w:r>
        <w:rPr>
          <w:rFonts w:hint="eastAsia"/>
          <w:b w:val="0"/>
          <w:bCs w:val="0"/>
          <w:szCs w:val="21"/>
          <w:highlight w:val="none"/>
        </w:rPr>
        <w:t>2.11.12 同位素比精密度: &lt; 0.2%（</w:t>
      </w:r>
      <w:r>
        <w:rPr>
          <w:b w:val="0"/>
          <w:bCs w:val="0"/>
          <w:szCs w:val="21"/>
          <w:highlight w:val="none"/>
          <w:vertAlign w:val="superscript"/>
        </w:rPr>
        <w:t>235</w:t>
      </w:r>
      <w:r>
        <w:rPr>
          <w:b w:val="0"/>
          <w:bCs w:val="0"/>
          <w:szCs w:val="21"/>
          <w:highlight w:val="none"/>
        </w:rPr>
        <w:t>U/</w:t>
      </w:r>
      <w:r>
        <w:rPr>
          <w:b w:val="0"/>
          <w:bCs w:val="0"/>
          <w:szCs w:val="21"/>
          <w:highlight w:val="none"/>
          <w:vertAlign w:val="superscript"/>
        </w:rPr>
        <w:t>238</w:t>
      </w:r>
      <w:r>
        <w:rPr>
          <w:b w:val="0"/>
          <w:bCs w:val="0"/>
          <w:szCs w:val="21"/>
          <w:highlight w:val="none"/>
        </w:rPr>
        <w:t>U</w:t>
      </w:r>
      <w:r>
        <w:rPr>
          <w:rFonts w:hint="eastAsia"/>
          <w:b w:val="0"/>
          <w:bCs w:val="0"/>
          <w:szCs w:val="21"/>
          <w:highlight w:val="none"/>
        </w:rPr>
        <w:t>）。</w:t>
      </w:r>
    </w:p>
    <w:p w14:paraId="47017433">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3.1检出限：</w:t>
      </w:r>
    </w:p>
    <w:tbl>
      <w:tblPr>
        <w:tblStyle w:val="1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92"/>
        <w:gridCol w:w="802"/>
        <w:gridCol w:w="1890"/>
        <w:gridCol w:w="803"/>
        <w:gridCol w:w="1889"/>
      </w:tblGrid>
      <w:tr w14:paraId="528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15533D6F">
            <w:pPr>
              <w:adjustRightInd w:val="0"/>
              <w:snapToGrid w:val="0"/>
              <w:spacing w:line="360" w:lineRule="auto"/>
              <w:rPr>
                <w:rFonts w:hint="eastAsia"/>
                <w:b w:val="0"/>
                <w:bCs w:val="0"/>
                <w:szCs w:val="21"/>
                <w:highlight w:val="none"/>
              </w:rPr>
            </w:pPr>
            <w:r>
              <w:rPr>
                <w:rFonts w:hint="eastAsia"/>
                <w:b w:val="0"/>
                <w:bCs w:val="0"/>
                <w:szCs w:val="21"/>
                <w:highlight w:val="none"/>
              </w:rPr>
              <w:t>指标</w:t>
            </w:r>
          </w:p>
        </w:tc>
        <w:tc>
          <w:tcPr>
            <w:tcW w:w="1892" w:type="dxa"/>
            <w:shd w:val="clear" w:color="auto" w:fill="auto"/>
            <w:noWrap w:val="0"/>
            <w:vAlign w:val="top"/>
          </w:tcPr>
          <w:p w14:paraId="093EE3E9">
            <w:pPr>
              <w:adjustRightInd w:val="0"/>
              <w:snapToGrid w:val="0"/>
              <w:spacing w:line="360" w:lineRule="auto"/>
              <w:rPr>
                <w:rFonts w:hint="eastAsia"/>
                <w:b w:val="0"/>
                <w:bCs w:val="0"/>
                <w:szCs w:val="21"/>
                <w:highlight w:val="none"/>
              </w:rPr>
            </w:pPr>
            <w:r>
              <w:rPr>
                <w:rFonts w:hint="eastAsia"/>
                <w:b w:val="0"/>
                <w:bCs w:val="0"/>
                <w:szCs w:val="21"/>
                <w:highlight w:val="none"/>
              </w:rPr>
              <w:t>检出限</w:t>
            </w:r>
          </w:p>
        </w:tc>
        <w:tc>
          <w:tcPr>
            <w:tcW w:w="802" w:type="dxa"/>
            <w:shd w:val="clear" w:color="auto" w:fill="auto"/>
            <w:noWrap w:val="0"/>
            <w:vAlign w:val="top"/>
          </w:tcPr>
          <w:p w14:paraId="64840A4A">
            <w:pPr>
              <w:adjustRightInd w:val="0"/>
              <w:snapToGrid w:val="0"/>
              <w:spacing w:line="360" w:lineRule="auto"/>
              <w:rPr>
                <w:rFonts w:hint="eastAsia"/>
                <w:b w:val="0"/>
                <w:bCs w:val="0"/>
                <w:szCs w:val="21"/>
                <w:highlight w:val="none"/>
              </w:rPr>
            </w:pPr>
            <w:r>
              <w:rPr>
                <w:rFonts w:hint="eastAsia"/>
                <w:b w:val="0"/>
                <w:bCs w:val="0"/>
                <w:szCs w:val="21"/>
                <w:highlight w:val="none"/>
              </w:rPr>
              <w:t>指标</w:t>
            </w:r>
          </w:p>
        </w:tc>
        <w:tc>
          <w:tcPr>
            <w:tcW w:w="1890" w:type="dxa"/>
            <w:shd w:val="clear" w:color="auto" w:fill="auto"/>
            <w:noWrap w:val="0"/>
            <w:vAlign w:val="top"/>
          </w:tcPr>
          <w:p w14:paraId="73E9E3DB">
            <w:pPr>
              <w:adjustRightInd w:val="0"/>
              <w:snapToGrid w:val="0"/>
              <w:spacing w:line="360" w:lineRule="auto"/>
              <w:rPr>
                <w:rFonts w:hint="eastAsia"/>
                <w:b w:val="0"/>
                <w:bCs w:val="0"/>
                <w:szCs w:val="21"/>
                <w:highlight w:val="none"/>
              </w:rPr>
            </w:pPr>
            <w:r>
              <w:rPr>
                <w:rFonts w:hint="eastAsia"/>
                <w:b w:val="0"/>
                <w:bCs w:val="0"/>
                <w:szCs w:val="21"/>
                <w:highlight w:val="none"/>
              </w:rPr>
              <w:t>检出限</w:t>
            </w:r>
          </w:p>
        </w:tc>
        <w:tc>
          <w:tcPr>
            <w:tcW w:w="803" w:type="dxa"/>
            <w:shd w:val="clear" w:color="auto" w:fill="auto"/>
            <w:noWrap w:val="0"/>
            <w:vAlign w:val="top"/>
          </w:tcPr>
          <w:p w14:paraId="568D74D5">
            <w:pPr>
              <w:adjustRightInd w:val="0"/>
              <w:snapToGrid w:val="0"/>
              <w:spacing w:line="360" w:lineRule="auto"/>
              <w:rPr>
                <w:rFonts w:hint="eastAsia"/>
                <w:b w:val="0"/>
                <w:bCs w:val="0"/>
                <w:szCs w:val="21"/>
                <w:highlight w:val="none"/>
              </w:rPr>
            </w:pPr>
            <w:r>
              <w:rPr>
                <w:rFonts w:hint="eastAsia"/>
                <w:b w:val="0"/>
                <w:bCs w:val="0"/>
                <w:szCs w:val="21"/>
                <w:highlight w:val="none"/>
              </w:rPr>
              <w:t>指标</w:t>
            </w:r>
          </w:p>
        </w:tc>
        <w:tc>
          <w:tcPr>
            <w:tcW w:w="1889" w:type="dxa"/>
            <w:shd w:val="clear" w:color="auto" w:fill="auto"/>
            <w:noWrap w:val="0"/>
            <w:vAlign w:val="top"/>
          </w:tcPr>
          <w:p w14:paraId="1EED602A">
            <w:pPr>
              <w:adjustRightInd w:val="0"/>
              <w:snapToGrid w:val="0"/>
              <w:spacing w:line="360" w:lineRule="auto"/>
              <w:rPr>
                <w:rFonts w:hint="eastAsia"/>
                <w:b w:val="0"/>
                <w:bCs w:val="0"/>
                <w:szCs w:val="21"/>
                <w:highlight w:val="none"/>
              </w:rPr>
            </w:pPr>
            <w:r>
              <w:rPr>
                <w:rFonts w:hint="eastAsia"/>
                <w:b w:val="0"/>
                <w:bCs w:val="0"/>
                <w:szCs w:val="21"/>
                <w:highlight w:val="none"/>
              </w:rPr>
              <w:t>检出限</w:t>
            </w:r>
          </w:p>
        </w:tc>
      </w:tr>
      <w:tr w14:paraId="6D1D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3A8B9262">
            <w:pPr>
              <w:adjustRightInd w:val="0"/>
              <w:snapToGrid w:val="0"/>
              <w:spacing w:line="360" w:lineRule="auto"/>
              <w:rPr>
                <w:rFonts w:hint="eastAsia"/>
                <w:b w:val="0"/>
                <w:bCs w:val="0"/>
                <w:szCs w:val="21"/>
                <w:highlight w:val="none"/>
              </w:rPr>
            </w:pPr>
            <w:r>
              <w:rPr>
                <w:b w:val="0"/>
                <w:bCs w:val="0"/>
                <w:szCs w:val="21"/>
                <w:highlight w:val="none"/>
              </w:rPr>
              <w:t>Cu</w:t>
            </w:r>
          </w:p>
        </w:tc>
        <w:tc>
          <w:tcPr>
            <w:tcW w:w="1892" w:type="dxa"/>
            <w:shd w:val="clear" w:color="auto" w:fill="auto"/>
            <w:noWrap w:val="0"/>
            <w:vAlign w:val="top"/>
          </w:tcPr>
          <w:p w14:paraId="57A3138C">
            <w:pPr>
              <w:adjustRightInd w:val="0"/>
              <w:snapToGrid w:val="0"/>
              <w:spacing w:line="360" w:lineRule="auto"/>
              <w:rPr>
                <w:rFonts w:hint="eastAsia"/>
                <w:b w:val="0"/>
                <w:bCs w:val="0"/>
                <w:szCs w:val="21"/>
                <w:highlight w:val="none"/>
              </w:rPr>
            </w:pPr>
            <w:r>
              <w:rPr>
                <w:rFonts w:hint="eastAsia"/>
                <w:b w:val="0"/>
                <w:bCs w:val="0"/>
                <w:szCs w:val="21"/>
                <w:highlight w:val="none"/>
              </w:rPr>
              <w:t>≤ 0.08ug/L</w:t>
            </w:r>
          </w:p>
        </w:tc>
        <w:tc>
          <w:tcPr>
            <w:tcW w:w="802" w:type="dxa"/>
            <w:shd w:val="clear" w:color="auto" w:fill="auto"/>
            <w:noWrap w:val="0"/>
            <w:vAlign w:val="top"/>
          </w:tcPr>
          <w:p w14:paraId="65104ACB">
            <w:pPr>
              <w:adjustRightInd w:val="0"/>
              <w:snapToGrid w:val="0"/>
              <w:spacing w:line="360" w:lineRule="auto"/>
              <w:rPr>
                <w:rFonts w:hint="eastAsia"/>
                <w:b w:val="0"/>
                <w:bCs w:val="0"/>
                <w:szCs w:val="21"/>
                <w:highlight w:val="none"/>
              </w:rPr>
            </w:pPr>
            <w:r>
              <w:rPr>
                <w:b w:val="0"/>
                <w:bCs w:val="0"/>
                <w:szCs w:val="21"/>
                <w:highlight w:val="none"/>
              </w:rPr>
              <w:t>Zn</w:t>
            </w:r>
          </w:p>
        </w:tc>
        <w:tc>
          <w:tcPr>
            <w:tcW w:w="1890" w:type="dxa"/>
            <w:shd w:val="clear" w:color="auto" w:fill="auto"/>
            <w:noWrap w:val="0"/>
            <w:vAlign w:val="top"/>
          </w:tcPr>
          <w:p w14:paraId="0EAA589A">
            <w:pPr>
              <w:adjustRightInd w:val="0"/>
              <w:snapToGrid w:val="0"/>
              <w:spacing w:line="360" w:lineRule="auto"/>
              <w:rPr>
                <w:rFonts w:hint="eastAsia"/>
                <w:b w:val="0"/>
                <w:bCs w:val="0"/>
                <w:szCs w:val="21"/>
                <w:highlight w:val="none"/>
              </w:rPr>
            </w:pPr>
            <w:r>
              <w:rPr>
                <w:rFonts w:hint="eastAsia"/>
                <w:b w:val="0"/>
                <w:bCs w:val="0"/>
                <w:szCs w:val="21"/>
                <w:highlight w:val="none"/>
              </w:rPr>
              <w:t>≤ 0.67 ug/L</w:t>
            </w:r>
          </w:p>
        </w:tc>
        <w:tc>
          <w:tcPr>
            <w:tcW w:w="803" w:type="dxa"/>
            <w:shd w:val="clear" w:color="auto" w:fill="auto"/>
            <w:noWrap w:val="0"/>
            <w:vAlign w:val="top"/>
          </w:tcPr>
          <w:p w14:paraId="4697527B">
            <w:pPr>
              <w:adjustRightInd w:val="0"/>
              <w:snapToGrid w:val="0"/>
              <w:spacing w:line="360" w:lineRule="auto"/>
              <w:rPr>
                <w:rFonts w:hint="eastAsia"/>
                <w:b w:val="0"/>
                <w:bCs w:val="0"/>
                <w:szCs w:val="21"/>
                <w:highlight w:val="none"/>
              </w:rPr>
            </w:pPr>
            <w:r>
              <w:rPr>
                <w:b w:val="0"/>
                <w:bCs w:val="0"/>
                <w:szCs w:val="21"/>
                <w:highlight w:val="none"/>
              </w:rPr>
              <w:t>Se</w:t>
            </w:r>
          </w:p>
        </w:tc>
        <w:tc>
          <w:tcPr>
            <w:tcW w:w="1889" w:type="dxa"/>
            <w:shd w:val="clear" w:color="auto" w:fill="auto"/>
            <w:noWrap w:val="0"/>
            <w:vAlign w:val="top"/>
          </w:tcPr>
          <w:p w14:paraId="4080E731">
            <w:pPr>
              <w:adjustRightInd w:val="0"/>
              <w:snapToGrid w:val="0"/>
              <w:spacing w:line="360" w:lineRule="auto"/>
              <w:rPr>
                <w:rFonts w:hint="eastAsia"/>
                <w:b w:val="0"/>
                <w:bCs w:val="0"/>
                <w:szCs w:val="21"/>
                <w:highlight w:val="none"/>
              </w:rPr>
            </w:pPr>
            <w:r>
              <w:rPr>
                <w:rFonts w:hint="eastAsia"/>
                <w:b w:val="0"/>
                <w:bCs w:val="0"/>
                <w:szCs w:val="21"/>
                <w:highlight w:val="none"/>
              </w:rPr>
              <w:t>≤ 0.41 ug/L</w:t>
            </w:r>
          </w:p>
        </w:tc>
      </w:tr>
      <w:tr w14:paraId="334D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35A2DDBD">
            <w:pPr>
              <w:adjustRightInd w:val="0"/>
              <w:snapToGrid w:val="0"/>
              <w:spacing w:line="360" w:lineRule="auto"/>
              <w:rPr>
                <w:rFonts w:hint="eastAsia"/>
                <w:b w:val="0"/>
                <w:bCs w:val="0"/>
                <w:szCs w:val="21"/>
                <w:highlight w:val="none"/>
              </w:rPr>
            </w:pPr>
            <w:r>
              <w:rPr>
                <w:rFonts w:hint="eastAsia"/>
                <w:b w:val="0"/>
                <w:bCs w:val="0"/>
                <w:szCs w:val="21"/>
                <w:highlight w:val="none"/>
              </w:rPr>
              <w:t>As</w:t>
            </w:r>
          </w:p>
        </w:tc>
        <w:tc>
          <w:tcPr>
            <w:tcW w:w="1892" w:type="dxa"/>
            <w:shd w:val="clear" w:color="auto" w:fill="auto"/>
            <w:noWrap w:val="0"/>
            <w:vAlign w:val="top"/>
          </w:tcPr>
          <w:p w14:paraId="13C646B0">
            <w:pPr>
              <w:adjustRightInd w:val="0"/>
              <w:snapToGrid w:val="0"/>
              <w:spacing w:line="360" w:lineRule="auto"/>
              <w:rPr>
                <w:rFonts w:hint="eastAsia"/>
                <w:b w:val="0"/>
                <w:bCs w:val="0"/>
                <w:szCs w:val="21"/>
                <w:highlight w:val="none"/>
              </w:rPr>
            </w:pPr>
            <w:r>
              <w:rPr>
                <w:rFonts w:hint="eastAsia"/>
                <w:b w:val="0"/>
                <w:bCs w:val="0"/>
                <w:szCs w:val="21"/>
                <w:highlight w:val="none"/>
              </w:rPr>
              <w:t>≤ 0.12 ug/L</w:t>
            </w:r>
          </w:p>
        </w:tc>
        <w:tc>
          <w:tcPr>
            <w:tcW w:w="802" w:type="dxa"/>
            <w:shd w:val="clear" w:color="auto" w:fill="auto"/>
            <w:noWrap w:val="0"/>
            <w:vAlign w:val="top"/>
          </w:tcPr>
          <w:p w14:paraId="79AF7790">
            <w:pPr>
              <w:adjustRightInd w:val="0"/>
              <w:snapToGrid w:val="0"/>
              <w:spacing w:line="360" w:lineRule="auto"/>
              <w:rPr>
                <w:rFonts w:hint="eastAsia"/>
                <w:b w:val="0"/>
                <w:bCs w:val="0"/>
                <w:szCs w:val="21"/>
                <w:highlight w:val="none"/>
              </w:rPr>
            </w:pPr>
            <w:r>
              <w:rPr>
                <w:rFonts w:hint="eastAsia"/>
                <w:b w:val="0"/>
                <w:bCs w:val="0"/>
                <w:szCs w:val="21"/>
                <w:highlight w:val="none"/>
              </w:rPr>
              <w:t>Hg</w:t>
            </w:r>
          </w:p>
        </w:tc>
        <w:tc>
          <w:tcPr>
            <w:tcW w:w="1890" w:type="dxa"/>
            <w:shd w:val="clear" w:color="auto" w:fill="auto"/>
            <w:noWrap w:val="0"/>
            <w:vAlign w:val="top"/>
          </w:tcPr>
          <w:p w14:paraId="69C3569F">
            <w:pPr>
              <w:adjustRightInd w:val="0"/>
              <w:snapToGrid w:val="0"/>
              <w:spacing w:line="360" w:lineRule="auto"/>
              <w:rPr>
                <w:rFonts w:hint="eastAsia"/>
                <w:b w:val="0"/>
                <w:bCs w:val="0"/>
                <w:szCs w:val="21"/>
                <w:highlight w:val="none"/>
              </w:rPr>
            </w:pPr>
            <w:r>
              <w:rPr>
                <w:rFonts w:hint="eastAsia"/>
                <w:b w:val="0"/>
                <w:bCs w:val="0"/>
                <w:szCs w:val="21"/>
                <w:highlight w:val="none"/>
              </w:rPr>
              <w:t>≤ 0.05 ug/L</w:t>
            </w:r>
          </w:p>
        </w:tc>
        <w:tc>
          <w:tcPr>
            <w:tcW w:w="803" w:type="dxa"/>
            <w:shd w:val="clear" w:color="auto" w:fill="auto"/>
            <w:noWrap w:val="0"/>
            <w:vAlign w:val="top"/>
          </w:tcPr>
          <w:p w14:paraId="7CCA0D6E">
            <w:pPr>
              <w:adjustRightInd w:val="0"/>
              <w:snapToGrid w:val="0"/>
              <w:spacing w:line="360" w:lineRule="auto"/>
              <w:rPr>
                <w:rFonts w:hint="eastAsia"/>
                <w:b w:val="0"/>
                <w:bCs w:val="0"/>
                <w:szCs w:val="21"/>
                <w:highlight w:val="none"/>
              </w:rPr>
            </w:pPr>
            <w:r>
              <w:rPr>
                <w:b w:val="0"/>
                <w:bCs w:val="0"/>
                <w:szCs w:val="21"/>
                <w:highlight w:val="none"/>
              </w:rPr>
              <w:t>Cd</w:t>
            </w:r>
          </w:p>
        </w:tc>
        <w:tc>
          <w:tcPr>
            <w:tcW w:w="1889" w:type="dxa"/>
            <w:shd w:val="clear" w:color="auto" w:fill="auto"/>
            <w:noWrap w:val="0"/>
            <w:vAlign w:val="top"/>
          </w:tcPr>
          <w:p w14:paraId="6081F938">
            <w:pPr>
              <w:adjustRightInd w:val="0"/>
              <w:snapToGrid w:val="0"/>
              <w:spacing w:line="360" w:lineRule="auto"/>
              <w:rPr>
                <w:rFonts w:hint="eastAsia"/>
                <w:b w:val="0"/>
                <w:bCs w:val="0"/>
                <w:szCs w:val="21"/>
                <w:highlight w:val="none"/>
              </w:rPr>
            </w:pPr>
            <w:r>
              <w:rPr>
                <w:rFonts w:hint="eastAsia"/>
                <w:b w:val="0"/>
                <w:bCs w:val="0"/>
                <w:szCs w:val="21"/>
                <w:highlight w:val="none"/>
              </w:rPr>
              <w:t>≤ 0.05ug/L</w:t>
            </w:r>
          </w:p>
        </w:tc>
      </w:tr>
      <w:tr w14:paraId="48A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39C30982">
            <w:pPr>
              <w:adjustRightInd w:val="0"/>
              <w:snapToGrid w:val="0"/>
              <w:spacing w:line="360" w:lineRule="auto"/>
              <w:rPr>
                <w:rFonts w:hint="eastAsia"/>
                <w:b w:val="0"/>
                <w:bCs w:val="0"/>
                <w:szCs w:val="21"/>
                <w:highlight w:val="none"/>
              </w:rPr>
            </w:pPr>
            <w:r>
              <w:rPr>
                <w:rFonts w:hint="eastAsia"/>
                <w:b w:val="0"/>
                <w:bCs w:val="0"/>
                <w:szCs w:val="21"/>
                <w:highlight w:val="none"/>
              </w:rPr>
              <w:t>Cr</w:t>
            </w:r>
          </w:p>
        </w:tc>
        <w:tc>
          <w:tcPr>
            <w:tcW w:w="1892" w:type="dxa"/>
            <w:shd w:val="clear" w:color="auto" w:fill="auto"/>
            <w:noWrap w:val="0"/>
            <w:vAlign w:val="top"/>
          </w:tcPr>
          <w:p w14:paraId="451F1CDA">
            <w:pPr>
              <w:adjustRightInd w:val="0"/>
              <w:snapToGrid w:val="0"/>
              <w:spacing w:line="360" w:lineRule="auto"/>
              <w:rPr>
                <w:rFonts w:hint="eastAsia"/>
                <w:b w:val="0"/>
                <w:bCs w:val="0"/>
                <w:szCs w:val="21"/>
                <w:highlight w:val="none"/>
              </w:rPr>
            </w:pPr>
            <w:r>
              <w:rPr>
                <w:rFonts w:hint="eastAsia"/>
                <w:b w:val="0"/>
                <w:bCs w:val="0"/>
                <w:szCs w:val="21"/>
                <w:highlight w:val="none"/>
              </w:rPr>
              <w:t>≤ 0.11ug/L</w:t>
            </w:r>
          </w:p>
        </w:tc>
        <w:tc>
          <w:tcPr>
            <w:tcW w:w="802" w:type="dxa"/>
            <w:shd w:val="clear" w:color="auto" w:fill="auto"/>
            <w:noWrap w:val="0"/>
            <w:vAlign w:val="top"/>
          </w:tcPr>
          <w:p w14:paraId="1A02BFB0">
            <w:pPr>
              <w:adjustRightInd w:val="0"/>
              <w:snapToGrid w:val="0"/>
              <w:spacing w:line="360" w:lineRule="auto"/>
              <w:rPr>
                <w:rFonts w:hint="eastAsia"/>
                <w:b w:val="0"/>
                <w:bCs w:val="0"/>
                <w:szCs w:val="21"/>
                <w:highlight w:val="none"/>
              </w:rPr>
            </w:pPr>
            <w:r>
              <w:rPr>
                <w:b w:val="0"/>
                <w:bCs w:val="0"/>
                <w:szCs w:val="21"/>
                <w:highlight w:val="none"/>
              </w:rPr>
              <w:t>Pb</w:t>
            </w:r>
          </w:p>
        </w:tc>
        <w:tc>
          <w:tcPr>
            <w:tcW w:w="1890" w:type="dxa"/>
            <w:shd w:val="clear" w:color="auto" w:fill="auto"/>
            <w:noWrap w:val="0"/>
            <w:vAlign w:val="top"/>
          </w:tcPr>
          <w:p w14:paraId="6E699EEB">
            <w:pPr>
              <w:adjustRightInd w:val="0"/>
              <w:snapToGrid w:val="0"/>
              <w:spacing w:line="360" w:lineRule="auto"/>
              <w:rPr>
                <w:rFonts w:hint="eastAsia"/>
                <w:b w:val="0"/>
                <w:bCs w:val="0"/>
                <w:szCs w:val="21"/>
                <w:highlight w:val="none"/>
              </w:rPr>
            </w:pPr>
            <w:r>
              <w:rPr>
                <w:rFonts w:hint="eastAsia"/>
                <w:b w:val="0"/>
                <w:bCs w:val="0"/>
                <w:szCs w:val="21"/>
                <w:highlight w:val="none"/>
              </w:rPr>
              <w:t>≤ 0.09ug/L</w:t>
            </w:r>
          </w:p>
        </w:tc>
        <w:tc>
          <w:tcPr>
            <w:tcW w:w="803" w:type="dxa"/>
            <w:shd w:val="clear" w:color="auto" w:fill="auto"/>
            <w:noWrap w:val="0"/>
            <w:vAlign w:val="top"/>
          </w:tcPr>
          <w:p w14:paraId="48769B71">
            <w:pPr>
              <w:adjustRightInd w:val="0"/>
              <w:snapToGrid w:val="0"/>
              <w:spacing w:line="360" w:lineRule="auto"/>
              <w:rPr>
                <w:rFonts w:hint="eastAsia"/>
                <w:b w:val="0"/>
                <w:bCs w:val="0"/>
                <w:szCs w:val="21"/>
                <w:highlight w:val="none"/>
              </w:rPr>
            </w:pPr>
            <w:r>
              <w:rPr>
                <w:b w:val="0"/>
                <w:bCs w:val="0"/>
                <w:szCs w:val="21"/>
                <w:highlight w:val="none"/>
              </w:rPr>
              <w:t>Fe</w:t>
            </w:r>
          </w:p>
        </w:tc>
        <w:tc>
          <w:tcPr>
            <w:tcW w:w="1889" w:type="dxa"/>
            <w:shd w:val="clear" w:color="auto" w:fill="auto"/>
            <w:noWrap w:val="0"/>
            <w:vAlign w:val="top"/>
          </w:tcPr>
          <w:p w14:paraId="4105CB05">
            <w:pPr>
              <w:adjustRightInd w:val="0"/>
              <w:snapToGrid w:val="0"/>
              <w:spacing w:line="360" w:lineRule="auto"/>
              <w:rPr>
                <w:rFonts w:hint="eastAsia"/>
                <w:b w:val="0"/>
                <w:bCs w:val="0"/>
                <w:szCs w:val="21"/>
                <w:highlight w:val="none"/>
              </w:rPr>
            </w:pPr>
            <w:r>
              <w:rPr>
                <w:rFonts w:hint="eastAsia"/>
                <w:b w:val="0"/>
                <w:bCs w:val="0"/>
                <w:szCs w:val="21"/>
                <w:highlight w:val="none"/>
              </w:rPr>
              <w:t>≤ 0.82ug/L</w:t>
            </w:r>
          </w:p>
        </w:tc>
      </w:tr>
      <w:tr w14:paraId="5AD7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1E349F67">
            <w:pPr>
              <w:adjustRightInd w:val="0"/>
              <w:snapToGrid w:val="0"/>
              <w:spacing w:line="360" w:lineRule="auto"/>
              <w:rPr>
                <w:rFonts w:hint="eastAsia"/>
                <w:b w:val="0"/>
                <w:bCs w:val="0"/>
                <w:szCs w:val="21"/>
                <w:highlight w:val="none"/>
              </w:rPr>
            </w:pPr>
            <w:r>
              <w:rPr>
                <w:b w:val="0"/>
                <w:bCs w:val="0"/>
                <w:szCs w:val="21"/>
                <w:highlight w:val="none"/>
              </w:rPr>
              <w:t>Mn</w:t>
            </w:r>
          </w:p>
        </w:tc>
        <w:tc>
          <w:tcPr>
            <w:tcW w:w="1892" w:type="dxa"/>
            <w:shd w:val="clear" w:color="auto" w:fill="auto"/>
            <w:noWrap w:val="0"/>
            <w:vAlign w:val="top"/>
          </w:tcPr>
          <w:p w14:paraId="752B62B5">
            <w:pPr>
              <w:adjustRightInd w:val="0"/>
              <w:snapToGrid w:val="0"/>
              <w:spacing w:line="360" w:lineRule="auto"/>
              <w:rPr>
                <w:rFonts w:hint="eastAsia"/>
                <w:b w:val="0"/>
                <w:bCs w:val="0"/>
                <w:szCs w:val="21"/>
                <w:highlight w:val="none"/>
              </w:rPr>
            </w:pPr>
            <w:r>
              <w:rPr>
                <w:rFonts w:hint="eastAsia"/>
                <w:b w:val="0"/>
                <w:bCs w:val="0"/>
                <w:szCs w:val="21"/>
                <w:highlight w:val="none"/>
              </w:rPr>
              <w:t>≤ 0.12ug/L</w:t>
            </w:r>
          </w:p>
        </w:tc>
        <w:tc>
          <w:tcPr>
            <w:tcW w:w="802" w:type="dxa"/>
            <w:shd w:val="clear" w:color="auto" w:fill="auto"/>
            <w:noWrap w:val="0"/>
            <w:vAlign w:val="top"/>
          </w:tcPr>
          <w:p w14:paraId="51598121">
            <w:pPr>
              <w:adjustRightInd w:val="0"/>
              <w:snapToGrid w:val="0"/>
              <w:spacing w:line="360" w:lineRule="auto"/>
              <w:rPr>
                <w:rFonts w:hint="eastAsia"/>
                <w:b w:val="0"/>
                <w:bCs w:val="0"/>
                <w:szCs w:val="21"/>
                <w:highlight w:val="none"/>
              </w:rPr>
            </w:pPr>
            <w:r>
              <w:rPr>
                <w:b w:val="0"/>
                <w:bCs w:val="0"/>
                <w:szCs w:val="21"/>
                <w:highlight w:val="none"/>
              </w:rPr>
              <w:t>Mo</w:t>
            </w:r>
          </w:p>
        </w:tc>
        <w:tc>
          <w:tcPr>
            <w:tcW w:w="1890" w:type="dxa"/>
            <w:shd w:val="clear" w:color="auto" w:fill="auto"/>
            <w:noWrap w:val="0"/>
            <w:vAlign w:val="top"/>
          </w:tcPr>
          <w:p w14:paraId="675009B6">
            <w:pPr>
              <w:adjustRightInd w:val="0"/>
              <w:snapToGrid w:val="0"/>
              <w:spacing w:line="360" w:lineRule="auto"/>
              <w:rPr>
                <w:rFonts w:hint="eastAsia"/>
                <w:b w:val="0"/>
                <w:bCs w:val="0"/>
                <w:szCs w:val="21"/>
                <w:highlight w:val="none"/>
              </w:rPr>
            </w:pPr>
            <w:r>
              <w:rPr>
                <w:rFonts w:hint="eastAsia"/>
                <w:b w:val="0"/>
                <w:bCs w:val="0"/>
                <w:szCs w:val="21"/>
                <w:highlight w:val="none"/>
              </w:rPr>
              <w:t>≤ 0.06ug/L</w:t>
            </w:r>
          </w:p>
        </w:tc>
        <w:tc>
          <w:tcPr>
            <w:tcW w:w="803" w:type="dxa"/>
            <w:shd w:val="clear" w:color="auto" w:fill="auto"/>
            <w:noWrap w:val="0"/>
            <w:vAlign w:val="top"/>
          </w:tcPr>
          <w:p w14:paraId="4032956B">
            <w:pPr>
              <w:adjustRightInd w:val="0"/>
              <w:snapToGrid w:val="0"/>
              <w:spacing w:line="360" w:lineRule="auto"/>
              <w:rPr>
                <w:rFonts w:hint="eastAsia"/>
                <w:b w:val="0"/>
                <w:bCs w:val="0"/>
                <w:szCs w:val="21"/>
                <w:highlight w:val="none"/>
              </w:rPr>
            </w:pPr>
            <w:r>
              <w:rPr>
                <w:b w:val="0"/>
                <w:bCs w:val="0"/>
                <w:szCs w:val="21"/>
                <w:highlight w:val="none"/>
              </w:rPr>
              <w:t>Co</w:t>
            </w:r>
          </w:p>
        </w:tc>
        <w:tc>
          <w:tcPr>
            <w:tcW w:w="1889" w:type="dxa"/>
            <w:shd w:val="clear" w:color="auto" w:fill="auto"/>
            <w:noWrap w:val="0"/>
            <w:vAlign w:val="top"/>
          </w:tcPr>
          <w:p w14:paraId="2C6014FC">
            <w:pPr>
              <w:adjustRightInd w:val="0"/>
              <w:snapToGrid w:val="0"/>
              <w:spacing w:line="360" w:lineRule="auto"/>
              <w:rPr>
                <w:rFonts w:hint="eastAsia"/>
                <w:b w:val="0"/>
                <w:bCs w:val="0"/>
                <w:szCs w:val="21"/>
                <w:highlight w:val="none"/>
              </w:rPr>
            </w:pPr>
            <w:r>
              <w:rPr>
                <w:rFonts w:hint="eastAsia"/>
                <w:b w:val="0"/>
                <w:bCs w:val="0"/>
                <w:szCs w:val="21"/>
                <w:highlight w:val="none"/>
              </w:rPr>
              <w:t>≤ 0.03ug/L</w:t>
            </w:r>
          </w:p>
        </w:tc>
      </w:tr>
      <w:tr w14:paraId="372F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1C6A31A7">
            <w:pPr>
              <w:adjustRightInd w:val="0"/>
              <w:snapToGrid w:val="0"/>
              <w:spacing w:line="360" w:lineRule="auto"/>
              <w:rPr>
                <w:rFonts w:hint="eastAsia"/>
                <w:b w:val="0"/>
                <w:bCs w:val="0"/>
                <w:szCs w:val="21"/>
                <w:highlight w:val="none"/>
              </w:rPr>
            </w:pPr>
            <w:r>
              <w:rPr>
                <w:b w:val="0"/>
                <w:bCs w:val="0"/>
                <w:szCs w:val="21"/>
                <w:highlight w:val="none"/>
              </w:rPr>
              <w:t>Be</w:t>
            </w:r>
          </w:p>
        </w:tc>
        <w:tc>
          <w:tcPr>
            <w:tcW w:w="1892" w:type="dxa"/>
            <w:shd w:val="clear" w:color="auto" w:fill="auto"/>
            <w:noWrap w:val="0"/>
            <w:vAlign w:val="top"/>
          </w:tcPr>
          <w:p w14:paraId="22A59867">
            <w:pPr>
              <w:adjustRightInd w:val="0"/>
              <w:snapToGrid w:val="0"/>
              <w:spacing w:line="360" w:lineRule="auto"/>
              <w:rPr>
                <w:rFonts w:hint="eastAsia"/>
                <w:b w:val="0"/>
                <w:bCs w:val="0"/>
                <w:szCs w:val="21"/>
                <w:highlight w:val="none"/>
              </w:rPr>
            </w:pPr>
            <w:r>
              <w:rPr>
                <w:rFonts w:hint="eastAsia"/>
                <w:b w:val="0"/>
                <w:bCs w:val="0"/>
                <w:szCs w:val="21"/>
                <w:highlight w:val="none"/>
              </w:rPr>
              <w:t>≤ 0.04ug/L</w:t>
            </w:r>
          </w:p>
        </w:tc>
        <w:tc>
          <w:tcPr>
            <w:tcW w:w="802" w:type="dxa"/>
            <w:shd w:val="clear" w:color="auto" w:fill="auto"/>
            <w:noWrap w:val="0"/>
            <w:vAlign w:val="top"/>
          </w:tcPr>
          <w:p w14:paraId="3C41C7D6">
            <w:pPr>
              <w:adjustRightInd w:val="0"/>
              <w:snapToGrid w:val="0"/>
              <w:spacing w:line="360" w:lineRule="auto"/>
              <w:rPr>
                <w:rFonts w:hint="eastAsia"/>
                <w:b w:val="0"/>
                <w:bCs w:val="0"/>
                <w:szCs w:val="21"/>
                <w:highlight w:val="none"/>
              </w:rPr>
            </w:pPr>
            <w:r>
              <w:rPr>
                <w:b w:val="0"/>
                <w:bCs w:val="0"/>
                <w:szCs w:val="21"/>
                <w:highlight w:val="none"/>
              </w:rPr>
              <w:t>B</w:t>
            </w:r>
          </w:p>
        </w:tc>
        <w:tc>
          <w:tcPr>
            <w:tcW w:w="1890" w:type="dxa"/>
            <w:shd w:val="clear" w:color="auto" w:fill="auto"/>
            <w:noWrap w:val="0"/>
            <w:vAlign w:val="top"/>
          </w:tcPr>
          <w:p w14:paraId="73CD0250">
            <w:pPr>
              <w:adjustRightInd w:val="0"/>
              <w:snapToGrid w:val="0"/>
              <w:spacing w:line="360" w:lineRule="auto"/>
              <w:rPr>
                <w:rFonts w:hint="eastAsia"/>
                <w:b w:val="0"/>
                <w:bCs w:val="0"/>
                <w:szCs w:val="21"/>
                <w:highlight w:val="none"/>
              </w:rPr>
            </w:pPr>
            <w:r>
              <w:rPr>
                <w:rFonts w:hint="eastAsia"/>
                <w:b w:val="0"/>
                <w:bCs w:val="0"/>
                <w:szCs w:val="21"/>
                <w:highlight w:val="none"/>
              </w:rPr>
              <w:t>≤ 1.25ug/L</w:t>
            </w:r>
          </w:p>
        </w:tc>
        <w:tc>
          <w:tcPr>
            <w:tcW w:w="803" w:type="dxa"/>
            <w:shd w:val="clear" w:color="auto" w:fill="auto"/>
            <w:noWrap w:val="0"/>
            <w:vAlign w:val="top"/>
          </w:tcPr>
          <w:p w14:paraId="565ECBFA">
            <w:pPr>
              <w:adjustRightInd w:val="0"/>
              <w:snapToGrid w:val="0"/>
              <w:spacing w:line="360" w:lineRule="auto"/>
              <w:rPr>
                <w:rFonts w:hint="eastAsia"/>
                <w:b w:val="0"/>
                <w:bCs w:val="0"/>
                <w:szCs w:val="21"/>
                <w:highlight w:val="none"/>
              </w:rPr>
            </w:pPr>
            <w:r>
              <w:rPr>
                <w:b w:val="0"/>
                <w:bCs w:val="0"/>
                <w:szCs w:val="21"/>
                <w:highlight w:val="none"/>
              </w:rPr>
              <w:t>Sb</w:t>
            </w:r>
          </w:p>
        </w:tc>
        <w:tc>
          <w:tcPr>
            <w:tcW w:w="1889" w:type="dxa"/>
            <w:shd w:val="clear" w:color="auto" w:fill="auto"/>
            <w:noWrap w:val="0"/>
            <w:vAlign w:val="top"/>
          </w:tcPr>
          <w:p w14:paraId="09709A16">
            <w:pPr>
              <w:adjustRightInd w:val="0"/>
              <w:snapToGrid w:val="0"/>
              <w:spacing w:line="360" w:lineRule="auto"/>
              <w:rPr>
                <w:rFonts w:hint="eastAsia"/>
                <w:b w:val="0"/>
                <w:bCs w:val="0"/>
                <w:szCs w:val="21"/>
                <w:highlight w:val="none"/>
              </w:rPr>
            </w:pPr>
            <w:r>
              <w:rPr>
                <w:rFonts w:hint="eastAsia"/>
                <w:b w:val="0"/>
                <w:bCs w:val="0"/>
                <w:szCs w:val="21"/>
                <w:highlight w:val="none"/>
              </w:rPr>
              <w:t>≤0.15ug/L</w:t>
            </w:r>
          </w:p>
        </w:tc>
      </w:tr>
      <w:tr w14:paraId="02C0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5FAD14DA">
            <w:pPr>
              <w:adjustRightInd w:val="0"/>
              <w:snapToGrid w:val="0"/>
              <w:spacing w:line="360" w:lineRule="auto"/>
              <w:rPr>
                <w:rFonts w:hint="eastAsia"/>
                <w:b w:val="0"/>
                <w:bCs w:val="0"/>
                <w:szCs w:val="21"/>
                <w:highlight w:val="none"/>
              </w:rPr>
            </w:pPr>
            <w:r>
              <w:rPr>
                <w:rFonts w:hint="eastAsia"/>
                <w:b w:val="0"/>
                <w:bCs w:val="0"/>
                <w:szCs w:val="21"/>
                <w:highlight w:val="none"/>
              </w:rPr>
              <w:t>Ni</w:t>
            </w:r>
          </w:p>
        </w:tc>
        <w:tc>
          <w:tcPr>
            <w:tcW w:w="1892" w:type="dxa"/>
            <w:shd w:val="clear" w:color="auto" w:fill="auto"/>
            <w:noWrap w:val="0"/>
            <w:vAlign w:val="top"/>
          </w:tcPr>
          <w:p w14:paraId="41CF0C87">
            <w:pPr>
              <w:adjustRightInd w:val="0"/>
              <w:snapToGrid w:val="0"/>
              <w:spacing w:line="360" w:lineRule="auto"/>
              <w:rPr>
                <w:rFonts w:hint="eastAsia"/>
                <w:b w:val="0"/>
                <w:bCs w:val="0"/>
                <w:szCs w:val="21"/>
                <w:highlight w:val="none"/>
              </w:rPr>
            </w:pPr>
            <w:r>
              <w:rPr>
                <w:rFonts w:hint="eastAsia"/>
                <w:b w:val="0"/>
                <w:bCs w:val="0"/>
                <w:szCs w:val="21"/>
                <w:highlight w:val="none"/>
              </w:rPr>
              <w:t>≤ 0.06ug/L</w:t>
            </w:r>
          </w:p>
        </w:tc>
        <w:tc>
          <w:tcPr>
            <w:tcW w:w="802" w:type="dxa"/>
            <w:shd w:val="clear" w:color="auto" w:fill="auto"/>
            <w:noWrap w:val="0"/>
            <w:vAlign w:val="top"/>
          </w:tcPr>
          <w:p w14:paraId="339746B6">
            <w:pPr>
              <w:adjustRightInd w:val="0"/>
              <w:snapToGrid w:val="0"/>
              <w:spacing w:line="360" w:lineRule="auto"/>
              <w:rPr>
                <w:rFonts w:hint="eastAsia"/>
                <w:b w:val="0"/>
                <w:bCs w:val="0"/>
                <w:szCs w:val="21"/>
                <w:highlight w:val="none"/>
              </w:rPr>
            </w:pPr>
            <w:r>
              <w:rPr>
                <w:b w:val="0"/>
                <w:bCs w:val="0"/>
                <w:szCs w:val="21"/>
                <w:highlight w:val="none"/>
              </w:rPr>
              <w:t>Ba</w:t>
            </w:r>
          </w:p>
        </w:tc>
        <w:tc>
          <w:tcPr>
            <w:tcW w:w="1890" w:type="dxa"/>
            <w:shd w:val="clear" w:color="auto" w:fill="auto"/>
            <w:noWrap w:val="0"/>
            <w:vAlign w:val="top"/>
          </w:tcPr>
          <w:p w14:paraId="77F968C2">
            <w:pPr>
              <w:adjustRightInd w:val="0"/>
              <w:snapToGrid w:val="0"/>
              <w:spacing w:line="360" w:lineRule="auto"/>
              <w:rPr>
                <w:rFonts w:hint="eastAsia"/>
                <w:b w:val="0"/>
                <w:bCs w:val="0"/>
                <w:szCs w:val="21"/>
                <w:highlight w:val="none"/>
              </w:rPr>
            </w:pPr>
            <w:r>
              <w:rPr>
                <w:rFonts w:hint="eastAsia"/>
                <w:b w:val="0"/>
                <w:bCs w:val="0"/>
                <w:szCs w:val="21"/>
                <w:highlight w:val="none"/>
              </w:rPr>
              <w:t>≤ 0.20ug/L</w:t>
            </w:r>
          </w:p>
        </w:tc>
        <w:tc>
          <w:tcPr>
            <w:tcW w:w="803" w:type="dxa"/>
            <w:shd w:val="clear" w:color="auto" w:fill="auto"/>
            <w:noWrap w:val="0"/>
            <w:vAlign w:val="top"/>
          </w:tcPr>
          <w:p w14:paraId="2C14709B">
            <w:pPr>
              <w:adjustRightInd w:val="0"/>
              <w:snapToGrid w:val="0"/>
              <w:spacing w:line="360" w:lineRule="auto"/>
              <w:rPr>
                <w:rFonts w:hint="eastAsia"/>
                <w:b w:val="0"/>
                <w:bCs w:val="0"/>
                <w:szCs w:val="21"/>
                <w:highlight w:val="none"/>
              </w:rPr>
            </w:pPr>
            <w:r>
              <w:rPr>
                <w:b w:val="0"/>
                <w:bCs w:val="0"/>
                <w:szCs w:val="21"/>
                <w:highlight w:val="none"/>
              </w:rPr>
              <w:t>V</w:t>
            </w:r>
          </w:p>
        </w:tc>
        <w:tc>
          <w:tcPr>
            <w:tcW w:w="1889" w:type="dxa"/>
            <w:shd w:val="clear" w:color="auto" w:fill="auto"/>
            <w:noWrap w:val="0"/>
            <w:vAlign w:val="top"/>
          </w:tcPr>
          <w:p w14:paraId="2AA6006C">
            <w:pPr>
              <w:adjustRightInd w:val="0"/>
              <w:snapToGrid w:val="0"/>
              <w:spacing w:line="360" w:lineRule="auto"/>
              <w:rPr>
                <w:rFonts w:hint="eastAsia"/>
                <w:b w:val="0"/>
                <w:bCs w:val="0"/>
                <w:szCs w:val="21"/>
                <w:highlight w:val="none"/>
              </w:rPr>
            </w:pPr>
            <w:r>
              <w:rPr>
                <w:rFonts w:hint="eastAsia"/>
                <w:b w:val="0"/>
                <w:bCs w:val="0"/>
                <w:szCs w:val="21"/>
                <w:highlight w:val="none"/>
              </w:rPr>
              <w:t>≤ 0.08ug/L</w:t>
            </w:r>
          </w:p>
        </w:tc>
      </w:tr>
      <w:tr w14:paraId="4CE1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noWrap w:val="0"/>
            <w:vAlign w:val="top"/>
          </w:tcPr>
          <w:p w14:paraId="0675110A">
            <w:pPr>
              <w:adjustRightInd w:val="0"/>
              <w:snapToGrid w:val="0"/>
              <w:spacing w:line="360" w:lineRule="auto"/>
              <w:rPr>
                <w:rFonts w:hint="eastAsia"/>
                <w:b w:val="0"/>
                <w:bCs w:val="0"/>
                <w:szCs w:val="21"/>
                <w:highlight w:val="none"/>
              </w:rPr>
            </w:pPr>
            <w:r>
              <w:rPr>
                <w:b w:val="0"/>
                <w:bCs w:val="0"/>
                <w:szCs w:val="21"/>
                <w:highlight w:val="none"/>
              </w:rPr>
              <w:t>Ti</w:t>
            </w:r>
          </w:p>
        </w:tc>
        <w:tc>
          <w:tcPr>
            <w:tcW w:w="1892" w:type="dxa"/>
            <w:shd w:val="clear" w:color="auto" w:fill="auto"/>
            <w:noWrap w:val="0"/>
            <w:vAlign w:val="top"/>
          </w:tcPr>
          <w:p w14:paraId="5D384DF8">
            <w:pPr>
              <w:adjustRightInd w:val="0"/>
              <w:snapToGrid w:val="0"/>
              <w:spacing w:line="360" w:lineRule="auto"/>
              <w:rPr>
                <w:rFonts w:hint="eastAsia"/>
                <w:b w:val="0"/>
                <w:bCs w:val="0"/>
                <w:szCs w:val="21"/>
                <w:highlight w:val="none"/>
              </w:rPr>
            </w:pPr>
            <w:r>
              <w:rPr>
                <w:rFonts w:hint="eastAsia"/>
                <w:b w:val="0"/>
                <w:bCs w:val="0"/>
                <w:szCs w:val="21"/>
                <w:highlight w:val="none"/>
              </w:rPr>
              <w:t>≤0.46ug/L</w:t>
            </w:r>
          </w:p>
        </w:tc>
        <w:tc>
          <w:tcPr>
            <w:tcW w:w="802" w:type="dxa"/>
            <w:shd w:val="clear" w:color="auto" w:fill="auto"/>
            <w:noWrap w:val="0"/>
            <w:vAlign w:val="top"/>
          </w:tcPr>
          <w:p w14:paraId="49141920">
            <w:pPr>
              <w:adjustRightInd w:val="0"/>
              <w:snapToGrid w:val="0"/>
              <w:spacing w:line="360" w:lineRule="auto"/>
              <w:rPr>
                <w:rFonts w:hint="eastAsia"/>
                <w:b w:val="0"/>
                <w:bCs w:val="0"/>
                <w:szCs w:val="21"/>
                <w:highlight w:val="none"/>
              </w:rPr>
            </w:pPr>
            <w:r>
              <w:rPr>
                <w:rFonts w:hint="eastAsia"/>
                <w:b w:val="0"/>
                <w:bCs w:val="0"/>
                <w:szCs w:val="21"/>
                <w:highlight w:val="none"/>
              </w:rPr>
              <w:t>Tl</w:t>
            </w:r>
          </w:p>
        </w:tc>
        <w:tc>
          <w:tcPr>
            <w:tcW w:w="1890" w:type="dxa"/>
            <w:shd w:val="clear" w:color="auto" w:fill="auto"/>
            <w:noWrap w:val="0"/>
            <w:vAlign w:val="top"/>
          </w:tcPr>
          <w:p w14:paraId="53544B54">
            <w:pPr>
              <w:adjustRightInd w:val="0"/>
              <w:snapToGrid w:val="0"/>
              <w:spacing w:line="360" w:lineRule="auto"/>
              <w:rPr>
                <w:rFonts w:hint="eastAsia"/>
                <w:b w:val="0"/>
                <w:bCs w:val="0"/>
                <w:szCs w:val="21"/>
                <w:highlight w:val="none"/>
              </w:rPr>
            </w:pPr>
            <w:r>
              <w:rPr>
                <w:rFonts w:hint="eastAsia"/>
                <w:b w:val="0"/>
                <w:bCs w:val="0"/>
                <w:szCs w:val="21"/>
                <w:highlight w:val="none"/>
              </w:rPr>
              <w:t>≤ 0.02ug/L</w:t>
            </w:r>
          </w:p>
        </w:tc>
        <w:tc>
          <w:tcPr>
            <w:tcW w:w="803" w:type="dxa"/>
            <w:shd w:val="clear" w:color="auto" w:fill="auto"/>
            <w:noWrap w:val="0"/>
            <w:vAlign w:val="top"/>
          </w:tcPr>
          <w:p w14:paraId="15231E11">
            <w:pPr>
              <w:adjustRightInd w:val="0"/>
              <w:snapToGrid w:val="0"/>
              <w:spacing w:line="360" w:lineRule="auto"/>
              <w:rPr>
                <w:rFonts w:hint="eastAsia"/>
                <w:b w:val="0"/>
                <w:bCs w:val="0"/>
                <w:szCs w:val="21"/>
                <w:highlight w:val="none"/>
              </w:rPr>
            </w:pPr>
          </w:p>
        </w:tc>
        <w:tc>
          <w:tcPr>
            <w:tcW w:w="1889" w:type="dxa"/>
            <w:shd w:val="clear" w:color="auto" w:fill="auto"/>
            <w:noWrap w:val="0"/>
            <w:vAlign w:val="top"/>
          </w:tcPr>
          <w:p w14:paraId="2293ECAE">
            <w:pPr>
              <w:adjustRightInd w:val="0"/>
              <w:snapToGrid w:val="0"/>
              <w:spacing w:line="360" w:lineRule="auto"/>
              <w:rPr>
                <w:rFonts w:hint="eastAsia"/>
                <w:b w:val="0"/>
                <w:bCs w:val="0"/>
                <w:szCs w:val="21"/>
                <w:highlight w:val="none"/>
              </w:rPr>
            </w:pPr>
          </w:p>
        </w:tc>
      </w:tr>
    </w:tbl>
    <w:p w14:paraId="11D9424B">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3.2 示值误差：≤±10%</w:t>
      </w:r>
    </w:p>
    <w:p w14:paraId="3137EEC5">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3.3 精密度：RSD ≤5%</w:t>
      </w:r>
    </w:p>
    <w:p w14:paraId="2E64A324">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3.4 零点漂移：≤±5%</w:t>
      </w:r>
    </w:p>
    <w:p w14:paraId="56FE8AFE">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3.5 量程漂移：≤±10%</w:t>
      </w:r>
    </w:p>
    <w:p w14:paraId="26483A0D">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3.6 加标回收率：80~120%</w:t>
      </w:r>
    </w:p>
    <w:p w14:paraId="7E4B2248">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3.7实际水样比对误差：≤15%</w:t>
      </w:r>
    </w:p>
    <w:p w14:paraId="1D5CF667">
      <w:pPr>
        <w:adjustRightInd w:val="0"/>
        <w:snapToGrid w:val="0"/>
        <w:spacing w:line="360" w:lineRule="auto"/>
        <w:ind w:left="422" w:firstLine="420" w:firstLineChars="200"/>
        <w:rPr>
          <w:b w:val="0"/>
          <w:bCs w:val="0"/>
          <w:highlight w:val="none"/>
        </w:rPr>
      </w:pPr>
      <w:r>
        <w:rPr>
          <w:rFonts w:hint="eastAsia"/>
          <w:b w:val="0"/>
          <w:bCs w:val="0"/>
          <w:highlight w:val="none"/>
        </w:rPr>
        <w:t>4系统配置</w:t>
      </w:r>
      <w:r>
        <w:rPr>
          <w:b w:val="0"/>
          <w:bCs w:val="0"/>
          <w:highlight w:val="none"/>
        </w:rPr>
        <w:t>：</w:t>
      </w:r>
    </w:p>
    <w:p w14:paraId="7AE0DC39">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4.1电感耦合等离子体质谱仪主机1台。</w:t>
      </w:r>
      <w:r>
        <w:rPr>
          <w:rFonts w:hint="eastAsia"/>
          <w:b w:val="0"/>
          <w:bCs w:val="0"/>
          <w:szCs w:val="21"/>
          <w:highlight w:val="none"/>
        </w:rPr>
        <w:cr/>
      </w:r>
      <w:r>
        <w:rPr>
          <w:rFonts w:hint="eastAsia"/>
          <w:b w:val="0"/>
          <w:bCs w:val="0"/>
          <w:szCs w:val="21"/>
          <w:highlight w:val="none"/>
        </w:rPr>
        <w:t>4.2车载专用减震平台1套。</w:t>
      </w:r>
      <w:r>
        <w:rPr>
          <w:rFonts w:hint="eastAsia"/>
          <w:b w:val="0"/>
          <w:bCs w:val="0"/>
          <w:szCs w:val="21"/>
          <w:highlight w:val="none"/>
        </w:rPr>
        <w:cr/>
      </w:r>
      <w:r>
        <w:rPr>
          <w:rFonts w:hint="eastAsia"/>
          <w:b w:val="0"/>
          <w:bCs w:val="0"/>
          <w:szCs w:val="21"/>
          <w:highlight w:val="none"/>
        </w:rPr>
        <w:t>4.3车载前级泵（带专用减震模块）1套。</w:t>
      </w:r>
      <w:r>
        <w:rPr>
          <w:rFonts w:hint="eastAsia"/>
          <w:b w:val="0"/>
          <w:bCs w:val="0"/>
          <w:szCs w:val="21"/>
          <w:highlight w:val="none"/>
        </w:rPr>
        <w:cr/>
      </w:r>
      <w:r>
        <w:rPr>
          <w:rFonts w:hint="eastAsia"/>
          <w:b w:val="0"/>
          <w:bCs w:val="0"/>
          <w:szCs w:val="21"/>
          <w:highlight w:val="none"/>
        </w:rPr>
        <w:t>4.4车载专用循环冷却水1台。</w:t>
      </w:r>
      <w:r>
        <w:rPr>
          <w:rFonts w:hint="eastAsia"/>
          <w:b w:val="0"/>
          <w:bCs w:val="0"/>
          <w:szCs w:val="21"/>
          <w:highlight w:val="none"/>
        </w:rPr>
        <w:cr/>
      </w:r>
      <w:r>
        <w:rPr>
          <w:rFonts w:hint="eastAsia"/>
          <w:b w:val="0"/>
          <w:bCs w:val="0"/>
          <w:szCs w:val="21"/>
          <w:highlight w:val="none"/>
        </w:rPr>
        <w:t>4.5调谐液和内标液 1套。</w:t>
      </w:r>
    </w:p>
    <w:p w14:paraId="22A88653">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4.6氩气减压阀4套。</w:t>
      </w:r>
    </w:p>
    <w:p w14:paraId="0D921220">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4.7氦气减压阀1套。</w:t>
      </w:r>
    </w:p>
    <w:p w14:paraId="09435A8F">
      <w:pPr>
        <w:adjustRightInd w:val="0"/>
        <w:snapToGrid w:val="0"/>
        <w:spacing w:line="360" w:lineRule="auto"/>
        <w:ind w:left="420" w:leftChars="200"/>
        <w:rPr>
          <w:rFonts w:hint="eastAsia"/>
          <w:b w:val="0"/>
          <w:bCs w:val="0"/>
          <w:szCs w:val="21"/>
          <w:highlight w:val="none"/>
        </w:rPr>
      </w:pPr>
      <w:r>
        <w:rPr>
          <w:rFonts w:hint="eastAsia"/>
          <w:b w:val="0"/>
          <w:bCs w:val="0"/>
          <w:szCs w:val="21"/>
          <w:highlight w:val="none"/>
        </w:rPr>
        <w:t>4.8 ICP-MS专用分析软件1套。</w:t>
      </w:r>
      <w:r>
        <w:rPr>
          <w:rFonts w:hint="eastAsia"/>
          <w:b w:val="0"/>
          <w:bCs w:val="0"/>
          <w:szCs w:val="21"/>
          <w:highlight w:val="none"/>
        </w:rPr>
        <w:cr/>
      </w:r>
      <w:r>
        <w:rPr>
          <w:rFonts w:hint="eastAsia"/>
          <w:b w:val="0"/>
          <w:bCs w:val="0"/>
          <w:szCs w:val="21"/>
          <w:highlight w:val="none"/>
        </w:rPr>
        <w:t>4.9主流配置笔记本电脑：1台。能对仪器数据进行高速处理，同时具备数据、图表输出功能。</w:t>
      </w:r>
    </w:p>
    <w:p w14:paraId="78052629">
      <w:pPr>
        <w:pStyle w:val="2"/>
        <w:rPr>
          <w:rFonts w:hint="eastAsia"/>
          <w:highlight w:val="none"/>
        </w:rPr>
      </w:pPr>
    </w:p>
    <w:p w14:paraId="1F83A9B2">
      <w:pPr>
        <w:pStyle w:val="8"/>
        <w:spacing w:line="360" w:lineRule="auto"/>
        <w:ind w:firstLine="240" w:firstLineChars="1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在项目运维及管理期间，运维单位应严格按照</w:t>
      </w:r>
      <w:r>
        <w:rPr>
          <w:rFonts w:hint="eastAsia" w:eastAsia="宋体" w:cs="宋体"/>
          <w:b w:val="0"/>
          <w:bCs w:val="0"/>
          <w:sz w:val="24"/>
          <w:szCs w:val="24"/>
          <w:highlight w:val="none"/>
          <w:lang w:val="en-US" w:eastAsia="zh-CN"/>
        </w:rPr>
        <w:t>响水经济开发区</w:t>
      </w:r>
      <w:r>
        <w:rPr>
          <w:rFonts w:hint="eastAsia" w:ascii="宋体" w:hAnsi="宋体" w:eastAsia="宋体" w:cs="宋体"/>
          <w:b w:val="0"/>
          <w:bCs w:val="0"/>
          <w:sz w:val="24"/>
          <w:szCs w:val="24"/>
          <w:highlight w:val="none"/>
          <w:lang w:val="en-US" w:eastAsia="zh-CN"/>
        </w:rPr>
        <w:t>管理委员会制订的操作规范和规章制度，对所管理的系统及仪器设备进行规范操作和精心维护及必要维修，保证系统及仪器设备的正常运行，达到管理委员会提出的系统及仪器设备考核指标要求。中标运维商必须接受管理委员会和第三方质控质保核查单位的定期、不定期检查和考核。</w:t>
      </w:r>
    </w:p>
    <w:p w14:paraId="00E2AC11">
      <w:pPr>
        <w:pStyle w:val="4"/>
        <w:numPr>
          <w:ilvl w:val="0"/>
          <w:numId w:val="0"/>
        </w:numPr>
        <w:ind w:leftChars="0"/>
        <w:rPr>
          <w:rFonts w:hint="default" w:cs="Times New Roman"/>
          <w:highlight w:val="none"/>
          <w:lang w:val="en-US" w:eastAsia="zh-CN"/>
        </w:rPr>
      </w:pPr>
      <w:r>
        <w:rPr>
          <w:rFonts w:hint="eastAsia" w:cs="Times New Roman"/>
          <w:highlight w:val="none"/>
          <w:lang w:val="en-US" w:eastAsia="zh-CN"/>
        </w:rPr>
        <w:t>三、商务要求</w:t>
      </w:r>
    </w:p>
    <w:p w14:paraId="230A8487">
      <w:pPr>
        <w:pStyle w:val="4"/>
        <w:numPr>
          <w:ilvl w:val="0"/>
          <w:numId w:val="0"/>
        </w:numPr>
        <w:ind w:leftChars="0"/>
        <w:rPr>
          <w:rFonts w:cs="Times New Roman"/>
          <w:highlight w:val="none"/>
        </w:rPr>
      </w:pPr>
      <w:r>
        <w:rPr>
          <w:rFonts w:hint="eastAsia" w:cs="Times New Roman"/>
          <w:highlight w:val="none"/>
          <w:lang w:val="en-US" w:eastAsia="zh-CN"/>
        </w:rPr>
        <w:t>3.1、</w:t>
      </w:r>
      <w:r>
        <w:rPr>
          <w:rFonts w:cs="Times New Roman"/>
          <w:highlight w:val="none"/>
        </w:rPr>
        <w:t>运行维护要求</w:t>
      </w:r>
    </w:p>
    <w:p w14:paraId="5028C1E0">
      <w:pPr>
        <w:pStyle w:val="5"/>
        <w:rPr>
          <w:rFonts w:cs="Times New Roman"/>
          <w:highlight w:val="none"/>
        </w:rPr>
      </w:pPr>
      <w:r>
        <w:rPr>
          <w:rFonts w:cs="Times New Roman"/>
          <w:highlight w:val="none"/>
        </w:rPr>
        <w:t>总体要求</w:t>
      </w:r>
    </w:p>
    <w:p w14:paraId="6122A928">
      <w:pPr>
        <w:ind w:firstLine="480"/>
        <w:rPr>
          <w:rFonts w:cs="Times New Roman"/>
          <w:highlight w:val="none"/>
        </w:rPr>
      </w:pPr>
      <w:r>
        <w:rPr>
          <w:rFonts w:cs="Times New Roman"/>
          <w:highlight w:val="none"/>
        </w:rPr>
        <w:t>根据《国家环境空气监测网环境空气挥发性有机物连续自动监测质量控制技术规定（试行）》、《江苏省工业园区（集中区）污染物排放限值限量环境空气自动监测监控系统运行管理技术规范（试行）》等相关运行技术规范对本次招标服务内容进行日常运维，遵守并执行国家关于环境空气质量自动站运维、校准等相关文件的要求。如国家技术规范、规定发生变化，按照新的技术规范、规定执行。以下为空气自动站的基本运行要求：</w:t>
      </w:r>
    </w:p>
    <w:p w14:paraId="36840339">
      <w:pPr>
        <w:pStyle w:val="25"/>
        <w:numPr>
          <w:ilvl w:val="0"/>
          <w:numId w:val="29"/>
        </w:numPr>
        <w:autoSpaceDE/>
        <w:autoSpaceDN/>
        <w:spacing w:before="0" w:line="360" w:lineRule="auto"/>
        <w:ind w:left="0" w:firstLine="426"/>
        <w:jc w:val="both"/>
        <w:rPr>
          <w:rFonts w:ascii="Times New Roman" w:hAnsi="Times New Roman" w:cs="Times New Roman"/>
          <w:sz w:val="24"/>
          <w:highlight w:val="none"/>
        </w:rPr>
      </w:pPr>
      <w:r>
        <w:rPr>
          <w:rFonts w:ascii="Times New Roman" w:hAnsi="Times New Roman" w:cs="Times New Roman"/>
          <w:sz w:val="24"/>
          <w:highlight w:val="none"/>
        </w:rPr>
        <w:t>所获取的各项指标的有效监测数据满足《环境空气质量标准》（GB 3095-2012）中规定的污染物浓度数据有效性最低要求。</w:t>
      </w:r>
    </w:p>
    <w:p w14:paraId="461E52D3">
      <w:pPr>
        <w:pStyle w:val="25"/>
        <w:numPr>
          <w:ilvl w:val="0"/>
          <w:numId w:val="29"/>
        </w:numPr>
        <w:autoSpaceDE/>
        <w:autoSpaceDN/>
        <w:spacing w:before="0" w:line="360" w:lineRule="auto"/>
        <w:ind w:left="0" w:firstLine="426"/>
        <w:jc w:val="both"/>
        <w:rPr>
          <w:rFonts w:ascii="Times New Roman" w:hAnsi="Times New Roman" w:cs="Times New Roman"/>
          <w:sz w:val="24"/>
          <w:szCs w:val="24"/>
          <w:highlight w:val="none"/>
        </w:rPr>
      </w:pPr>
      <w:r>
        <w:rPr>
          <w:rFonts w:ascii="Times New Roman" w:hAnsi="Times New Roman" w:cs="Times New Roman"/>
          <w:sz w:val="24"/>
          <w:szCs w:val="24"/>
          <w:highlight w:val="none"/>
        </w:rPr>
        <w:t>有效数据获取率≥85%；</w:t>
      </w:r>
    </w:p>
    <w:p w14:paraId="20738261">
      <w:pPr>
        <w:pStyle w:val="25"/>
        <w:numPr>
          <w:ilvl w:val="0"/>
          <w:numId w:val="29"/>
        </w:numPr>
        <w:autoSpaceDE/>
        <w:autoSpaceDN/>
        <w:spacing w:before="0" w:line="360" w:lineRule="auto"/>
        <w:ind w:left="0" w:firstLine="426"/>
        <w:jc w:val="both"/>
        <w:rPr>
          <w:rFonts w:ascii="Times New Roman" w:hAnsi="Times New Roman" w:cs="Times New Roman"/>
          <w:sz w:val="24"/>
          <w:highlight w:val="none"/>
        </w:rPr>
      </w:pPr>
      <w:r>
        <w:rPr>
          <w:rFonts w:ascii="Times New Roman" w:hAnsi="Times New Roman" w:cs="Times New Roman"/>
          <w:sz w:val="24"/>
          <w:highlight w:val="none"/>
        </w:rPr>
        <w:t>运维任务完成率100%；</w:t>
      </w:r>
    </w:p>
    <w:p w14:paraId="1BACC8B9">
      <w:pPr>
        <w:pStyle w:val="25"/>
        <w:numPr>
          <w:ilvl w:val="0"/>
          <w:numId w:val="29"/>
        </w:numPr>
        <w:autoSpaceDE/>
        <w:autoSpaceDN/>
        <w:spacing w:before="0" w:line="360" w:lineRule="auto"/>
        <w:ind w:left="0" w:firstLine="426"/>
        <w:jc w:val="both"/>
        <w:rPr>
          <w:rFonts w:ascii="Times New Roman" w:hAnsi="Times New Roman" w:cs="Times New Roman"/>
          <w:sz w:val="24"/>
          <w:highlight w:val="none"/>
        </w:rPr>
      </w:pPr>
      <w:r>
        <w:rPr>
          <w:rFonts w:ascii="Times New Roman" w:hAnsi="Times New Roman" w:cs="Times New Roman"/>
          <w:sz w:val="24"/>
          <w:highlight w:val="none"/>
        </w:rPr>
        <w:t>异常情况处理率100%。</w:t>
      </w:r>
    </w:p>
    <w:p w14:paraId="111A464F">
      <w:pPr>
        <w:pStyle w:val="5"/>
        <w:rPr>
          <w:rFonts w:cs="Times New Roman"/>
          <w:highlight w:val="none"/>
        </w:rPr>
      </w:pPr>
      <w:r>
        <w:rPr>
          <w:rFonts w:hint="eastAsia" w:cs="Times New Roman"/>
          <w:highlight w:val="none"/>
          <w:lang w:val="en-US" w:eastAsia="zh-CN"/>
        </w:rPr>
        <w:t>3.2</w:t>
      </w:r>
      <w:r>
        <w:rPr>
          <w:rFonts w:cs="Times New Roman"/>
          <w:highlight w:val="none"/>
        </w:rPr>
        <w:t>运维工作一般要求</w:t>
      </w:r>
    </w:p>
    <w:p w14:paraId="50C0AF5D">
      <w:pPr>
        <w:ind w:firstLine="480"/>
        <w:rPr>
          <w:rFonts w:cs="Times New Roman"/>
          <w:highlight w:val="none"/>
        </w:rPr>
      </w:pPr>
      <w:r>
        <w:rPr>
          <w:rFonts w:cs="Times New Roman"/>
          <w:highlight w:val="none"/>
        </w:rPr>
        <w:t>遵守各级生态环境主管部门关于空气站运行管理的各项规定，如运维期间各级环境主管部门出台新的空气站运行管理规定，则运维工作要求随之执行最新规定。</w:t>
      </w:r>
    </w:p>
    <w:p w14:paraId="4CAF705F">
      <w:pPr>
        <w:ind w:firstLine="480"/>
        <w:rPr>
          <w:rFonts w:cs="Times New Roman"/>
          <w:highlight w:val="none"/>
        </w:rPr>
      </w:pPr>
      <w:r>
        <w:rPr>
          <w:rFonts w:cs="Times New Roman"/>
          <w:highlight w:val="none"/>
        </w:rPr>
        <w:t>（1）</w:t>
      </w:r>
      <w:r>
        <w:rPr>
          <w:rFonts w:cs="Times New Roman"/>
          <w:highlight w:val="none"/>
        </w:rPr>
        <w:tab/>
      </w:r>
      <w:r>
        <w:rPr>
          <w:rFonts w:cs="Times New Roman"/>
          <w:highlight w:val="none"/>
        </w:rPr>
        <w:t>保持站房内部环境清洁，布置整齐，各仪器设备干净清洁，设备标识清楚。</w:t>
      </w:r>
    </w:p>
    <w:p w14:paraId="1C4731F6">
      <w:pPr>
        <w:ind w:firstLine="480"/>
        <w:rPr>
          <w:rFonts w:cs="Times New Roman"/>
          <w:highlight w:val="none"/>
        </w:rPr>
      </w:pPr>
      <w:r>
        <w:rPr>
          <w:rFonts w:cs="Times New Roman"/>
          <w:highlight w:val="none"/>
        </w:rPr>
        <w:t>（2）</w:t>
      </w:r>
      <w:r>
        <w:rPr>
          <w:rFonts w:cs="Times New Roman"/>
          <w:highlight w:val="none"/>
        </w:rPr>
        <w:tab/>
      </w:r>
      <w:r>
        <w:rPr>
          <w:rFonts w:cs="Times New Roman"/>
          <w:highlight w:val="none"/>
        </w:rPr>
        <w:t>检查供电、电话及网络通讯的情况，保证系统的正常运行。</w:t>
      </w:r>
    </w:p>
    <w:p w14:paraId="1A54D334">
      <w:pPr>
        <w:ind w:firstLine="480"/>
        <w:rPr>
          <w:rFonts w:cs="Times New Roman"/>
          <w:highlight w:val="none"/>
        </w:rPr>
      </w:pPr>
      <w:r>
        <w:rPr>
          <w:rFonts w:cs="Times New Roman"/>
          <w:highlight w:val="none"/>
        </w:rPr>
        <w:t>（3）</w:t>
      </w:r>
      <w:r>
        <w:rPr>
          <w:rFonts w:cs="Times New Roman"/>
          <w:highlight w:val="none"/>
        </w:rPr>
        <w:tab/>
      </w:r>
      <w:r>
        <w:rPr>
          <w:rFonts w:cs="Times New Roman"/>
          <w:highlight w:val="none"/>
        </w:rPr>
        <w:t>保证空调正常工作，站房温度保持在25±5℃，相对湿度保持在50%以下。</w:t>
      </w:r>
    </w:p>
    <w:p w14:paraId="73ED14BB">
      <w:pPr>
        <w:ind w:firstLine="480"/>
        <w:rPr>
          <w:rFonts w:cs="Times New Roman"/>
          <w:highlight w:val="none"/>
        </w:rPr>
      </w:pPr>
      <w:r>
        <w:rPr>
          <w:rFonts w:cs="Times New Roman"/>
          <w:highlight w:val="none"/>
        </w:rPr>
        <w:t>（4）</w:t>
      </w:r>
      <w:r>
        <w:rPr>
          <w:rFonts w:cs="Times New Roman"/>
          <w:highlight w:val="none"/>
        </w:rPr>
        <w:tab/>
      </w:r>
      <w:r>
        <w:rPr>
          <w:rFonts w:cs="Times New Roman"/>
          <w:highlight w:val="none"/>
        </w:rPr>
        <w:t>指派专人维护，设备固定牢固，门窗关闭良好，人走关门，非工作人员未经许可不得入内。</w:t>
      </w:r>
    </w:p>
    <w:p w14:paraId="24CFC91C">
      <w:pPr>
        <w:ind w:firstLine="480"/>
        <w:rPr>
          <w:rFonts w:cs="Times New Roman"/>
          <w:highlight w:val="none"/>
        </w:rPr>
      </w:pPr>
      <w:r>
        <w:rPr>
          <w:rFonts w:cs="Times New Roman"/>
          <w:highlight w:val="none"/>
        </w:rPr>
        <w:t>（5）</w:t>
      </w:r>
      <w:r>
        <w:rPr>
          <w:rFonts w:cs="Times New Roman"/>
          <w:highlight w:val="none"/>
        </w:rPr>
        <w:tab/>
      </w:r>
      <w:r>
        <w:rPr>
          <w:rFonts w:cs="Times New Roman"/>
          <w:highlight w:val="none"/>
        </w:rPr>
        <w:t>定期检查消防和安全设施。</w:t>
      </w:r>
    </w:p>
    <w:p w14:paraId="047E7233">
      <w:pPr>
        <w:ind w:firstLine="480"/>
        <w:rPr>
          <w:rFonts w:cs="Times New Roman"/>
          <w:highlight w:val="none"/>
        </w:rPr>
      </w:pPr>
      <w:r>
        <w:rPr>
          <w:rFonts w:cs="Times New Roman"/>
          <w:highlight w:val="none"/>
        </w:rPr>
        <w:t>（6）</w:t>
      </w:r>
      <w:r>
        <w:rPr>
          <w:rFonts w:cs="Times New Roman"/>
          <w:highlight w:val="none"/>
        </w:rPr>
        <w:tab/>
      </w:r>
      <w:r>
        <w:rPr>
          <w:rFonts w:cs="Times New Roman"/>
          <w:highlight w:val="none"/>
        </w:rPr>
        <w:t>每次维护后做好系统运行维护记录。</w:t>
      </w:r>
    </w:p>
    <w:p w14:paraId="54D266DB">
      <w:pPr>
        <w:ind w:firstLine="480"/>
        <w:rPr>
          <w:rFonts w:cs="Times New Roman"/>
          <w:highlight w:val="none"/>
        </w:rPr>
      </w:pPr>
      <w:r>
        <w:rPr>
          <w:rFonts w:cs="Times New Roman"/>
          <w:highlight w:val="none"/>
        </w:rPr>
        <w:t>（7）</w:t>
      </w:r>
      <w:r>
        <w:rPr>
          <w:rFonts w:cs="Times New Roman"/>
          <w:highlight w:val="none"/>
        </w:rPr>
        <w:tab/>
      </w:r>
      <w:r>
        <w:rPr>
          <w:rFonts w:cs="Times New Roman"/>
          <w:highlight w:val="none"/>
        </w:rPr>
        <w:t>进行维护时，应规范操作，注意安全，防止意外发生。</w:t>
      </w:r>
    </w:p>
    <w:p w14:paraId="2F10827E">
      <w:pPr>
        <w:pStyle w:val="5"/>
        <w:rPr>
          <w:rFonts w:cs="Times New Roman"/>
          <w:highlight w:val="none"/>
        </w:rPr>
      </w:pPr>
      <w:r>
        <w:rPr>
          <w:rFonts w:hint="eastAsia" w:cs="Times New Roman"/>
          <w:highlight w:val="none"/>
          <w:lang w:val="en-US" w:eastAsia="zh-CN"/>
        </w:rPr>
        <w:t>3.3</w:t>
      </w:r>
      <w:r>
        <w:rPr>
          <w:rFonts w:cs="Times New Roman"/>
          <w:highlight w:val="none"/>
        </w:rPr>
        <w:t>挥发性有机物在线监测系统运维内容</w:t>
      </w:r>
    </w:p>
    <w:p w14:paraId="6035B590">
      <w:pPr>
        <w:pStyle w:val="6"/>
        <w:numPr>
          <w:ilvl w:val="0"/>
          <w:numId w:val="30"/>
        </w:numPr>
        <w:ind w:left="0" w:leftChars="0" w:firstLine="0" w:firstLineChars="0"/>
        <w:rPr>
          <w:highlight w:val="none"/>
        </w:rPr>
      </w:pPr>
      <w:r>
        <w:rPr>
          <w:highlight w:val="none"/>
        </w:rPr>
        <w:t>每日工作要求</w:t>
      </w:r>
    </w:p>
    <w:p w14:paraId="1370E7C5">
      <w:pPr>
        <w:ind w:firstLine="480"/>
        <w:rPr>
          <w:rFonts w:cs="Times New Roman"/>
          <w:highlight w:val="none"/>
        </w:rPr>
      </w:pPr>
      <w:r>
        <w:rPr>
          <w:rFonts w:cs="Times New Roman"/>
          <w:highlight w:val="none"/>
        </w:rPr>
        <w:t>每日远程连接到仪器现场端进行检查，主要内容如下：</w:t>
      </w:r>
    </w:p>
    <w:p w14:paraId="5AC92CC3">
      <w:pPr>
        <w:numPr>
          <w:ilvl w:val="0"/>
          <w:numId w:val="31"/>
        </w:numPr>
        <w:ind w:left="0" w:firstLine="371" w:firstLineChars="177"/>
        <w:rPr>
          <w:rFonts w:cs="Times New Roman"/>
          <w:highlight w:val="none"/>
        </w:rPr>
      </w:pPr>
      <w:r>
        <w:rPr>
          <w:rFonts w:cs="Times New Roman"/>
          <w:highlight w:val="none"/>
        </w:rPr>
        <w:t>检查网络情况。</w:t>
      </w:r>
    </w:p>
    <w:p w14:paraId="65C983F9">
      <w:pPr>
        <w:numPr>
          <w:ilvl w:val="0"/>
          <w:numId w:val="31"/>
        </w:numPr>
        <w:ind w:left="0" w:firstLine="371" w:firstLineChars="177"/>
        <w:rPr>
          <w:rFonts w:cs="Times New Roman"/>
          <w:highlight w:val="none"/>
        </w:rPr>
      </w:pPr>
      <w:r>
        <w:rPr>
          <w:rFonts w:cs="Times New Roman"/>
          <w:highlight w:val="none"/>
        </w:rPr>
        <w:t>检查仪器数据文件及完整性。</w:t>
      </w:r>
    </w:p>
    <w:p w14:paraId="4ACA91E3">
      <w:pPr>
        <w:numPr>
          <w:ilvl w:val="0"/>
          <w:numId w:val="31"/>
        </w:numPr>
        <w:ind w:left="0" w:firstLine="371" w:firstLineChars="177"/>
        <w:jc w:val="left"/>
        <w:rPr>
          <w:rFonts w:cs="Times New Roman"/>
          <w:highlight w:val="none"/>
        </w:rPr>
      </w:pPr>
      <w:r>
        <w:rPr>
          <w:rFonts w:cs="Times New Roman"/>
          <w:highlight w:val="none"/>
        </w:rPr>
        <w:t>检查数据上传至数据采集系统及总站数据平台是否正常。</w:t>
      </w:r>
    </w:p>
    <w:p w14:paraId="21E1F46C">
      <w:pPr>
        <w:numPr>
          <w:ilvl w:val="0"/>
          <w:numId w:val="31"/>
        </w:numPr>
        <w:ind w:left="0" w:firstLine="371" w:firstLineChars="177"/>
        <w:jc w:val="left"/>
        <w:rPr>
          <w:rFonts w:cs="Times New Roman"/>
          <w:highlight w:val="none"/>
        </w:rPr>
      </w:pPr>
      <w:r>
        <w:rPr>
          <w:rFonts w:cs="Times New Roman"/>
          <w:highlight w:val="none"/>
        </w:rPr>
        <w:t>检查各仪器监测数据正常性。</w:t>
      </w:r>
    </w:p>
    <w:p w14:paraId="68E997BA">
      <w:pPr>
        <w:numPr>
          <w:ilvl w:val="0"/>
          <w:numId w:val="31"/>
        </w:numPr>
        <w:ind w:left="0" w:firstLine="371" w:firstLineChars="177"/>
        <w:jc w:val="left"/>
        <w:rPr>
          <w:rFonts w:cs="Times New Roman"/>
          <w:highlight w:val="none"/>
        </w:rPr>
      </w:pPr>
      <w:r>
        <w:rPr>
          <w:rFonts w:cs="Times New Roman"/>
          <w:highlight w:val="none"/>
        </w:rPr>
        <w:t>根据电源电压，站房温度、湿度、设备温度等判断站房内部情况。</w:t>
      </w:r>
    </w:p>
    <w:p w14:paraId="693BCB7D">
      <w:pPr>
        <w:numPr>
          <w:ilvl w:val="0"/>
          <w:numId w:val="31"/>
        </w:numPr>
        <w:ind w:left="0" w:firstLine="371" w:firstLineChars="177"/>
        <w:rPr>
          <w:rFonts w:cs="Times New Roman"/>
          <w:highlight w:val="none"/>
        </w:rPr>
      </w:pPr>
      <w:r>
        <w:rPr>
          <w:rFonts w:cs="Times New Roman"/>
          <w:highlight w:val="none"/>
        </w:rPr>
        <w:t>检查仪器控制软件参数，发现异常报警时，应及时对仪器相关部件进行维护或更换。</w:t>
      </w:r>
    </w:p>
    <w:p w14:paraId="6E1F522F">
      <w:pPr>
        <w:numPr>
          <w:ilvl w:val="0"/>
          <w:numId w:val="31"/>
        </w:numPr>
        <w:ind w:left="0" w:firstLine="371" w:firstLineChars="177"/>
        <w:rPr>
          <w:rFonts w:cs="Times New Roman"/>
          <w:highlight w:val="none"/>
        </w:rPr>
      </w:pPr>
      <w:r>
        <w:rPr>
          <w:rFonts w:cs="Times New Roman"/>
          <w:highlight w:val="none"/>
        </w:rPr>
        <w:t>检查仪器谱图及浓度趋势，异常高值、低值判断（基线情况，峰响应或峰飘情况）。</w:t>
      </w:r>
    </w:p>
    <w:p w14:paraId="3AC11F35">
      <w:pPr>
        <w:numPr>
          <w:ilvl w:val="0"/>
          <w:numId w:val="31"/>
        </w:numPr>
        <w:ind w:left="0" w:firstLine="371" w:firstLineChars="177"/>
        <w:rPr>
          <w:rFonts w:cs="Times New Roman"/>
          <w:highlight w:val="none"/>
        </w:rPr>
      </w:pPr>
      <w:bookmarkStart w:id="220" w:name="OLE_LINK10"/>
      <w:r>
        <w:rPr>
          <w:rFonts w:cs="Times New Roman"/>
          <w:highlight w:val="none"/>
        </w:rPr>
        <w:t>保留时间漂移检查，若发生漂移，寻找原因及时解决。</w:t>
      </w:r>
    </w:p>
    <w:bookmarkEnd w:id="220"/>
    <w:p w14:paraId="002ED75D">
      <w:pPr>
        <w:pStyle w:val="6"/>
        <w:numPr>
          <w:ilvl w:val="2"/>
          <w:numId w:val="0"/>
        </w:numPr>
        <w:ind w:leftChars="0"/>
        <w:rPr>
          <w:highlight w:val="none"/>
        </w:rPr>
      </w:pPr>
      <w:r>
        <w:rPr>
          <w:rFonts w:hint="eastAsia"/>
          <w:highlight w:val="none"/>
          <w:lang w:val="en-US" w:eastAsia="zh-CN"/>
        </w:rPr>
        <w:t>2.</w:t>
      </w:r>
      <w:r>
        <w:rPr>
          <w:highlight w:val="none"/>
        </w:rPr>
        <w:t>每周工作要求</w:t>
      </w:r>
    </w:p>
    <w:p w14:paraId="2FDDC3A6">
      <w:pPr>
        <w:ind w:firstLine="480"/>
        <w:rPr>
          <w:rFonts w:cs="Times New Roman"/>
          <w:highlight w:val="none"/>
        </w:rPr>
      </w:pPr>
      <w:r>
        <w:rPr>
          <w:rFonts w:cs="Times New Roman"/>
          <w:highlight w:val="none"/>
        </w:rPr>
        <w:t>在每日工作基础上，每周到现场进行运维巡查，检查内容包括：</w:t>
      </w:r>
    </w:p>
    <w:p w14:paraId="06E5CE35">
      <w:pPr>
        <w:numPr>
          <w:ilvl w:val="0"/>
          <w:numId w:val="32"/>
        </w:numPr>
        <w:ind w:left="0" w:firstLine="426" w:firstLineChars="0"/>
        <w:rPr>
          <w:rFonts w:cs="Times New Roman"/>
          <w:highlight w:val="none"/>
        </w:rPr>
      </w:pPr>
      <w:r>
        <w:rPr>
          <w:rFonts w:cs="Times New Roman"/>
          <w:highlight w:val="none"/>
        </w:rPr>
        <w:t>检查采样和排气管路是否有漏雨或堵塞现象，各仪器采样流量是否正常。</w:t>
      </w:r>
    </w:p>
    <w:p w14:paraId="1B8819A3">
      <w:pPr>
        <w:numPr>
          <w:ilvl w:val="0"/>
          <w:numId w:val="32"/>
        </w:numPr>
        <w:ind w:left="0" w:firstLine="426" w:firstLineChars="0"/>
        <w:rPr>
          <w:rFonts w:cs="Times New Roman"/>
          <w:highlight w:val="none"/>
        </w:rPr>
      </w:pPr>
      <w:r>
        <w:rPr>
          <w:rFonts w:cs="Times New Roman"/>
          <w:highlight w:val="none"/>
        </w:rPr>
        <w:t>检查钢瓶气压力并记录，确保载气和标气不漏气。根据使用情况，及时更换载气（一般压力低于2MPa更换，更换后需保压验漏），且根据之前的记录判断压力是否下降异常，若是异常，需查明原因。</w:t>
      </w:r>
    </w:p>
    <w:p w14:paraId="07EAAC8C">
      <w:pPr>
        <w:numPr>
          <w:ilvl w:val="0"/>
          <w:numId w:val="32"/>
        </w:numPr>
        <w:ind w:left="0" w:firstLine="426" w:firstLineChars="0"/>
        <w:rPr>
          <w:rFonts w:cs="Times New Roman"/>
          <w:highlight w:val="none"/>
        </w:rPr>
      </w:pPr>
      <w:r>
        <w:rPr>
          <w:rFonts w:cs="Times New Roman"/>
          <w:highlight w:val="none"/>
        </w:rPr>
        <w:t>检查并酌情更换仪器采样滤膜，更换滤膜后，需要对过滤装置进行检漏检查。</w:t>
      </w:r>
    </w:p>
    <w:p w14:paraId="24FD21DD">
      <w:pPr>
        <w:numPr>
          <w:ilvl w:val="0"/>
          <w:numId w:val="32"/>
        </w:numPr>
        <w:ind w:left="0" w:firstLine="426" w:firstLineChars="0"/>
        <w:rPr>
          <w:rFonts w:cs="Times New Roman"/>
          <w:highlight w:val="none"/>
        </w:rPr>
      </w:pPr>
      <w:r>
        <w:rPr>
          <w:rFonts w:cs="Times New Roman"/>
          <w:highlight w:val="none"/>
        </w:rPr>
        <w:t>对仪器显示数据、时间和数据采集仪之间的一致性进行检查和校准。</w:t>
      </w:r>
    </w:p>
    <w:p w14:paraId="487270C9">
      <w:pPr>
        <w:numPr>
          <w:ilvl w:val="0"/>
          <w:numId w:val="32"/>
        </w:numPr>
        <w:ind w:left="0" w:firstLine="426" w:firstLineChars="0"/>
        <w:rPr>
          <w:rFonts w:cs="Times New Roman"/>
          <w:highlight w:val="none"/>
        </w:rPr>
      </w:pPr>
      <w:r>
        <w:rPr>
          <w:rFonts w:cs="Times New Roman"/>
          <w:highlight w:val="none"/>
        </w:rPr>
        <w:t>检查各仪器运行是否正常，查看是否有报警信息，检查仪器参数是否处于正常范围并进行记录。</w:t>
      </w:r>
    </w:p>
    <w:p w14:paraId="72F095F6">
      <w:pPr>
        <w:numPr>
          <w:ilvl w:val="0"/>
          <w:numId w:val="32"/>
        </w:numPr>
        <w:ind w:left="0" w:firstLine="426" w:firstLineChars="0"/>
        <w:rPr>
          <w:rFonts w:cs="Times New Roman"/>
          <w:highlight w:val="none"/>
        </w:rPr>
      </w:pPr>
      <w:r>
        <w:rPr>
          <w:rFonts w:cs="Times New Roman"/>
          <w:highlight w:val="none"/>
        </w:rPr>
        <w:t>每周开展FID通标检查，以确定各组分浓度偏差，如超过20%物种标点浓度偏差大于±20%，需重新建立标准曲线。</w:t>
      </w:r>
    </w:p>
    <w:p w14:paraId="123A393E">
      <w:pPr>
        <w:numPr>
          <w:ilvl w:val="0"/>
          <w:numId w:val="32"/>
        </w:numPr>
        <w:ind w:left="0" w:firstLine="426" w:firstLineChars="0"/>
        <w:rPr>
          <w:rFonts w:cs="Times New Roman"/>
          <w:highlight w:val="none"/>
        </w:rPr>
      </w:pPr>
      <w:r>
        <w:rPr>
          <w:rFonts w:cs="Times New Roman"/>
          <w:highlight w:val="none"/>
        </w:rPr>
        <w:t>每周开展VOCs监测仪通零，组分空白残留不应该高于 0.1 nmol/mol。若出现组分空白不合格，且该组分日常浓度范围在 0.3 nmol/mol以内，则当天监测数据均做无效处理；若该组分日常浓度范围在 1 nmol/mol 以上，则视空白结果予以保留或无效标注处理；数据浓度相对较高，可体现污染和变化现状的，酌情保留。</w:t>
      </w:r>
    </w:p>
    <w:p w14:paraId="6591A8E0">
      <w:pPr>
        <w:numPr>
          <w:ilvl w:val="0"/>
          <w:numId w:val="32"/>
        </w:numPr>
        <w:ind w:left="0" w:firstLine="426" w:firstLineChars="0"/>
        <w:rPr>
          <w:rFonts w:cs="Times New Roman"/>
          <w:highlight w:val="none"/>
        </w:rPr>
      </w:pPr>
      <w:r>
        <w:rPr>
          <w:rFonts w:cs="Times New Roman"/>
          <w:highlight w:val="none"/>
        </w:rPr>
        <w:t>每月工作要求</w:t>
      </w:r>
    </w:p>
    <w:p w14:paraId="4CBE60A7">
      <w:pPr>
        <w:ind w:firstLine="480"/>
        <w:rPr>
          <w:rFonts w:cs="Times New Roman"/>
          <w:highlight w:val="none"/>
        </w:rPr>
      </w:pPr>
      <w:r>
        <w:rPr>
          <w:rFonts w:cs="Times New Roman"/>
          <w:highlight w:val="none"/>
        </w:rPr>
        <w:t>在每周工作基础上，每月需进行以下运维工作：</w:t>
      </w:r>
    </w:p>
    <w:p w14:paraId="60ABF682">
      <w:pPr>
        <w:numPr>
          <w:ilvl w:val="0"/>
          <w:numId w:val="33"/>
        </w:numPr>
        <w:ind w:left="0" w:firstLine="426" w:firstLineChars="0"/>
        <w:rPr>
          <w:rFonts w:cs="Times New Roman"/>
          <w:highlight w:val="none"/>
        </w:rPr>
      </w:pPr>
      <w:r>
        <w:rPr>
          <w:rFonts w:cs="Times New Roman"/>
          <w:highlight w:val="none"/>
        </w:rPr>
        <w:t>每月检查校准各仪器时钟，并与数采工控机保持一致。</w:t>
      </w:r>
    </w:p>
    <w:p w14:paraId="7B9E9C3D">
      <w:pPr>
        <w:numPr>
          <w:ilvl w:val="0"/>
          <w:numId w:val="33"/>
        </w:numPr>
        <w:ind w:left="0" w:firstLine="426" w:firstLineChars="0"/>
        <w:rPr>
          <w:rFonts w:cs="Times New Roman"/>
          <w:highlight w:val="none"/>
        </w:rPr>
      </w:pPr>
      <w:r>
        <w:rPr>
          <w:rFonts w:cs="Times New Roman"/>
          <w:highlight w:val="none"/>
        </w:rPr>
        <w:t>清洗各仪器散热防尘网和站房空调机的过滤网，防止尘土阻塞滤网。</w:t>
      </w:r>
    </w:p>
    <w:p w14:paraId="0629A163">
      <w:pPr>
        <w:numPr>
          <w:ilvl w:val="0"/>
          <w:numId w:val="33"/>
        </w:numPr>
        <w:ind w:left="0" w:firstLine="426" w:firstLineChars="0"/>
        <w:rPr>
          <w:rFonts w:cs="Times New Roman"/>
          <w:highlight w:val="none"/>
        </w:rPr>
      </w:pPr>
      <w:r>
        <w:rPr>
          <w:rFonts w:cs="Times New Roman"/>
          <w:highlight w:val="none"/>
        </w:rPr>
        <w:t>每月检查站点仪器采样流量，若实测流量与设定值的偏差大于±5%，排除漏气和堵塞的情况，对采样流量进行重新校准。</w:t>
      </w:r>
    </w:p>
    <w:p w14:paraId="2DB5350C">
      <w:pPr>
        <w:numPr>
          <w:ilvl w:val="0"/>
          <w:numId w:val="33"/>
        </w:numPr>
        <w:ind w:left="0" w:firstLine="426" w:firstLineChars="0"/>
        <w:rPr>
          <w:rFonts w:cs="Times New Roman"/>
          <w:highlight w:val="none"/>
        </w:rPr>
      </w:pPr>
      <w:r>
        <w:rPr>
          <w:rFonts w:cs="Times New Roman"/>
          <w:highlight w:val="none"/>
        </w:rPr>
        <w:t>检查并记录标气有效日期和压力，当标气少于5 Mpa时，需及时上报采购。</w:t>
      </w:r>
    </w:p>
    <w:p w14:paraId="3BC3E612">
      <w:pPr>
        <w:numPr>
          <w:ilvl w:val="0"/>
          <w:numId w:val="33"/>
        </w:numPr>
        <w:ind w:left="0" w:firstLine="426" w:firstLineChars="0"/>
        <w:rPr>
          <w:rFonts w:cs="Times New Roman"/>
          <w:highlight w:val="none"/>
        </w:rPr>
      </w:pPr>
      <w:r>
        <w:rPr>
          <w:rFonts w:cs="Times New Roman"/>
          <w:highlight w:val="none"/>
        </w:rPr>
        <w:t>每月检查VOCs仪器采样流量，若实测流量与设定值的偏差大于±5%，排除漏气和堵塞的情况，对采样流量进行重新校准。</w:t>
      </w:r>
    </w:p>
    <w:p w14:paraId="73DC473B">
      <w:pPr>
        <w:pStyle w:val="6"/>
        <w:numPr>
          <w:ilvl w:val="2"/>
          <w:numId w:val="0"/>
        </w:numPr>
        <w:ind w:leftChars="0"/>
        <w:rPr>
          <w:highlight w:val="none"/>
        </w:rPr>
      </w:pPr>
      <w:r>
        <w:rPr>
          <w:rFonts w:hint="eastAsia"/>
          <w:highlight w:val="none"/>
          <w:lang w:val="en-US" w:eastAsia="zh-CN"/>
        </w:rPr>
        <w:t>3.</w:t>
      </w:r>
      <w:r>
        <w:rPr>
          <w:highlight w:val="none"/>
        </w:rPr>
        <w:t>每季度工作要求</w:t>
      </w:r>
    </w:p>
    <w:p w14:paraId="2FEB0B5F">
      <w:pPr>
        <w:ind w:firstLine="480"/>
        <w:rPr>
          <w:rFonts w:cs="Times New Roman"/>
          <w:highlight w:val="none"/>
        </w:rPr>
      </w:pPr>
      <w:r>
        <w:rPr>
          <w:rFonts w:cs="Times New Roman"/>
          <w:highlight w:val="none"/>
        </w:rPr>
        <w:t>在每月工作基础上，每季度需进行以下运维工作：</w:t>
      </w:r>
    </w:p>
    <w:p w14:paraId="16A29D86">
      <w:pPr>
        <w:numPr>
          <w:ilvl w:val="0"/>
          <w:numId w:val="34"/>
        </w:numPr>
        <w:ind w:left="0" w:firstLine="371" w:firstLineChars="177"/>
        <w:rPr>
          <w:rFonts w:cs="Times New Roman"/>
          <w:highlight w:val="none"/>
        </w:rPr>
      </w:pPr>
      <w:r>
        <w:rPr>
          <w:rFonts w:cs="Times New Roman"/>
          <w:highlight w:val="none"/>
        </w:rPr>
        <w:t>检查数据存储情况，对磁盘内数据进行整理备份。</w:t>
      </w:r>
    </w:p>
    <w:p w14:paraId="4D76DDBD">
      <w:pPr>
        <w:numPr>
          <w:ilvl w:val="0"/>
          <w:numId w:val="34"/>
        </w:numPr>
        <w:ind w:left="0" w:firstLine="371" w:firstLineChars="177"/>
        <w:rPr>
          <w:rFonts w:cs="Times New Roman"/>
          <w:highlight w:val="none"/>
        </w:rPr>
      </w:pPr>
      <w:r>
        <w:rPr>
          <w:rFonts w:cs="Times New Roman"/>
          <w:highlight w:val="none"/>
        </w:rPr>
        <w:t>每季度需进行多点线性检查，要求至少6点不同浓度（含零点、0.5ppb、2ppb、4ppb、8ppb、10ppb依次从低浓度到高浓度通入）的标气开展对仪器的线性化测试，满足线性相关系数r≥0.99（决定系数r</w:t>
      </w:r>
      <w:r>
        <w:rPr>
          <w:rFonts w:cs="Times New Roman"/>
          <w:highlight w:val="none"/>
          <w:vertAlign w:val="superscript"/>
        </w:rPr>
        <w:t>2</w:t>
      </w:r>
      <w:r>
        <w:rPr>
          <w:rFonts w:cs="Times New Roman"/>
          <w:highlight w:val="none"/>
        </w:rPr>
        <w:t>≥0.98），以确保VOCs各组分定量的准确性。</w:t>
      </w:r>
    </w:p>
    <w:p w14:paraId="161CE288">
      <w:pPr>
        <w:numPr>
          <w:ilvl w:val="0"/>
          <w:numId w:val="34"/>
        </w:numPr>
        <w:ind w:left="0" w:firstLine="371" w:firstLineChars="177"/>
        <w:rPr>
          <w:rFonts w:cs="Times New Roman"/>
          <w:highlight w:val="none"/>
        </w:rPr>
      </w:pPr>
      <w:r>
        <w:rPr>
          <w:rFonts w:cs="Times New Roman"/>
          <w:highlight w:val="none"/>
        </w:rPr>
        <w:t>对动态校准仪中的质量流量控制器，进行单点检查，所用动态校准仪流量误差应≤±2%，否则应及时进行校准。</w:t>
      </w:r>
    </w:p>
    <w:p w14:paraId="643E3733">
      <w:pPr>
        <w:numPr>
          <w:ilvl w:val="0"/>
          <w:numId w:val="34"/>
        </w:numPr>
        <w:ind w:left="0" w:firstLine="371" w:firstLineChars="177"/>
        <w:rPr>
          <w:rFonts w:cs="Times New Roman"/>
          <w:highlight w:val="none"/>
        </w:rPr>
      </w:pPr>
      <w:r>
        <w:rPr>
          <w:rFonts w:cs="Times New Roman"/>
          <w:highlight w:val="none"/>
        </w:rPr>
        <w:t>每季度开展精密度检查，所有目标化合物的相对标准偏差应小于10%。</w:t>
      </w:r>
    </w:p>
    <w:p w14:paraId="08F46C8C">
      <w:pPr>
        <w:numPr>
          <w:ilvl w:val="0"/>
          <w:numId w:val="34"/>
        </w:numPr>
        <w:ind w:left="0" w:firstLine="371" w:firstLineChars="177"/>
        <w:rPr>
          <w:rFonts w:cs="Times New Roman"/>
          <w:highlight w:val="none"/>
        </w:rPr>
      </w:pPr>
      <w:r>
        <w:rPr>
          <w:rFonts w:cs="Times New Roman"/>
          <w:highlight w:val="none"/>
        </w:rPr>
        <w:t>更换零气源净化剂和氧化剂，对零气性能进行检查。</w:t>
      </w:r>
    </w:p>
    <w:p w14:paraId="2142CDDD">
      <w:pPr>
        <w:pStyle w:val="6"/>
        <w:numPr>
          <w:ilvl w:val="2"/>
          <w:numId w:val="0"/>
        </w:numPr>
        <w:ind w:leftChars="0"/>
        <w:rPr>
          <w:highlight w:val="none"/>
        </w:rPr>
      </w:pPr>
      <w:r>
        <w:rPr>
          <w:rFonts w:hint="eastAsia"/>
          <w:highlight w:val="none"/>
          <w:lang w:val="en-US" w:eastAsia="zh-CN"/>
        </w:rPr>
        <w:t>4.</w:t>
      </w:r>
      <w:r>
        <w:rPr>
          <w:highlight w:val="none"/>
        </w:rPr>
        <w:t>每半年工作要求</w:t>
      </w:r>
    </w:p>
    <w:p w14:paraId="7FEFEE0E">
      <w:pPr>
        <w:ind w:firstLine="480"/>
        <w:rPr>
          <w:rFonts w:cs="Times New Roman"/>
          <w:highlight w:val="none"/>
        </w:rPr>
      </w:pPr>
      <w:r>
        <w:rPr>
          <w:rFonts w:cs="Times New Roman"/>
          <w:highlight w:val="none"/>
        </w:rPr>
        <w:t>在每季度工作基础上，每半年需进行以下运维工作：</w:t>
      </w:r>
    </w:p>
    <w:p w14:paraId="5A3775A9">
      <w:pPr>
        <w:numPr>
          <w:ilvl w:val="0"/>
          <w:numId w:val="35"/>
        </w:numPr>
        <w:ind w:left="0" w:firstLine="426" w:firstLineChars="0"/>
        <w:rPr>
          <w:rFonts w:cs="Times New Roman"/>
          <w:highlight w:val="none"/>
        </w:rPr>
      </w:pPr>
      <w:r>
        <w:rPr>
          <w:rFonts w:cs="Times New Roman"/>
          <w:highlight w:val="none"/>
        </w:rPr>
        <w:t>检查各气路连接的密封性。</w:t>
      </w:r>
    </w:p>
    <w:p w14:paraId="79C19D02">
      <w:pPr>
        <w:numPr>
          <w:ilvl w:val="0"/>
          <w:numId w:val="35"/>
        </w:numPr>
        <w:ind w:left="0" w:firstLine="426" w:firstLineChars="0"/>
        <w:rPr>
          <w:rFonts w:cs="Times New Roman"/>
          <w:highlight w:val="none"/>
        </w:rPr>
      </w:pPr>
      <w:r>
        <w:rPr>
          <w:rFonts w:cs="Times New Roman"/>
          <w:highlight w:val="none"/>
        </w:rPr>
        <w:t>清洗采样总管和更换采样支管。</w:t>
      </w:r>
    </w:p>
    <w:p w14:paraId="6E6E51AA">
      <w:pPr>
        <w:numPr>
          <w:ilvl w:val="0"/>
          <w:numId w:val="35"/>
        </w:numPr>
        <w:ind w:left="0" w:firstLine="426" w:firstLineChars="0"/>
        <w:rPr>
          <w:rFonts w:cs="Times New Roman"/>
          <w:highlight w:val="none"/>
        </w:rPr>
      </w:pPr>
      <w:r>
        <w:rPr>
          <w:rFonts w:cs="Times New Roman"/>
          <w:highlight w:val="none"/>
        </w:rPr>
        <w:t>对动态校准仪中的质量流量控制器，进行多点校准。为确保所用动态校准仪质量流量计进行流量标准传递的准确度，对所获校准曲线的检验指标应符合以下要求：相关系数(r)&gt;0.99；截距(a1)&lt;满量程±2%；多点标准偏差注≤1。若其中任何一项不满足指标要求，则需对质量流量计重新进行调整。校准完成之后重新对每个流量点检查一遍，所有点的偏差都控制在±2%以内。</w:t>
      </w:r>
    </w:p>
    <w:p w14:paraId="239B0ACE">
      <w:pPr>
        <w:pStyle w:val="6"/>
        <w:numPr>
          <w:ilvl w:val="2"/>
          <w:numId w:val="0"/>
        </w:numPr>
        <w:ind w:leftChars="0"/>
        <w:rPr>
          <w:highlight w:val="none"/>
        </w:rPr>
      </w:pPr>
      <w:r>
        <w:rPr>
          <w:rFonts w:hint="eastAsia"/>
          <w:highlight w:val="none"/>
          <w:lang w:val="en-US" w:eastAsia="zh-CN"/>
        </w:rPr>
        <w:t>5.</w:t>
      </w:r>
      <w:r>
        <w:rPr>
          <w:highlight w:val="none"/>
        </w:rPr>
        <w:t>每年工作要求</w:t>
      </w:r>
    </w:p>
    <w:p w14:paraId="173ACFEB">
      <w:pPr>
        <w:ind w:firstLine="480"/>
        <w:rPr>
          <w:rFonts w:cs="Times New Roman"/>
          <w:highlight w:val="none"/>
        </w:rPr>
      </w:pPr>
      <w:r>
        <w:rPr>
          <w:rFonts w:cs="Times New Roman"/>
          <w:highlight w:val="none"/>
        </w:rPr>
        <w:t>在每半年工作基础上，每年需进行以下运维工作：</w:t>
      </w:r>
    </w:p>
    <w:p w14:paraId="7976CDED">
      <w:pPr>
        <w:ind w:firstLine="480"/>
        <w:rPr>
          <w:rFonts w:cs="Times New Roman"/>
          <w:highlight w:val="none"/>
        </w:rPr>
      </w:pPr>
      <w:r>
        <w:rPr>
          <w:rFonts w:cs="Times New Roman"/>
          <w:highlight w:val="none"/>
        </w:rPr>
        <w:t>每年开展不少于一次监测仪的系统保养，对所有仪器进行预防性维护，按说明书的要求更换相关组件，保养后，对仪器进行全面校准与检查。</w:t>
      </w:r>
    </w:p>
    <w:p w14:paraId="000FE35D">
      <w:pPr>
        <w:numPr>
          <w:ilvl w:val="0"/>
          <w:numId w:val="36"/>
        </w:numPr>
        <w:ind w:left="0" w:firstLine="371" w:firstLineChars="177"/>
        <w:rPr>
          <w:rFonts w:cs="Times New Roman"/>
          <w:highlight w:val="none"/>
        </w:rPr>
      </w:pPr>
      <w:r>
        <w:rPr>
          <w:rFonts w:cs="Times New Roman"/>
          <w:highlight w:val="none"/>
        </w:rPr>
        <w:t>更换载气过滤器，更换采样泵。</w:t>
      </w:r>
    </w:p>
    <w:p w14:paraId="3E57F6B3">
      <w:pPr>
        <w:numPr>
          <w:ilvl w:val="0"/>
          <w:numId w:val="36"/>
        </w:numPr>
        <w:ind w:left="0" w:firstLine="371" w:firstLineChars="177"/>
        <w:rPr>
          <w:rFonts w:cs="Times New Roman"/>
          <w:highlight w:val="none"/>
        </w:rPr>
      </w:pPr>
      <w:r>
        <w:rPr>
          <w:rFonts w:cs="Times New Roman"/>
          <w:highlight w:val="none"/>
        </w:rPr>
        <w:t>更换预浓缩管、除水管。</w:t>
      </w:r>
    </w:p>
    <w:p w14:paraId="35CC1B79">
      <w:pPr>
        <w:numPr>
          <w:ilvl w:val="0"/>
          <w:numId w:val="36"/>
        </w:numPr>
        <w:ind w:left="0" w:firstLine="371" w:firstLineChars="177"/>
        <w:rPr>
          <w:rFonts w:cs="Times New Roman"/>
          <w:highlight w:val="none"/>
        </w:rPr>
      </w:pPr>
      <w:r>
        <w:rPr>
          <w:rFonts w:cs="Times New Roman"/>
          <w:highlight w:val="none"/>
        </w:rPr>
        <w:t>清洗十通阀，FID 检测器等。</w:t>
      </w:r>
    </w:p>
    <w:p w14:paraId="154C1C5A">
      <w:pPr>
        <w:numPr>
          <w:ilvl w:val="0"/>
          <w:numId w:val="36"/>
        </w:numPr>
        <w:ind w:left="0" w:firstLine="371" w:firstLineChars="177"/>
        <w:rPr>
          <w:rFonts w:cs="Times New Roman"/>
          <w:highlight w:val="none"/>
        </w:rPr>
      </w:pPr>
      <w:r>
        <w:rPr>
          <w:rFonts w:cs="Times New Roman"/>
          <w:highlight w:val="none"/>
        </w:rPr>
        <w:t>每年开展检出限测试，所有目标化合物的相对标准偏差应小于0.1 ppb。</w:t>
      </w:r>
    </w:p>
    <w:p w14:paraId="43802ED6">
      <w:pPr>
        <w:numPr>
          <w:ilvl w:val="0"/>
          <w:numId w:val="36"/>
        </w:numPr>
        <w:ind w:left="0" w:firstLine="371" w:firstLineChars="177"/>
        <w:rPr>
          <w:rFonts w:cs="Times New Roman"/>
          <w:highlight w:val="none"/>
        </w:rPr>
      </w:pPr>
      <w:r>
        <w:rPr>
          <w:rFonts w:cs="Times New Roman"/>
          <w:highlight w:val="none"/>
        </w:rPr>
        <w:t>每年至少进行一次高浓度残留检查：向系统通入标准曲线最高浓度点进行分析，分析结束后连续两次通入高纯氮气或零空气测试系统残留，记录第二次分析结果。要求90%组分系统残留浓度≤0.1 ppb。</w:t>
      </w:r>
    </w:p>
    <w:p w14:paraId="6BD9BC6C">
      <w:pPr>
        <w:numPr>
          <w:ilvl w:val="0"/>
          <w:numId w:val="36"/>
        </w:numPr>
        <w:ind w:left="0" w:firstLine="371" w:firstLineChars="177"/>
        <w:rPr>
          <w:rFonts w:cs="Times New Roman"/>
          <w:highlight w:val="none"/>
        </w:rPr>
      </w:pPr>
      <w:r>
        <w:rPr>
          <w:rFonts w:cs="Times New Roman"/>
          <w:highlight w:val="none"/>
        </w:rPr>
        <w:t>保养后，进行多点校准、稳定性、准确性和检出限等年度目标化合物测试。</w:t>
      </w:r>
    </w:p>
    <w:p w14:paraId="5AB6D118">
      <w:pPr>
        <w:pStyle w:val="5"/>
        <w:rPr>
          <w:rFonts w:cs="Times New Roman"/>
          <w:highlight w:val="none"/>
        </w:rPr>
      </w:pPr>
      <w:bookmarkStart w:id="221" w:name="_Toc65677426"/>
      <w:r>
        <w:rPr>
          <w:rFonts w:hint="eastAsia" w:cs="Times New Roman"/>
          <w:highlight w:val="none"/>
          <w:lang w:val="en-US" w:eastAsia="zh-CN"/>
        </w:rPr>
        <w:t>3.4</w:t>
      </w:r>
      <w:r>
        <w:rPr>
          <w:rFonts w:cs="Times New Roman"/>
          <w:highlight w:val="none"/>
        </w:rPr>
        <w:t>环境空气质量监测微站运维内容</w:t>
      </w:r>
    </w:p>
    <w:p w14:paraId="7D5AEF34">
      <w:pPr>
        <w:pStyle w:val="6"/>
        <w:numPr>
          <w:ilvl w:val="2"/>
          <w:numId w:val="0"/>
        </w:numPr>
        <w:ind w:leftChars="0"/>
        <w:rPr>
          <w:kern w:val="0"/>
          <w:highlight w:val="none"/>
        </w:rPr>
      </w:pPr>
      <w:r>
        <w:rPr>
          <w:rFonts w:hint="eastAsia"/>
          <w:kern w:val="0"/>
          <w:highlight w:val="none"/>
          <w:lang w:val="en-US" w:eastAsia="zh-CN"/>
        </w:rPr>
        <w:t>1.</w:t>
      </w:r>
      <w:r>
        <w:rPr>
          <w:kern w:val="0"/>
          <w:highlight w:val="none"/>
        </w:rPr>
        <w:t>运维总体工作</w:t>
      </w:r>
    </w:p>
    <w:p w14:paraId="0E2A69BD">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负责微型站的日常运行、维护、检修、换件、耗材更换等事项，保证微型站的正常运转，保证监测工作正常开展。</w:t>
      </w:r>
    </w:p>
    <w:p w14:paraId="35619056">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负责进行仪器运行状态检查，如发现问题则在第一时间解决。</w:t>
      </w:r>
    </w:p>
    <w:p w14:paraId="157EDFDC">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定期进行仪器现场巡查，进行必要的校准、维护、维修、耗材更换工作。以保障仪器准确可靠运行。</w:t>
      </w:r>
    </w:p>
    <w:p w14:paraId="41F48586">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按仪器运行要求定期对系统进行校准，以保证仪器数据的准确有效。</w:t>
      </w:r>
    </w:p>
    <w:p w14:paraId="116805C8">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对所有在线监测站制定操作及维修规程和日常保养制度，建立日常运行记录和设备台帐，建立相应的质量保证体系，并接受环境保护管理部门的台帐检查。</w:t>
      </w:r>
    </w:p>
    <w:p w14:paraId="416273DA">
      <w:pPr>
        <w:pStyle w:val="25"/>
        <w:numPr>
          <w:ilvl w:val="0"/>
          <w:numId w:val="37"/>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每月向有关环境保护管理部门作运营工作报告，陈述每个站点和在线监测系统的运营情况。</w:t>
      </w:r>
    </w:p>
    <w:p w14:paraId="0673D938">
      <w:pPr>
        <w:pStyle w:val="25"/>
        <w:numPr>
          <w:ilvl w:val="0"/>
          <w:numId w:val="37"/>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接受环保部门的监督、指导、考核，及时汇报重大事故或仪器严重故障的情况。</w:t>
      </w:r>
    </w:p>
    <w:p w14:paraId="0AD4A843">
      <w:pPr>
        <w:pStyle w:val="6"/>
        <w:numPr>
          <w:ilvl w:val="2"/>
          <w:numId w:val="0"/>
        </w:numPr>
        <w:ind w:leftChars="0"/>
        <w:rPr>
          <w:kern w:val="0"/>
          <w:highlight w:val="none"/>
        </w:rPr>
      </w:pPr>
      <w:r>
        <w:rPr>
          <w:rFonts w:hint="eastAsia"/>
          <w:kern w:val="0"/>
          <w:highlight w:val="none"/>
          <w:lang w:val="en-US" w:eastAsia="zh-CN"/>
        </w:rPr>
        <w:t>2.</w:t>
      </w:r>
      <w:r>
        <w:rPr>
          <w:kern w:val="0"/>
          <w:highlight w:val="none"/>
        </w:rPr>
        <w:t>质控管理</w:t>
      </w:r>
    </w:p>
    <w:p w14:paraId="5579B892">
      <w:pPr>
        <w:pStyle w:val="25"/>
        <w:numPr>
          <w:ilvl w:val="0"/>
          <w:numId w:val="38"/>
        </w:numPr>
        <w:spacing w:line="36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现场校准：根据现场环境状况，利用国标法设备或周边国控站的数据，对微型站进行云平台校正，确保现场设备运行的数据准确可靠。</w:t>
      </w:r>
    </w:p>
    <w:p w14:paraId="0E20ABB4">
      <w:pPr>
        <w:pStyle w:val="25"/>
        <w:numPr>
          <w:ilvl w:val="0"/>
          <w:numId w:val="38"/>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传递校准：在没有国标法设备的情况下，采用移动校准车或便携式校准设备，对微型站数据进行现场比对校准或验证，确保现场测量准确。</w:t>
      </w:r>
    </w:p>
    <w:p w14:paraId="770AC076">
      <w:pPr>
        <w:pStyle w:val="6"/>
        <w:numPr>
          <w:ilvl w:val="2"/>
          <w:numId w:val="0"/>
        </w:numPr>
        <w:ind w:leftChars="0"/>
        <w:rPr>
          <w:kern w:val="0"/>
          <w:highlight w:val="none"/>
        </w:rPr>
      </w:pPr>
      <w:r>
        <w:rPr>
          <w:rFonts w:hint="eastAsia"/>
          <w:kern w:val="0"/>
          <w:highlight w:val="none"/>
          <w:lang w:val="en-US" w:eastAsia="zh-CN"/>
        </w:rPr>
        <w:t>3.</w:t>
      </w:r>
      <w:r>
        <w:rPr>
          <w:kern w:val="0"/>
          <w:highlight w:val="none"/>
        </w:rPr>
        <w:t>日常运维</w:t>
      </w:r>
    </w:p>
    <w:p w14:paraId="5CBC253C">
      <w:pPr>
        <w:pStyle w:val="25"/>
        <w:numPr>
          <w:ilvl w:val="0"/>
          <w:numId w:val="39"/>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周监控：每周检查设备在线率、报警情况、运行维护计划等至少1次；每周及时检查站点电、网络等情况，保证系统仪器具有良好的运行环境；设计表格及时做好记录等。</w:t>
      </w:r>
    </w:p>
    <w:p w14:paraId="08C4FCCA">
      <w:pPr>
        <w:pStyle w:val="25"/>
        <w:numPr>
          <w:ilvl w:val="0"/>
          <w:numId w:val="39"/>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月巡检：每月远程巡检设备运行状况至少1次，具体内容包括设备运行状态、异常率、运行负荷、质控合格情况等，远程巡检如设备状态异常需现场检查仪器等。</w:t>
      </w:r>
    </w:p>
    <w:p w14:paraId="713D009B">
      <w:pPr>
        <w:pStyle w:val="25"/>
        <w:numPr>
          <w:ilvl w:val="0"/>
          <w:numId w:val="39"/>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季度检查：每季度抽取不少于总数5%的站点进行现场检查，检查内容包括周边环境、设备运行状况等。安装气象传感器的站点，应使用标准温湿度气压计、手持式风向风速仪进行比对校准。如果季度抽查不合格比例超过20%，应及时更换不合格产品并将季度检查频次缩短为月度检查等。</w:t>
      </w:r>
    </w:p>
    <w:p w14:paraId="07587B16">
      <w:pPr>
        <w:pStyle w:val="6"/>
        <w:numPr>
          <w:ilvl w:val="2"/>
          <w:numId w:val="0"/>
        </w:numPr>
        <w:ind w:leftChars="0"/>
        <w:rPr>
          <w:kern w:val="0"/>
          <w:highlight w:val="none"/>
        </w:rPr>
      </w:pPr>
      <w:r>
        <w:rPr>
          <w:rFonts w:hint="eastAsia"/>
          <w:kern w:val="0"/>
          <w:highlight w:val="none"/>
          <w:lang w:val="en-US" w:eastAsia="zh-CN"/>
        </w:rPr>
        <w:t>4.</w:t>
      </w:r>
      <w:r>
        <w:rPr>
          <w:kern w:val="0"/>
          <w:highlight w:val="none"/>
        </w:rPr>
        <w:t xml:space="preserve">年度预防性维护 </w:t>
      </w:r>
    </w:p>
    <w:p w14:paraId="2FC9DD1D">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每年至少进行一次预防性检修。</w:t>
      </w:r>
    </w:p>
    <w:p w14:paraId="15661D92">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按仪器使用和维护手册规定的要求，根据使用寿命更换监测仪器中的关键零部件。</w:t>
      </w:r>
    </w:p>
    <w:p w14:paraId="7A3A286B">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对仪器电路各测试点进行测试与调整。</w:t>
      </w:r>
    </w:p>
    <w:p w14:paraId="1B12337A">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对仪器进行气路检漏和流量检查。</w:t>
      </w:r>
    </w:p>
    <w:p w14:paraId="5B449C46">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对仪器气路、电路板和各种接头及插座等进行检查和清洁处理。</w:t>
      </w:r>
    </w:p>
    <w:p w14:paraId="29FDD9DA">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在每次全面预防性检修后，或更换了仪器中的关键零部件后，对仪器重新进行校准和检查。</w:t>
      </w:r>
    </w:p>
    <w:p w14:paraId="4893817B">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对于完成预防性检修的仪器，进行连续24 小时的仪器运行考核，在确认仪器工作正常后，方可投入使用。</w:t>
      </w:r>
    </w:p>
    <w:p w14:paraId="08B64EF8">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维护人员在进行年度维护和大修时，及时做好维护记录。维护记录包含对仪器采取的维护措施和内容，以及校准核查等记录。</w:t>
      </w:r>
    </w:p>
    <w:p w14:paraId="28817584">
      <w:pPr>
        <w:pStyle w:val="25"/>
        <w:numPr>
          <w:ilvl w:val="0"/>
          <w:numId w:val="4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对于因自然老化影响监测数据准确度的仪器和零配件，通过数据审核一经确认不再满足监测要求的，及时更换新机或新零配件，保证数据的联网率、有效率和准确性。</w:t>
      </w:r>
    </w:p>
    <w:p w14:paraId="4A4ECEE0">
      <w:pPr>
        <w:pStyle w:val="5"/>
        <w:rPr>
          <w:rFonts w:cs="Times New Roman"/>
          <w:highlight w:val="none"/>
        </w:rPr>
      </w:pPr>
      <w:r>
        <w:rPr>
          <w:rFonts w:hint="eastAsia" w:cs="Times New Roman"/>
          <w:highlight w:val="none"/>
          <w:lang w:val="en-US" w:eastAsia="zh-CN"/>
        </w:rPr>
        <w:t>3.5</w:t>
      </w:r>
      <w:r>
        <w:rPr>
          <w:rFonts w:cs="Times New Roman"/>
          <w:highlight w:val="none"/>
        </w:rPr>
        <w:t>环境空气质量在线监测系统运维要求</w:t>
      </w:r>
    </w:p>
    <w:p w14:paraId="1C89F58B">
      <w:pPr>
        <w:pStyle w:val="6"/>
        <w:numPr>
          <w:ilvl w:val="2"/>
          <w:numId w:val="0"/>
        </w:numPr>
        <w:spacing w:before="120" w:after="120"/>
        <w:ind w:leftChars="0"/>
        <w:rPr>
          <w:highlight w:val="none"/>
        </w:rPr>
      </w:pPr>
      <w:r>
        <w:rPr>
          <w:rFonts w:hint="eastAsia"/>
          <w:highlight w:val="none"/>
          <w:lang w:val="en-US" w:eastAsia="zh-CN"/>
        </w:rPr>
        <w:t>1.</w:t>
      </w:r>
      <w:r>
        <w:rPr>
          <w:highlight w:val="none"/>
        </w:rPr>
        <w:t>每日工作要求</w:t>
      </w:r>
    </w:p>
    <w:p w14:paraId="0ECE136B">
      <w:pPr>
        <w:ind w:firstLine="480"/>
        <w:rPr>
          <w:rFonts w:cs="Times New Roman"/>
          <w:highlight w:val="none"/>
        </w:rPr>
      </w:pPr>
      <w:r>
        <w:rPr>
          <w:rFonts w:cs="Times New Roman"/>
          <w:highlight w:val="none"/>
        </w:rPr>
        <w:t>每日上午和下午各2次远程查看站点监测数据，分析监测数据，对站点运行情况进行远程诊断和运行管理，包括：</w:t>
      </w:r>
    </w:p>
    <w:p w14:paraId="4B788B97">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判断系统数据采集与传输情况。</w:t>
      </w:r>
    </w:p>
    <w:p w14:paraId="4DFD2A52">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根据电源电压、站房温度、湿度数据判断站房内部情况。</w:t>
      </w:r>
    </w:p>
    <w:p w14:paraId="1DA2298B">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发现运行数据有持续异常值时，应立即通知管理部门，并在规定的时间内解决。</w:t>
      </w:r>
    </w:p>
    <w:p w14:paraId="61F91C84">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根据仪器显示数据判断仪器运行情况。</w:t>
      </w:r>
    </w:p>
    <w:p w14:paraId="577A7BE5">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根据故障报警信号判断现场状况。</w:t>
      </w:r>
    </w:p>
    <w:p w14:paraId="5A441C26">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每日检查数据是否及时上传，发现数据掉线及时恢复。</w:t>
      </w:r>
    </w:p>
    <w:p w14:paraId="3F59B96B">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具备自动零点检查功能的站点，对SO</w:t>
      </w:r>
      <w:r>
        <w:rPr>
          <w:rFonts w:ascii="Times New Roman" w:hAnsi="Times New Roman" w:cs="Times New Roman"/>
          <w:sz w:val="24"/>
          <w:szCs w:val="24"/>
          <w:highlight w:val="none"/>
          <w:vertAlign w:val="subscript"/>
        </w:rPr>
        <w:t>2</w:t>
      </w:r>
      <w:r>
        <w:rPr>
          <w:rFonts w:ascii="Times New Roman" w:hAnsi="Times New Roman" w:cs="Times New Roman"/>
          <w:sz w:val="24"/>
          <w:szCs w:val="24"/>
          <w:highlight w:val="none"/>
        </w:rPr>
        <w:t>、CO、O</w:t>
      </w:r>
      <w:r>
        <w:rPr>
          <w:rFonts w:ascii="Times New Roman" w:hAnsi="Times New Roman" w:cs="Times New Roman"/>
          <w:sz w:val="24"/>
          <w:szCs w:val="24"/>
          <w:highlight w:val="none"/>
          <w:vertAlign w:val="subscript"/>
        </w:rPr>
        <w:t>3</w:t>
      </w:r>
      <w:r>
        <w:rPr>
          <w:rFonts w:ascii="Times New Roman" w:hAnsi="Times New Roman" w:cs="Times New Roman"/>
          <w:sz w:val="24"/>
          <w:szCs w:val="24"/>
          <w:highlight w:val="none"/>
        </w:rPr>
        <w:t>、NO</w:t>
      </w:r>
      <w:r>
        <w:rPr>
          <w:rFonts w:ascii="Times New Roman" w:hAnsi="Times New Roman" w:cs="Times New Roman"/>
          <w:sz w:val="24"/>
          <w:szCs w:val="24"/>
          <w:highlight w:val="none"/>
          <w:vertAlign w:val="subscript"/>
        </w:rPr>
        <w:t>2</w:t>
      </w:r>
      <w:r>
        <w:rPr>
          <w:rFonts w:ascii="Times New Roman" w:hAnsi="Times New Roman" w:cs="Times New Roman"/>
          <w:sz w:val="24"/>
          <w:szCs w:val="24"/>
          <w:highlight w:val="none"/>
        </w:rPr>
        <w:t>分析仪进行零点检查，如果漂移超过国家相关规范要求，需要进行校准。</w:t>
      </w:r>
    </w:p>
    <w:p w14:paraId="06C4091B">
      <w:pPr>
        <w:pStyle w:val="25"/>
        <w:numPr>
          <w:ilvl w:val="0"/>
          <w:numId w:val="41"/>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每日审核前1日各监测点位原始小时值。</w:t>
      </w:r>
    </w:p>
    <w:p w14:paraId="73DCC474">
      <w:pPr>
        <w:pStyle w:val="6"/>
        <w:numPr>
          <w:ilvl w:val="2"/>
          <w:numId w:val="0"/>
        </w:numPr>
        <w:ind w:leftChars="0"/>
        <w:rPr>
          <w:highlight w:val="none"/>
        </w:rPr>
      </w:pPr>
      <w:bookmarkStart w:id="222" w:name="_Toc65677421"/>
      <w:r>
        <w:rPr>
          <w:rFonts w:hint="eastAsia"/>
          <w:highlight w:val="none"/>
          <w:lang w:val="en-US" w:eastAsia="zh-CN"/>
        </w:rPr>
        <w:t>2.</w:t>
      </w:r>
      <w:r>
        <w:rPr>
          <w:highlight w:val="none"/>
        </w:rPr>
        <w:t>每周</w:t>
      </w:r>
      <w:bookmarkEnd w:id="222"/>
      <w:r>
        <w:rPr>
          <w:highlight w:val="none"/>
        </w:rPr>
        <w:t>工作要求</w:t>
      </w:r>
    </w:p>
    <w:p w14:paraId="2E68ED3B">
      <w:pPr>
        <w:ind w:firstLine="480"/>
        <w:rPr>
          <w:rFonts w:cs="Times New Roman"/>
          <w:highlight w:val="none"/>
        </w:rPr>
      </w:pPr>
      <w:r>
        <w:rPr>
          <w:rFonts w:cs="Times New Roman"/>
          <w:highlight w:val="none"/>
        </w:rPr>
        <w:t>每周至少巡视站点1次，并做好巡查记录，巡检时需要完成的工作包括：</w:t>
      </w:r>
    </w:p>
    <w:p w14:paraId="14799732">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查看站点设备是否齐备，无丢失和损坏；检查接地线路是否可靠，排风排气装置工作是否正常，标准气钢瓶阀门是否漏气，标准气的消耗情况。</w:t>
      </w:r>
    </w:p>
    <w:p w14:paraId="4B4AB279">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检查采样和排气管路是否有漏气或堵塞现象，各分析仪器采样流量是否正常。</w:t>
      </w:r>
    </w:p>
    <w:p w14:paraId="3576F57B">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检查各分析仪器的运行状况和工作参数，判断是否正常，如有异常情况及时处理，保证仪器运行正常。</w:t>
      </w:r>
    </w:p>
    <w:p w14:paraId="4D4ED05D">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对SO</w:t>
      </w:r>
      <w:r>
        <w:rPr>
          <w:rFonts w:ascii="Times New Roman" w:hAnsi="Times New Roman" w:cs="Times New Roman"/>
          <w:sz w:val="24"/>
          <w:szCs w:val="24"/>
          <w:highlight w:val="none"/>
          <w:vertAlign w:val="subscript"/>
        </w:rPr>
        <w:t>2</w:t>
      </w:r>
      <w:r>
        <w:rPr>
          <w:rFonts w:ascii="Times New Roman" w:hAnsi="Times New Roman" w:cs="Times New Roman"/>
          <w:sz w:val="24"/>
          <w:szCs w:val="24"/>
          <w:highlight w:val="none"/>
        </w:rPr>
        <w:t>、CO、O</w:t>
      </w:r>
      <w:r>
        <w:rPr>
          <w:rFonts w:ascii="Times New Roman" w:hAnsi="Times New Roman" w:cs="Times New Roman"/>
          <w:sz w:val="24"/>
          <w:szCs w:val="24"/>
          <w:highlight w:val="none"/>
          <w:vertAlign w:val="subscript"/>
        </w:rPr>
        <w:t>3</w:t>
      </w:r>
      <w:r>
        <w:rPr>
          <w:rFonts w:ascii="Times New Roman" w:hAnsi="Times New Roman" w:cs="Times New Roman"/>
          <w:sz w:val="24"/>
          <w:szCs w:val="24"/>
          <w:highlight w:val="none"/>
        </w:rPr>
        <w:t>、NO</w:t>
      </w:r>
      <w:r>
        <w:rPr>
          <w:rFonts w:ascii="Times New Roman" w:hAnsi="Times New Roman" w:cs="Times New Roman"/>
          <w:sz w:val="24"/>
          <w:szCs w:val="24"/>
          <w:highlight w:val="none"/>
          <w:vertAlign w:val="subscript"/>
        </w:rPr>
        <w:t>2</w:t>
      </w:r>
      <w:r>
        <w:rPr>
          <w:rFonts w:ascii="Times New Roman" w:hAnsi="Times New Roman" w:cs="Times New Roman"/>
          <w:sz w:val="24"/>
          <w:szCs w:val="24"/>
          <w:highlight w:val="none"/>
        </w:rPr>
        <w:t>分析仪进行零点、跨度检查，如果漂移超过国家相关规范要求，需要进行校准。</w:t>
      </w:r>
    </w:p>
    <w:p w14:paraId="6CAAAAF9">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检查并记录仪器设备零气、标气输出压力，应与前次检查时基本保持一致。</w:t>
      </w:r>
    </w:p>
    <w:p w14:paraId="3453526C">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检查外部环境是否正常，是否存在对测定结果或运行环境有明显影响的污染源。</w:t>
      </w:r>
    </w:p>
    <w:p w14:paraId="6956C7C7">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检查电路系统和通讯系统，保证系统供电正常，电压稳定。</w:t>
      </w:r>
    </w:p>
    <w:p w14:paraId="58485813">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检查站点的通讯系统，保证站点与远程监控中心的连接正常，数据传输正常。</w:t>
      </w:r>
    </w:p>
    <w:p w14:paraId="0B6F12CD">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检查监测仪器的采样入口与采样支路管线结合部之间安装的过滤膜的污染情况，及时更换滤膜，每周检查监测仪器散热风扇污染情况，及时清洗。</w:t>
      </w:r>
    </w:p>
    <w:p w14:paraId="5413441C">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在冬、夏季节应注意站房室内外温差，若温差较大，应及时改变站房温度或对采样总管采取适当的控制措施，防止出现冷凝现象。</w:t>
      </w:r>
    </w:p>
    <w:p w14:paraId="24D2F18A">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应及时清除站房周围的杂草和积水，当周围树木生长超过规范规定的控制限时，及时剪除对采样或监测光束有影响的树枝。</w:t>
      </w:r>
    </w:p>
    <w:p w14:paraId="6ABD72EB">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应经常检查避雷设施是否可靠、站房是否有漏雨现象、气象杆和天线是否被刮坏，站房外围的其他设施是否损坏或被水淹，如遇到以上问题应及时处理，保证系统安全运行。结合气象预报，在大风、强降水天气来临前，进行站房安全预防性检查，保证站房安全。</w:t>
      </w:r>
    </w:p>
    <w:p w14:paraId="5DD70D8B">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检查站房的安全设施，做好防火防盗工作。</w:t>
      </w:r>
    </w:p>
    <w:p w14:paraId="3868BAC5">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每周对气象仪器运行情况进行检查。</w:t>
      </w:r>
    </w:p>
    <w:p w14:paraId="490A206E">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每周对颗粒物的采样纸带或滤膜进行检查，如纸带即将用尽或滤膜负载超过50%，及时进行更换。</w:t>
      </w:r>
    </w:p>
    <w:p w14:paraId="56C6933E">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每周对站房内外环境卫生进行检查，及时保洁。</w:t>
      </w:r>
    </w:p>
    <w:p w14:paraId="5A4B833F">
      <w:pPr>
        <w:pStyle w:val="25"/>
        <w:numPr>
          <w:ilvl w:val="0"/>
          <w:numId w:val="42"/>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重污染天气过程结束后及时清洗采样系统管路。</w:t>
      </w:r>
    </w:p>
    <w:p w14:paraId="631FF360">
      <w:pPr>
        <w:pStyle w:val="6"/>
        <w:numPr>
          <w:ilvl w:val="2"/>
          <w:numId w:val="0"/>
        </w:numPr>
        <w:ind w:leftChars="0"/>
        <w:rPr>
          <w:highlight w:val="none"/>
        </w:rPr>
      </w:pPr>
      <w:bookmarkStart w:id="223" w:name="_Toc65677422"/>
      <w:r>
        <w:rPr>
          <w:rFonts w:hint="eastAsia"/>
          <w:highlight w:val="none"/>
          <w:lang w:val="en-US" w:eastAsia="zh-CN"/>
        </w:rPr>
        <w:t>3.</w:t>
      </w:r>
      <w:r>
        <w:rPr>
          <w:highlight w:val="none"/>
        </w:rPr>
        <w:t>每月工作</w:t>
      </w:r>
      <w:bookmarkEnd w:id="223"/>
      <w:r>
        <w:rPr>
          <w:highlight w:val="none"/>
        </w:rPr>
        <w:t>要求</w:t>
      </w:r>
    </w:p>
    <w:p w14:paraId="62F347ED">
      <w:pPr>
        <w:pStyle w:val="25"/>
        <w:numPr>
          <w:ilvl w:val="0"/>
          <w:numId w:val="43"/>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清洗PM</w:t>
      </w:r>
      <w:r>
        <w:rPr>
          <w:rFonts w:ascii="Times New Roman" w:hAnsi="Times New Roman" w:cs="Times New Roman"/>
          <w:sz w:val="24"/>
          <w:szCs w:val="24"/>
          <w:highlight w:val="none"/>
          <w:vertAlign w:val="subscript"/>
        </w:rPr>
        <w:t>10</w:t>
      </w:r>
      <w:r>
        <w:rPr>
          <w:rFonts w:ascii="Times New Roman" w:hAnsi="Times New Roman" w:cs="Times New Roman"/>
          <w:sz w:val="24"/>
          <w:szCs w:val="24"/>
          <w:highlight w:val="none"/>
        </w:rPr>
        <w:t>及PM</w:t>
      </w:r>
      <w:r>
        <w:rPr>
          <w:rFonts w:ascii="Times New Roman" w:hAnsi="Times New Roman" w:cs="Times New Roman"/>
          <w:sz w:val="24"/>
          <w:szCs w:val="24"/>
          <w:highlight w:val="none"/>
          <w:vertAlign w:val="subscript"/>
        </w:rPr>
        <w:t>2.5</w:t>
      </w:r>
      <w:r>
        <w:rPr>
          <w:rFonts w:ascii="Times New Roman" w:hAnsi="Times New Roman" w:cs="Times New Roman"/>
          <w:sz w:val="24"/>
          <w:szCs w:val="24"/>
          <w:highlight w:val="none"/>
        </w:rPr>
        <w:t>切割器，检查β射线法颗粒物分析仪器喷嘴、压环等部件。</w:t>
      </w:r>
    </w:p>
    <w:p w14:paraId="38DEEAB6">
      <w:pPr>
        <w:pStyle w:val="25"/>
        <w:numPr>
          <w:ilvl w:val="0"/>
          <w:numId w:val="43"/>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检查PM</w:t>
      </w:r>
      <w:r>
        <w:rPr>
          <w:rFonts w:ascii="Times New Roman" w:hAnsi="Times New Roman" w:cs="Times New Roman"/>
          <w:sz w:val="24"/>
          <w:szCs w:val="24"/>
          <w:highlight w:val="none"/>
          <w:vertAlign w:val="subscript"/>
        </w:rPr>
        <w:t>10</w:t>
      </w:r>
      <w:r>
        <w:rPr>
          <w:rFonts w:ascii="Times New Roman" w:hAnsi="Times New Roman" w:cs="Times New Roman"/>
          <w:sz w:val="24"/>
          <w:szCs w:val="24"/>
          <w:highlight w:val="none"/>
        </w:rPr>
        <w:t>及PM</w:t>
      </w:r>
      <w:r>
        <w:rPr>
          <w:rFonts w:ascii="Times New Roman" w:hAnsi="Times New Roman" w:cs="Times New Roman"/>
          <w:sz w:val="24"/>
          <w:szCs w:val="24"/>
          <w:highlight w:val="none"/>
          <w:vertAlign w:val="subscript"/>
        </w:rPr>
        <w:t>2.5</w:t>
      </w:r>
      <w:r>
        <w:rPr>
          <w:rFonts w:ascii="Times New Roman" w:hAnsi="Times New Roman" w:cs="Times New Roman"/>
          <w:sz w:val="24"/>
          <w:szCs w:val="24"/>
          <w:highlight w:val="none"/>
        </w:rPr>
        <w:t>监测仪、气态分析仪、动态校准仪流量，超过国家相关规范要求的，及时进行校准。</w:t>
      </w:r>
    </w:p>
    <w:p w14:paraId="6690DB1B">
      <w:pPr>
        <w:pStyle w:val="25"/>
        <w:numPr>
          <w:ilvl w:val="0"/>
          <w:numId w:val="43"/>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清洗各仪器散热防尘网和空调机的过滤网，防止尘土阻塞过滤网。</w:t>
      </w:r>
    </w:p>
    <w:p w14:paraId="0BCB77C4">
      <w:pPr>
        <w:pStyle w:val="25"/>
        <w:numPr>
          <w:ilvl w:val="0"/>
          <w:numId w:val="43"/>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检查仪器显示数据和数据采集仪之间的一致性。</w:t>
      </w:r>
    </w:p>
    <w:p w14:paraId="51B586A6">
      <w:pPr>
        <w:pStyle w:val="25"/>
        <w:numPr>
          <w:ilvl w:val="0"/>
          <w:numId w:val="43"/>
        </w:numPr>
        <w:spacing w:line="360" w:lineRule="auto"/>
        <w:ind w:left="902"/>
        <w:rPr>
          <w:rFonts w:ascii="Times New Roman" w:hAnsi="Times New Roman" w:cs="Times New Roman"/>
          <w:sz w:val="24"/>
          <w:szCs w:val="24"/>
          <w:highlight w:val="none"/>
        </w:rPr>
      </w:pPr>
      <w:r>
        <w:rPr>
          <w:rFonts w:ascii="Times New Roman" w:hAnsi="Times New Roman" w:cs="Times New Roman"/>
          <w:sz w:val="24"/>
          <w:szCs w:val="24"/>
          <w:highlight w:val="none"/>
        </w:rPr>
        <w:t>每月对数据和运维记录进行备份。</w:t>
      </w:r>
    </w:p>
    <w:p w14:paraId="71BA855A">
      <w:pPr>
        <w:pStyle w:val="6"/>
        <w:numPr>
          <w:ilvl w:val="2"/>
          <w:numId w:val="0"/>
        </w:numPr>
        <w:ind w:leftChars="0"/>
        <w:rPr>
          <w:highlight w:val="none"/>
        </w:rPr>
      </w:pPr>
      <w:bookmarkStart w:id="224" w:name="_Toc65677423"/>
      <w:r>
        <w:rPr>
          <w:rFonts w:hint="eastAsia"/>
          <w:highlight w:val="none"/>
          <w:lang w:val="en-US" w:eastAsia="zh-CN"/>
        </w:rPr>
        <w:t>4.</w:t>
      </w:r>
      <w:r>
        <w:rPr>
          <w:highlight w:val="none"/>
        </w:rPr>
        <w:t>每季度工作</w:t>
      </w:r>
      <w:bookmarkEnd w:id="224"/>
      <w:r>
        <w:rPr>
          <w:highlight w:val="none"/>
        </w:rPr>
        <w:t>要求</w:t>
      </w:r>
    </w:p>
    <w:p w14:paraId="796B4E49">
      <w:pPr>
        <w:pStyle w:val="25"/>
        <w:numPr>
          <w:ilvl w:val="0"/>
          <w:numId w:val="44"/>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采样总管及采样风机每季度至少清洗一次；</w:t>
      </w:r>
    </w:p>
    <w:p w14:paraId="55766A9B">
      <w:pPr>
        <w:pStyle w:val="25"/>
        <w:numPr>
          <w:ilvl w:val="0"/>
          <w:numId w:val="44"/>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对PM</w:t>
      </w:r>
      <w:r>
        <w:rPr>
          <w:rFonts w:ascii="Times New Roman" w:hAnsi="Times New Roman" w:cs="Times New Roman"/>
          <w:sz w:val="24"/>
          <w:szCs w:val="24"/>
          <w:highlight w:val="none"/>
          <w:vertAlign w:val="subscript"/>
        </w:rPr>
        <w:t>10</w:t>
      </w:r>
      <w:r>
        <w:rPr>
          <w:rFonts w:ascii="Times New Roman" w:hAnsi="Times New Roman" w:cs="Times New Roman"/>
          <w:sz w:val="24"/>
          <w:szCs w:val="24"/>
          <w:highlight w:val="none"/>
        </w:rPr>
        <w:t>和PM</w:t>
      </w:r>
      <w:r>
        <w:rPr>
          <w:rFonts w:ascii="Times New Roman" w:hAnsi="Times New Roman" w:cs="Times New Roman"/>
          <w:sz w:val="24"/>
          <w:szCs w:val="24"/>
          <w:highlight w:val="none"/>
          <w:vertAlign w:val="subscript"/>
        </w:rPr>
        <w:t>2.5</w:t>
      </w:r>
      <w:r>
        <w:rPr>
          <w:rFonts w:ascii="Times New Roman" w:hAnsi="Times New Roman" w:cs="Times New Roman"/>
          <w:sz w:val="24"/>
          <w:szCs w:val="24"/>
          <w:highlight w:val="none"/>
        </w:rPr>
        <w:t>监测仪器进行标准膜校准或K</w:t>
      </w:r>
      <w:r>
        <w:rPr>
          <w:rFonts w:ascii="Times New Roman" w:hAnsi="Times New Roman" w:cs="Times New Roman"/>
          <w:sz w:val="24"/>
          <w:szCs w:val="24"/>
          <w:highlight w:val="none"/>
          <w:vertAlign w:val="subscript"/>
        </w:rPr>
        <w:t>0</w:t>
      </w:r>
      <w:r>
        <w:rPr>
          <w:rFonts w:ascii="Times New Roman" w:hAnsi="Times New Roman" w:cs="Times New Roman"/>
          <w:sz w:val="24"/>
          <w:szCs w:val="24"/>
          <w:highlight w:val="none"/>
        </w:rPr>
        <w:t>值检查，超过国家相关规范要求时，及时进行校准或维修。</w:t>
      </w:r>
    </w:p>
    <w:p w14:paraId="06F36B3B">
      <w:pPr>
        <w:pStyle w:val="25"/>
        <w:numPr>
          <w:ilvl w:val="0"/>
          <w:numId w:val="44"/>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校准和检查 PM</w:t>
      </w:r>
      <w:r>
        <w:rPr>
          <w:rFonts w:hint="eastAsia" w:ascii="Times New Roman" w:hAnsi="Times New Roman" w:cs="Times New Roman"/>
          <w:sz w:val="24"/>
          <w:szCs w:val="24"/>
          <w:highlight w:val="none"/>
          <w:vertAlign w:val="subscript"/>
        </w:rPr>
        <w:t>10</w:t>
      </w:r>
      <w:r>
        <w:rPr>
          <w:rFonts w:hint="eastAsia" w:ascii="Times New Roman" w:hAnsi="Times New Roman" w:cs="Times New Roman"/>
          <w:sz w:val="24"/>
          <w:szCs w:val="24"/>
          <w:highlight w:val="none"/>
        </w:rPr>
        <w:t xml:space="preserve"> 及 PM</w:t>
      </w:r>
      <w:r>
        <w:rPr>
          <w:rFonts w:hint="eastAsia" w:ascii="Times New Roman" w:hAnsi="Times New Roman" w:cs="Times New Roman"/>
          <w:sz w:val="24"/>
          <w:szCs w:val="24"/>
          <w:highlight w:val="none"/>
          <w:vertAlign w:val="subscript"/>
        </w:rPr>
        <w:t>2.5</w:t>
      </w:r>
      <w:r>
        <w:rPr>
          <w:rFonts w:hint="eastAsia" w:ascii="Times New Roman" w:hAnsi="Times New Roman" w:cs="Times New Roman"/>
          <w:sz w:val="24"/>
          <w:szCs w:val="24"/>
          <w:highlight w:val="none"/>
        </w:rPr>
        <w:t xml:space="preserve"> 分析仪的温度、气压和时钟。</w:t>
      </w:r>
    </w:p>
    <w:p w14:paraId="6585EC8B">
      <w:pPr>
        <w:pStyle w:val="25"/>
        <w:numPr>
          <w:ilvl w:val="0"/>
          <w:numId w:val="44"/>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每季度对气态污染物进行精密度校准。</w:t>
      </w:r>
    </w:p>
    <w:p w14:paraId="5DA1B131">
      <w:pPr>
        <w:pStyle w:val="25"/>
        <w:numPr>
          <w:ilvl w:val="0"/>
          <w:numId w:val="44"/>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对气态污染物监测仪进行多点校准，绘制校准曲线，检验相关系数、斜率和截距。</w:t>
      </w:r>
    </w:p>
    <w:p w14:paraId="75E71852">
      <w:pPr>
        <w:pStyle w:val="6"/>
        <w:numPr>
          <w:ilvl w:val="2"/>
          <w:numId w:val="0"/>
        </w:numPr>
        <w:spacing w:before="120" w:after="120"/>
        <w:ind w:leftChars="0"/>
        <w:rPr>
          <w:highlight w:val="none"/>
        </w:rPr>
      </w:pPr>
      <w:bookmarkStart w:id="225" w:name="_Toc65677424"/>
      <w:r>
        <w:rPr>
          <w:rFonts w:hint="eastAsia"/>
          <w:highlight w:val="none"/>
          <w:lang w:val="en-US" w:eastAsia="zh-CN"/>
        </w:rPr>
        <w:t>5.</w:t>
      </w:r>
      <w:r>
        <w:rPr>
          <w:highlight w:val="none"/>
        </w:rPr>
        <w:t>每半年工作</w:t>
      </w:r>
      <w:bookmarkEnd w:id="225"/>
      <w:r>
        <w:rPr>
          <w:highlight w:val="none"/>
        </w:rPr>
        <w:t>要求</w:t>
      </w:r>
    </w:p>
    <w:p w14:paraId="5990D136">
      <w:pPr>
        <w:pStyle w:val="25"/>
        <w:numPr>
          <w:ilvl w:val="0"/>
          <w:numId w:val="45"/>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检查PM</w:t>
      </w:r>
      <w:r>
        <w:rPr>
          <w:rFonts w:ascii="Times New Roman" w:hAnsi="Times New Roman" w:cs="Times New Roman"/>
          <w:sz w:val="24"/>
          <w:szCs w:val="24"/>
          <w:highlight w:val="none"/>
          <w:vertAlign w:val="subscript"/>
        </w:rPr>
        <w:t>2.5</w:t>
      </w:r>
      <w:r>
        <w:rPr>
          <w:rFonts w:ascii="Times New Roman" w:hAnsi="Times New Roman" w:cs="Times New Roman"/>
          <w:sz w:val="24"/>
          <w:szCs w:val="24"/>
          <w:highlight w:val="none"/>
        </w:rPr>
        <w:t>、PM</w:t>
      </w:r>
      <w:r>
        <w:rPr>
          <w:rFonts w:ascii="Times New Roman" w:hAnsi="Times New Roman" w:cs="Times New Roman"/>
          <w:sz w:val="24"/>
          <w:szCs w:val="24"/>
          <w:highlight w:val="none"/>
          <w:vertAlign w:val="subscript"/>
        </w:rPr>
        <w:t>10</w:t>
      </w:r>
      <w:r>
        <w:rPr>
          <w:rFonts w:ascii="Times New Roman" w:hAnsi="Times New Roman" w:cs="Times New Roman"/>
          <w:sz w:val="24"/>
          <w:szCs w:val="24"/>
          <w:highlight w:val="none"/>
        </w:rPr>
        <w:t>分析仪相对湿度、温度传感器和动态加热装置是否正常工作。</w:t>
      </w:r>
    </w:p>
    <w:p w14:paraId="5773AC2D">
      <w:pPr>
        <w:pStyle w:val="25"/>
        <w:numPr>
          <w:ilvl w:val="0"/>
          <w:numId w:val="45"/>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采用臭氧传递标准对站点臭氧工作标准进行标准传递</w:t>
      </w:r>
    </w:p>
    <w:p w14:paraId="697D5553">
      <w:pPr>
        <w:pStyle w:val="25"/>
        <w:numPr>
          <w:ilvl w:val="0"/>
          <w:numId w:val="45"/>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更换零气源净化剂和氧化剂，对零气性能进行检查。</w:t>
      </w:r>
    </w:p>
    <w:p w14:paraId="4636DB13">
      <w:pPr>
        <w:pStyle w:val="25"/>
        <w:numPr>
          <w:ilvl w:val="0"/>
          <w:numId w:val="45"/>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对氮氧化物分析仪钼炉转化率进行检查。</w:t>
      </w:r>
    </w:p>
    <w:p w14:paraId="262DA546">
      <w:pPr>
        <w:pStyle w:val="25"/>
        <w:numPr>
          <w:ilvl w:val="0"/>
          <w:numId w:val="45"/>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采样支管每半年至少清洁1次，必要时更换。</w:t>
      </w:r>
    </w:p>
    <w:p w14:paraId="5B2C8EB9">
      <w:pPr>
        <w:pStyle w:val="6"/>
        <w:numPr>
          <w:ilvl w:val="2"/>
          <w:numId w:val="0"/>
        </w:numPr>
        <w:ind w:leftChars="0"/>
        <w:rPr>
          <w:highlight w:val="none"/>
        </w:rPr>
      </w:pPr>
      <w:bookmarkStart w:id="226" w:name="_Toc65677425"/>
      <w:r>
        <w:rPr>
          <w:rFonts w:hint="eastAsia"/>
          <w:highlight w:val="none"/>
          <w:lang w:val="en-US" w:eastAsia="zh-CN"/>
        </w:rPr>
        <w:t>6.</w:t>
      </w:r>
      <w:r>
        <w:rPr>
          <w:highlight w:val="none"/>
        </w:rPr>
        <w:t>每年工作</w:t>
      </w:r>
      <w:bookmarkEnd w:id="226"/>
      <w:r>
        <w:rPr>
          <w:highlight w:val="none"/>
        </w:rPr>
        <w:t>要求</w:t>
      </w:r>
    </w:p>
    <w:p w14:paraId="627AB148">
      <w:pPr>
        <w:pStyle w:val="25"/>
        <w:numPr>
          <w:ilvl w:val="0"/>
          <w:numId w:val="0"/>
        </w:numPr>
        <w:spacing w:line="360" w:lineRule="auto"/>
        <w:ind w:left="480" w:leftChars="0"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每年对系统、辅助设备、校准或配气设备等开展预防性维护，</w:t>
      </w:r>
      <w:r>
        <w:rPr>
          <w:rFonts w:hint="eastAsia" w:ascii="Times New Roman" w:hAnsi="Times New Roman" w:cs="Times New Roman"/>
          <w:sz w:val="24"/>
          <w:szCs w:val="24"/>
          <w:highlight w:val="none"/>
        </w:rPr>
        <w:t>采样总管每年至少清洁1次，</w:t>
      </w:r>
      <w:r>
        <w:rPr>
          <w:rFonts w:ascii="Times New Roman" w:hAnsi="Times New Roman" w:cs="Times New Roman"/>
          <w:sz w:val="24"/>
          <w:szCs w:val="24"/>
          <w:highlight w:val="none"/>
        </w:rPr>
        <w:t>对关键零部件进行拆卸清洁和保养，按说明书的要求更换备件。</w:t>
      </w:r>
    </w:p>
    <w:p w14:paraId="455C3B08">
      <w:pPr>
        <w:pStyle w:val="6"/>
        <w:numPr>
          <w:ilvl w:val="2"/>
          <w:numId w:val="0"/>
        </w:numPr>
        <w:spacing w:before="0" w:after="0" w:line="240" w:lineRule="auto"/>
        <w:ind w:leftChars="0"/>
        <w:rPr>
          <w:rFonts w:hint="default"/>
          <w:highlight w:val="none"/>
          <w:lang w:val="en-US" w:eastAsia="zh-CN"/>
        </w:rPr>
      </w:pPr>
      <w:r>
        <w:rPr>
          <w:rFonts w:hint="eastAsia"/>
          <w:highlight w:val="none"/>
          <w:lang w:val="en-US" w:eastAsia="zh-CN"/>
        </w:rPr>
        <w:t>3.5其他有关要求</w:t>
      </w:r>
    </w:p>
    <w:bookmarkEnd w:id="221"/>
    <w:p w14:paraId="225B8588">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1.本章内容是根据采购人招标项目的实际需求制定的，涉及采购的货物服务应满足本章“四、技术参数”。</w:t>
      </w:r>
    </w:p>
    <w:p w14:paraId="1B926B16">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投标人报价应为人民币含税全包价，包括招标文件规定的完成通过合同验收并正常运转所必需的有关产品的设计、生产、包装、保险、运输、装卸、安装、调试、培训、税费、验收、保修服务等、一切费用，一旦中标，招标人不再追加支付任何费用。</w:t>
      </w:r>
    </w:p>
    <w:p w14:paraId="2A67625C">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3.所投货物及其有关服务必须符合中华人民共和国的设计和制造生产标准或行业标准。若中标后，投标人必须按合同规定完成设备的安装调试，并达到验收标准。</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4.售后服务要求</w:t>
      </w:r>
    </w:p>
    <w:p w14:paraId="585BF2F4">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(1) </w:t>
      </w:r>
      <w:r>
        <w:rPr>
          <w:rFonts w:hint="eastAsia" w:ascii="宋体" w:hAnsi="宋体" w:eastAsia="宋体" w:cs="宋体"/>
          <w:i/>
          <w:iCs/>
          <w:color w:val="auto"/>
          <w:kern w:val="0"/>
          <w:sz w:val="28"/>
          <w:szCs w:val="28"/>
          <w:highlight w:val="none"/>
          <w:u w:val="single"/>
          <w:lang w:val="en-US" w:eastAsia="zh-CN" w:bidi="ar-SA"/>
        </w:rPr>
        <w:t>响应时间：在接到用户电话或书面通知后4小时内给予答复，紧急问题应在24小时内抵达现场。</w:t>
      </w:r>
      <w:r>
        <w:rPr>
          <w:rFonts w:hint="eastAsia" w:ascii="宋体" w:hAnsi="宋体" w:eastAsia="宋体" w:cs="宋体"/>
          <w:i/>
          <w:iCs/>
          <w:color w:val="auto"/>
          <w:kern w:val="0"/>
          <w:sz w:val="28"/>
          <w:szCs w:val="28"/>
          <w:highlight w:val="none"/>
          <w:u w:val="singl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5. 质量保证</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(1)</w:t>
      </w:r>
      <w:r>
        <w:rPr>
          <w:rFonts w:hint="eastAsia" w:ascii="宋体" w:hAnsi="宋体" w:eastAsia="宋体" w:cs="宋体"/>
          <w:i/>
          <w:iCs/>
          <w:color w:val="auto"/>
          <w:kern w:val="0"/>
          <w:sz w:val="28"/>
          <w:szCs w:val="28"/>
          <w:highlight w:val="none"/>
          <w:u w:val="single"/>
          <w:lang w:val="en-US" w:eastAsia="zh-CN" w:bidi="ar-SA"/>
        </w:rPr>
        <w:t>根据《国家环境空气质量监测网城市站运行管理实施细则（试行）》、《国家环境空气监测网环境空气挥发性有机物连续自动监测质量控制技术规定（试行）》、《环境空气质量自动监测技术规范》等国家相关运行技术规范对本次招标服务内容进行日常运维，遵守并执行国家关于环境空气质量自动站运维、校准等相关文件的要求。如国家技术规范、规定发生变化，按照新的技术规范、规定执行</w:t>
      </w:r>
      <w:r>
        <w:rPr>
          <w:rFonts w:hint="eastAsia" w:ascii="宋体" w:hAnsi="宋体" w:eastAsia="宋体" w:cs="宋体"/>
          <w:color w:val="auto"/>
          <w:kern w:val="0"/>
          <w:sz w:val="28"/>
          <w:szCs w:val="28"/>
          <w:highlight w:val="none"/>
          <w:lang w:val="en-US" w:eastAsia="zh-CN" w:bidi="ar-SA"/>
        </w:rPr>
        <w:t>。</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6.</w:t>
      </w:r>
      <w:r>
        <w:rPr>
          <w:rFonts w:hint="eastAsia" w:ascii="宋体" w:hAnsi="宋体" w:eastAsia="宋体" w:cs="宋体"/>
          <w:i/>
          <w:iCs/>
          <w:color w:val="auto"/>
          <w:kern w:val="0"/>
          <w:sz w:val="28"/>
          <w:szCs w:val="28"/>
          <w:highlight w:val="none"/>
          <w:u w:val="single"/>
          <w:lang w:val="en-US" w:eastAsia="zh-CN" w:bidi="ar-SA"/>
        </w:rPr>
        <w:t>服务期限：2年</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7.</w:t>
      </w:r>
      <w:r>
        <w:rPr>
          <w:rFonts w:hint="eastAsia" w:ascii="宋体" w:hAnsi="宋体" w:eastAsia="宋体" w:cs="宋体"/>
          <w:i/>
          <w:iCs/>
          <w:color w:val="auto"/>
          <w:kern w:val="0"/>
          <w:sz w:val="28"/>
          <w:szCs w:val="28"/>
          <w:highlight w:val="none"/>
          <w:u w:val="single"/>
          <w:lang w:val="en-US" w:eastAsia="zh-CN" w:bidi="ar-SA"/>
        </w:rPr>
        <w:t>入场时间：合同签订后3个工作日内进场</w:t>
      </w:r>
      <w:r>
        <w:rPr>
          <w:rFonts w:hint="eastAsia" w:ascii="宋体" w:hAnsi="宋体" w:eastAsia="宋体" w:cs="宋体"/>
          <w:color w:val="auto"/>
          <w:kern w:val="0"/>
          <w:sz w:val="28"/>
          <w:szCs w:val="28"/>
          <w:highlight w:val="none"/>
          <w:lang w:val="en-US" w:eastAsia="zh-CN" w:bidi="ar-SA"/>
        </w:rPr>
        <w:t>。</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8.付款方式：</w:t>
      </w:r>
      <w:r>
        <w:rPr>
          <w:rFonts w:hint="eastAsia" w:ascii="宋体" w:hAnsi="宋体" w:eastAsia="宋体" w:cs="宋体"/>
          <w:color w:val="auto"/>
          <w:kern w:val="0"/>
          <w:sz w:val="28"/>
          <w:szCs w:val="28"/>
          <w:highlight w:val="none"/>
          <w:lang w:val="en-US" w:eastAsia="zh-CN" w:bidi="ar-SA"/>
        </w:rPr>
        <w:br w:type="textWrapping"/>
      </w:r>
      <w:r>
        <w:rPr>
          <w:rFonts w:hint="eastAsia" w:ascii="宋体" w:hAnsi="宋体" w:eastAsia="宋体" w:cs="宋体"/>
          <w:color w:val="auto"/>
          <w:kern w:val="0"/>
          <w:sz w:val="28"/>
          <w:szCs w:val="28"/>
          <w:highlight w:val="none"/>
          <w:lang w:val="en-US" w:eastAsia="zh-CN" w:bidi="ar-SA"/>
        </w:rPr>
        <w:t xml:space="preserve">    1.预付款  支付时间：合同签订后，采购人收到预付款发票后10个工作日内，预付款支付比例：合同金额的30%。</w:t>
      </w:r>
    </w:p>
    <w:p w14:paraId="6DDE3E19">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 尾款 支付时间：第一年付至中标价的百分之六十，第二年付至中标价的百分之九十，剩余百分之十运维结束后付款。</w:t>
      </w:r>
    </w:p>
    <w:p w14:paraId="3B555194">
      <w:pPr>
        <w:keepNext w:val="0"/>
        <w:keepLines w:val="0"/>
        <w:pageBreakBefore w:val="0"/>
        <w:widowControl/>
        <w:kinsoku/>
        <w:wordWrap/>
        <w:overflowPunct/>
        <w:topLinePunct w:val="0"/>
        <w:autoSpaceDE/>
        <w:autoSpaceDN/>
        <w:bidi w:val="0"/>
        <w:adjustRightInd w:val="0"/>
        <w:snapToGrid w:val="0"/>
        <w:spacing w:line="240" w:lineRule="auto"/>
        <w:ind w:right="0" w:rightChars="0" w:firstLine="560" w:firstLineChars="200"/>
        <w:jc w:val="left"/>
        <w:rPr>
          <w:rFonts w:hint="default" w:ascii="宋体" w:hAnsi="宋体" w:eastAsia="宋体" w:cs="宋体"/>
          <w:color w:val="auto"/>
          <w:kern w:val="0"/>
          <w:sz w:val="28"/>
          <w:szCs w:val="28"/>
          <w:highlight w:val="none"/>
          <w:lang w:val="en-US" w:eastAsia="zh-CN" w:bidi="ar-SA"/>
        </w:rPr>
      </w:pPr>
    </w:p>
    <w:p w14:paraId="4EB10E86">
      <w:pPr>
        <w:keepNext w:val="0"/>
        <w:keepLines w:val="0"/>
        <w:pageBreakBefore w:val="0"/>
        <w:widowControl/>
        <w:kinsoku/>
        <w:wordWrap/>
        <w:overflowPunct/>
        <w:topLinePunct w:val="0"/>
        <w:autoSpaceDE/>
        <w:autoSpaceDN/>
        <w:bidi w:val="0"/>
        <w:adjustRightInd w:val="0"/>
        <w:snapToGrid w:val="0"/>
        <w:spacing w:line="240" w:lineRule="auto"/>
        <w:ind w:right="0" w:rightChars="0" w:firstLine="562" w:firstLineChars="200"/>
        <w:jc w:val="left"/>
        <w:rPr>
          <w:rFonts w:hint="default" w:ascii="宋体" w:hAnsi="宋体" w:cs="宋体" w:eastAsiaTheme="minorEastAsia"/>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9.</w:t>
      </w:r>
      <w:r>
        <w:rPr>
          <w:rFonts w:hint="default" w:ascii="宋体" w:hAnsi="宋体" w:cs="宋体" w:eastAsiaTheme="minorEastAsia"/>
          <w:b/>
          <w:bCs/>
          <w:color w:val="auto"/>
          <w:kern w:val="0"/>
          <w:sz w:val="28"/>
          <w:szCs w:val="28"/>
          <w:highlight w:val="none"/>
          <w:lang w:val="en-US" w:eastAsia="zh-CN" w:bidi="ar-SA"/>
        </w:rPr>
        <w:t>采购标的对应的中小企业划分标准所属行业一览表</w:t>
      </w:r>
    </w:p>
    <w:p w14:paraId="0285288F">
      <w:pPr>
        <w:keepNext w:val="0"/>
        <w:keepLines w:val="0"/>
        <w:pageBreakBefore w:val="0"/>
        <w:widowControl/>
        <w:kinsoku/>
        <w:wordWrap/>
        <w:overflowPunct/>
        <w:topLinePunct w:val="0"/>
        <w:autoSpaceDE/>
        <w:autoSpaceDN/>
        <w:bidi w:val="0"/>
        <w:adjustRightInd w:val="0"/>
        <w:snapToGrid w:val="0"/>
        <w:spacing w:line="240" w:lineRule="auto"/>
        <w:ind w:right="0" w:rightChars="0"/>
        <w:jc w:val="left"/>
        <w:rPr>
          <w:rFonts w:hint="default" w:ascii="宋体" w:hAnsi="宋体" w:eastAsia="宋体" w:cs="宋体"/>
          <w:color w:val="auto"/>
          <w:kern w:val="0"/>
          <w:sz w:val="28"/>
          <w:szCs w:val="28"/>
          <w:highlight w:val="none"/>
          <w:lang w:val="en-US" w:eastAsia="zh-CN" w:bidi="ar-SA"/>
        </w:rPr>
      </w:pPr>
    </w:p>
    <w:tbl>
      <w:tblPr>
        <w:tblStyle w:val="14"/>
        <w:tblW w:w="6688" w:type="dxa"/>
        <w:jc w:val="center"/>
        <w:tblCellSpacing w:w="0" w:type="dxa"/>
        <w:tblLayout w:type="fixed"/>
        <w:tblCellMar>
          <w:top w:w="0" w:type="dxa"/>
          <w:left w:w="108" w:type="dxa"/>
          <w:bottom w:w="0" w:type="dxa"/>
          <w:right w:w="108" w:type="dxa"/>
        </w:tblCellMar>
      </w:tblPr>
      <w:tblGrid>
        <w:gridCol w:w="545"/>
        <w:gridCol w:w="3291"/>
        <w:gridCol w:w="2852"/>
      </w:tblGrid>
      <w:tr w14:paraId="425ECA51">
        <w:tblPrEx>
          <w:tblCellMar>
            <w:top w:w="0" w:type="dxa"/>
            <w:left w:w="108" w:type="dxa"/>
            <w:bottom w:w="0" w:type="dxa"/>
            <w:right w:w="108" w:type="dxa"/>
          </w:tblCellMar>
        </w:tblPrEx>
        <w:trPr>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3F1">
            <w:pPr>
              <w:pStyle w:val="12"/>
              <w:spacing w:beforeAutospacing="0" w:afterAutospacing="0" w:line="0" w:lineRule="atLeast"/>
              <w:jc w:val="center"/>
              <w:rPr>
                <w:highlight w:val="none"/>
              </w:rPr>
            </w:pPr>
            <w:r>
              <w:rPr>
                <w:rFonts w:hint="eastAsia" w:ascii="宋体" w:hAnsi="宋体" w:eastAsia="宋体" w:cs="宋体"/>
                <w:color w:val="FF0000"/>
                <w:highlight w:val="none"/>
              </w:rPr>
              <w:t>序号</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CE1">
            <w:pPr>
              <w:pStyle w:val="12"/>
              <w:spacing w:beforeAutospacing="0" w:afterAutospacing="0" w:line="0" w:lineRule="atLeast"/>
              <w:jc w:val="center"/>
              <w:rPr>
                <w:highlight w:val="none"/>
              </w:rPr>
            </w:pPr>
            <w:r>
              <w:rPr>
                <w:rFonts w:hint="eastAsia" w:ascii="宋体" w:hAnsi="宋体" w:eastAsia="宋体" w:cs="宋体"/>
                <w:color w:val="FF0000"/>
                <w:highlight w:val="none"/>
              </w:rPr>
              <w:t>采购标的</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B9F">
            <w:pPr>
              <w:pStyle w:val="12"/>
              <w:spacing w:beforeAutospacing="0" w:afterAutospacing="0" w:line="0" w:lineRule="atLeast"/>
              <w:jc w:val="center"/>
              <w:rPr>
                <w:highlight w:val="none"/>
              </w:rPr>
            </w:pPr>
            <w:r>
              <w:rPr>
                <w:rFonts w:hint="eastAsia" w:ascii="宋体" w:hAnsi="宋体" w:eastAsia="宋体" w:cs="宋体"/>
                <w:color w:val="FF0000"/>
                <w:highlight w:val="none"/>
              </w:rPr>
              <w:t>对应中小企业划分标准所属行业</w:t>
            </w:r>
          </w:p>
        </w:tc>
      </w:tr>
      <w:tr w14:paraId="574C7A8E">
        <w:tblPrEx>
          <w:tblCellMar>
            <w:top w:w="0" w:type="dxa"/>
            <w:left w:w="108" w:type="dxa"/>
            <w:bottom w:w="0" w:type="dxa"/>
            <w:right w:w="108" w:type="dxa"/>
          </w:tblCellMar>
        </w:tblPrEx>
        <w:trPr>
          <w:trHeight w:val="291" w:hRule="atLeast"/>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2257">
            <w:pPr>
              <w:pStyle w:val="12"/>
              <w:spacing w:beforeAutospacing="0" w:afterAutospacing="0" w:line="0" w:lineRule="atLeast"/>
              <w:jc w:val="center"/>
              <w:rPr>
                <w:highlight w:val="none"/>
              </w:rPr>
            </w:pPr>
            <w:r>
              <w:rPr>
                <w:rFonts w:hint="eastAsia" w:ascii="宋体" w:hAnsi="宋体" w:eastAsia="宋体" w:cs="宋体"/>
                <w:color w:val="FF0000"/>
                <w:highlight w:val="none"/>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A7B">
            <w:pPr>
              <w:pStyle w:val="12"/>
              <w:spacing w:beforeAutospacing="0" w:afterAutospacing="0" w:line="0" w:lineRule="atLeast"/>
              <w:jc w:val="center"/>
              <w:rPr>
                <w:highlight w:val="none"/>
              </w:rPr>
            </w:pPr>
            <w:r>
              <w:rPr>
                <w:highlight w:val="none"/>
              </w:rPr>
              <w:t> </w:t>
            </w:r>
            <w:r>
              <w:rPr>
                <w:rFonts w:hint="eastAsia" w:ascii="宋体" w:hAnsi="宋体" w:eastAsia="宋体" w:cs="宋体"/>
                <w:b w:val="0"/>
                <w:bCs w:val="0"/>
                <w:color w:val="auto"/>
                <w:sz w:val="24"/>
                <w:szCs w:val="21"/>
                <w:highlight w:val="none"/>
                <w:lang w:val="en-US" w:eastAsia="zh-CN"/>
              </w:rPr>
              <w:t>响水经济开发区环境在线监测站2024-2026年度设备运维，运营、维护环境监测设备及监测数据对比工作</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E55">
            <w:pPr>
              <w:pStyle w:val="12"/>
              <w:spacing w:beforeAutospacing="0" w:afterAutospacing="0" w:line="0" w:lineRule="atLeast"/>
              <w:jc w:val="center"/>
              <w:rPr>
                <w:highlight w:val="none"/>
              </w:rPr>
            </w:pPr>
            <w:r>
              <w:rPr>
                <w:highlight w:val="none"/>
              </w:rPr>
              <w:t>其他未列明行业 </w:t>
            </w:r>
          </w:p>
        </w:tc>
      </w:tr>
      <w:tr w14:paraId="3538DD3B">
        <w:tblPrEx>
          <w:tblCellMar>
            <w:top w:w="0" w:type="dxa"/>
            <w:left w:w="108" w:type="dxa"/>
            <w:bottom w:w="0" w:type="dxa"/>
            <w:right w:w="108" w:type="dxa"/>
          </w:tblCellMar>
        </w:tblPrEx>
        <w:trPr>
          <w:trHeight w:val="235" w:hRule="atLeast"/>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5F9">
            <w:pPr>
              <w:pStyle w:val="12"/>
              <w:spacing w:beforeAutospacing="0" w:afterAutospacing="0" w:line="0" w:lineRule="atLeast"/>
              <w:jc w:val="center"/>
              <w:rPr>
                <w:highlight w:val="none"/>
              </w:rPr>
            </w:pPr>
            <w:r>
              <w:rPr>
                <w:rFonts w:hint="eastAsia" w:ascii="宋体" w:hAnsi="宋体" w:eastAsia="宋体" w:cs="宋体"/>
                <w:color w:val="FF0000"/>
                <w:highlight w:val="none"/>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F31">
            <w:pPr>
              <w:pStyle w:val="12"/>
              <w:spacing w:beforeAutospacing="0" w:afterAutospacing="0" w:line="0" w:lineRule="atLeast"/>
              <w:jc w:val="center"/>
              <w:rPr>
                <w:highlight w:val="none"/>
              </w:rPr>
            </w:pPr>
            <w:r>
              <w:rPr>
                <w:highlight w:val="none"/>
              </w:rPr>
              <w:t> </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1CDB">
            <w:pPr>
              <w:pStyle w:val="12"/>
              <w:spacing w:beforeAutospacing="0" w:afterAutospacing="0" w:line="0" w:lineRule="atLeast"/>
              <w:jc w:val="center"/>
              <w:rPr>
                <w:highlight w:val="none"/>
              </w:rPr>
            </w:pPr>
            <w:r>
              <w:rPr>
                <w:highlight w:val="none"/>
              </w:rPr>
              <w:t> </w:t>
            </w:r>
          </w:p>
        </w:tc>
      </w:tr>
      <w:tr w14:paraId="7FD1D76E">
        <w:tblPrEx>
          <w:tblCellMar>
            <w:top w:w="0" w:type="dxa"/>
            <w:left w:w="108" w:type="dxa"/>
            <w:bottom w:w="0" w:type="dxa"/>
            <w:right w:w="108" w:type="dxa"/>
          </w:tblCellMar>
        </w:tblPrEx>
        <w:trPr>
          <w:trHeight w:val="222" w:hRule="atLeast"/>
          <w:tblCellSpacing w:w="0" w:type="dxa"/>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22BE">
            <w:pPr>
              <w:pStyle w:val="12"/>
              <w:spacing w:beforeAutospacing="0" w:afterAutospacing="0" w:line="0" w:lineRule="atLeast"/>
              <w:jc w:val="center"/>
              <w:rPr>
                <w:highlight w:val="none"/>
              </w:rPr>
            </w:pPr>
            <w:r>
              <w:rPr>
                <w:rFonts w:hint="eastAsia" w:ascii="宋体" w:hAnsi="宋体" w:eastAsia="宋体" w:cs="宋体"/>
                <w:color w:val="FF0000"/>
                <w:highlight w:val="none"/>
              </w:rPr>
              <w:t>3</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345">
            <w:pPr>
              <w:pStyle w:val="12"/>
              <w:spacing w:beforeAutospacing="0" w:afterAutospacing="0" w:line="0" w:lineRule="atLeast"/>
              <w:jc w:val="center"/>
              <w:rPr>
                <w:highlight w:val="none"/>
              </w:rPr>
            </w:pPr>
            <w:r>
              <w:rPr>
                <w:rFonts w:hint="eastAsia" w:ascii="宋体" w:hAnsi="宋体" w:eastAsia="宋体" w:cs="宋体"/>
                <w:color w:val="FF0000"/>
                <w:highlight w:val="none"/>
              </w:rPr>
              <w:t>……</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C93">
            <w:pPr>
              <w:pStyle w:val="12"/>
              <w:spacing w:beforeAutospacing="0" w:afterAutospacing="0" w:line="0" w:lineRule="atLeast"/>
              <w:jc w:val="center"/>
              <w:rPr>
                <w:highlight w:val="none"/>
              </w:rPr>
            </w:pPr>
            <w:r>
              <w:rPr>
                <w:highlight w:val="none"/>
              </w:rPr>
              <w:t> </w:t>
            </w:r>
          </w:p>
        </w:tc>
      </w:tr>
    </w:tbl>
    <w:p w14:paraId="5AEDADF9">
      <w:pPr>
        <w:pStyle w:val="12"/>
        <w:spacing w:beforeAutospacing="0" w:afterAutospacing="0" w:line="0" w:lineRule="atLeast"/>
        <w:ind w:firstLine="480"/>
        <w:jc w:val="both"/>
        <w:rPr>
          <w:highlight w:val="none"/>
        </w:rPr>
      </w:pPr>
      <w:r>
        <w:rPr>
          <w:highlight w:val="none"/>
        </w:rPr>
        <w:br w:type="textWrapping"/>
      </w:r>
      <w:r>
        <w:rPr>
          <w:highlight w:val="none"/>
        </w:rPr>
        <w:t> </w:t>
      </w:r>
    </w:p>
    <w:p w14:paraId="63DBA998">
      <w:pPr>
        <w:pStyle w:val="12"/>
        <w:spacing w:beforeAutospacing="0" w:afterAutospacing="0"/>
        <w:ind w:firstLine="602"/>
        <w:jc w:val="both"/>
        <w:rPr>
          <w:highlight w:val="none"/>
        </w:rPr>
      </w:pPr>
      <w:r>
        <w:rPr>
          <w:highlight w:val="none"/>
        </w:rPr>
        <w:t> </w:t>
      </w:r>
    </w:p>
    <w:p w14:paraId="3D6343E8">
      <w:pPr>
        <w:pStyle w:val="12"/>
        <w:spacing w:beforeAutospacing="0" w:afterAutospacing="0"/>
        <w:jc w:val="both"/>
        <w:rPr>
          <w:highlight w:val="none"/>
        </w:rPr>
      </w:pPr>
      <w:r>
        <w:rPr>
          <w:highlight w:val="none"/>
        </w:rPr>
        <w:t> </w:t>
      </w:r>
    </w:p>
    <w:p w14:paraId="5713B4D5">
      <w:pPr>
        <w:pStyle w:val="12"/>
        <w:tabs>
          <w:tab w:val="left" w:pos="6205"/>
        </w:tabs>
        <w:spacing w:beforeAutospacing="0" w:afterAutospacing="0"/>
        <w:jc w:val="both"/>
        <w:rPr>
          <w:highlight w:val="none"/>
        </w:rPr>
      </w:pPr>
      <w:r>
        <w:rPr>
          <w:highlight w:val="none"/>
        </w:rPr>
        <w:t> </w:t>
      </w:r>
    </w:p>
    <w:p w14:paraId="0E322EA5">
      <w:pPr>
        <w:pStyle w:val="12"/>
        <w:keepNext/>
        <w:spacing w:beforeAutospacing="0" w:afterAutospacing="0"/>
        <w:jc w:val="center"/>
        <w:rPr>
          <w:highlight w:val="none"/>
        </w:rPr>
      </w:pPr>
      <w:bookmarkStart w:id="227" w:name="_Toc120614281"/>
      <w:r>
        <w:rPr>
          <w:highlight w:val="none"/>
        </w:rPr>
        <w:t> </w:t>
      </w:r>
    </w:p>
    <w:p w14:paraId="0CDE829A">
      <w:pPr>
        <w:pStyle w:val="12"/>
        <w:spacing w:beforeAutospacing="0" w:afterAutospacing="0"/>
        <w:jc w:val="both"/>
        <w:rPr>
          <w:highlight w:val="none"/>
        </w:rPr>
      </w:pPr>
      <w:r>
        <w:rPr>
          <w:highlight w:val="none"/>
        </w:rPr>
        <w:t> </w:t>
      </w:r>
    </w:p>
    <w:p w14:paraId="15C1233F">
      <w:pPr>
        <w:pStyle w:val="12"/>
        <w:spacing w:beforeAutospacing="0" w:afterAutospacing="0"/>
        <w:jc w:val="both"/>
        <w:rPr>
          <w:highlight w:val="none"/>
        </w:rPr>
      </w:pPr>
    </w:p>
    <w:p w14:paraId="06FE78CD">
      <w:pPr>
        <w:pStyle w:val="12"/>
        <w:spacing w:beforeAutospacing="0" w:afterAutospacing="0"/>
        <w:jc w:val="both"/>
        <w:rPr>
          <w:highlight w:val="none"/>
        </w:rPr>
      </w:pPr>
    </w:p>
    <w:p w14:paraId="56453798">
      <w:pPr>
        <w:pStyle w:val="12"/>
        <w:spacing w:beforeAutospacing="0" w:afterAutospacing="0"/>
        <w:jc w:val="both"/>
        <w:rPr>
          <w:highlight w:val="none"/>
        </w:rPr>
      </w:pPr>
    </w:p>
    <w:p w14:paraId="04727174">
      <w:pPr>
        <w:pStyle w:val="12"/>
        <w:spacing w:beforeAutospacing="0" w:afterAutospacing="0"/>
        <w:jc w:val="both"/>
        <w:rPr>
          <w:highlight w:val="none"/>
        </w:rPr>
      </w:pPr>
    </w:p>
    <w:p w14:paraId="1B2D5D20">
      <w:pPr>
        <w:pStyle w:val="12"/>
        <w:spacing w:beforeAutospacing="0" w:afterAutospacing="0"/>
        <w:jc w:val="both"/>
        <w:rPr>
          <w:highlight w:val="none"/>
        </w:rPr>
      </w:pPr>
    </w:p>
    <w:p w14:paraId="7D128698">
      <w:pPr>
        <w:pStyle w:val="12"/>
        <w:spacing w:beforeAutospacing="0" w:afterAutospacing="0"/>
        <w:jc w:val="both"/>
        <w:rPr>
          <w:highlight w:val="none"/>
        </w:rPr>
      </w:pPr>
    </w:p>
    <w:p w14:paraId="470A6D35">
      <w:pPr>
        <w:pStyle w:val="12"/>
        <w:spacing w:beforeAutospacing="0" w:afterAutospacing="0"/>
        <w:jc w:val="both"/>
        <w:rPr>
          <w:highlight w:val="none"/>
        </w:rPr>
      </w:pP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438C283B">
      <w:pPr>
        <w:pStyle w:val="12"/>
        <w:spacing w:beforeAutospacing="0" w:afterAutospacing="0"/>
        <w:jc w:val="both"/>
        <w:rPr>
          <w:highlight w:val="none"/>
        </w:rPr>
      </w:pPr>
    </w:p>
    <w:p w14:paraId="4865C0C8">
      <w:pPr>
        <w:pStyle w:val="12"/>
        <w:spacing w:beforeAutospacing="0" w:afterAutospacing="0"/>
        <w:jc w:val="both"/>
        <w:rPr>
          <w:highlight w:val="none"/>
        </w:rPr>
      </w:pPr>
    </w:p>
    <w:p w14:paraId="6CC933D6">
      <w:pPr>
        <w:pStyle w:val="12"/>
        <w:spacing w:beforeAutospacing="0" w:afterAutospacing="0"/>
        <w:jc w:val="both"/>
        <w:rPr>
          <w:highlight w:val="none"/>
        </w:rPr>
      </w:pPr>
    </w:p>
    <w:p w14:paraId="72C6B1C0">
      <w:pPr>
        <w:pStyle w:val="12"/>
        <w:spacing w:beforeAutospacing="0" w:afterAutospacing="0"/>
        <w:jc w:val="both"/>
        <w:rPr>
          <w:highlight w:val="none"/>
        </w:rPr>
      </w:pPr>
      <w:r>
        <w:rPr>
          <w:highlight w:val="none"/>
        </w:rPr>
        <w:t> </w:t>
      </w:r>
    </w:p>
    <w:p w14:paraId="3F3F85D7">
      <w:pPr>
        <w:pStyle w:val="12"/>
        <w:keepNext/>
        <w:spacing w:beforeAutospacing="0" w:afterAutospacing="0"/>
        <w:jc w:val="center"/>
        <w:rPr>
          <w:highlight w:val="none"/>
        </w:rPr>
      </w:pPr>
      <w:r>
        <w:rPr>
          <w:highlight w:val="none"/>
        </w:rPr>
        <w:t> </w:t>
      </w:r>
    </w:p>
    <w:p w14:paraId="21227465">
      <w:pPr>
        <w:pStyle w:val="12"/>
        <w:keepNext/>
        <w:spacing w:beforeAutospacing="0" w:afterAutospacing="0"/>
        <w:jc w:val="center"/>
        <w:rPr>
          <w:highlight w:val="none"/>
        </w:rPr>
      </w:pPr>
      <w:r>
        <w:rPr>
          <w:rFonts w:hint="eastAsia" w:ascii="黑体" w:hAnsi="宋体" w:eastAsia="黑体" w:cs="黑体"/>
          <w:color w:val="000000"/>
          <w:sz w:val="44"/>
          <w:szCs w:val="44"/>
          <w:highlight w:val="none"/>
        </w:rPr>
        <w:t xml:space="preserve">第五章  </w:t>
      </w:r>
      <w:r>
        <w:rPr>
          <w:rFonts w:hint="eastAsia" w:ascii="黑体" w:hAnsi="宋体" w:eastAsia="黑体" w:cs="黑体"/>
          <w:b/>
          <w:color w:val="000000"/>
          <w:sz w:val="44"/>
          <w:szCs w:val="44"/>
          <w:highlight w:val="none"/>
        </w:rPr>
        <w:t>评标方法与评标标准</w:t>
      </w:r>
    </w:p>
    <w:p w14:paraId="76BB7ECA">
      <w:pPr>
        <w:pStyle w:val="12"/>
        <w:spacing w:beforeAutospacing="0" w:afterAutospacing="0"/>
        <w:jc w:val="both"/>
        <w:rPr>
          <w:highlight w:val="none"/>
        </w:rPr>
      </w:pPr>
      <w:r>
        <w:rPr>
          <w:highlight w:val="none"/>
        </w:rPr>
        <w:t> </w:t>
      </w:r>
    </w:p>
    <w:p w14:paraId="342342D7">
      <w:pPr>
        <w:pStyle w:val="12"/>
        <w:spacing w:before="120" w:beforeAutospacing="0" w:after="120" w:afterAutospacing="0" w:line="360" w:lineRule="auto"/>
        <w:ind w:firstLine="439"/>
        <w:rPr>
          <w:highlight w:val="none"/>
        </w:rPr>
      </w:pPr>
      <w:r>
        <w:rPr>
          <w:rFonts w:ascii="Arial" w:hAnsi="Arial" w:cs="Arial"/>
          <w:color w:val="00000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662D2602">
      <w:pPr>
        <w:pStyle w:val="12"/>
        <w:spacing w:before="120" w:beforeAutospacing="0" w:after="120" w:afterAutospacing="0" w:line="360" w:lineRule="auto"/>
        <w:ind w:firstLine="441"/>
        <w:rPr>
          <w:highlight w:val="none"/>
        </w:rPr>
      </w:pPr>
      <w:r>
        <w:rPr>
          <w:rFonts w:hint="eastAsia" w:ascii="宋体" w:hAnsi="宋体" w:eastAsia="宋体" w:cs="宋体"/>
          <w:b/>
          <w:color w:val="000000"/>
          <w:highlight w:val="none"/>
        </w:rPr>
        <w:t>政府采购政策功能落实</w:t>
      </w:r>
    </w:p>
    <w:p w14:paraId="1BD848F4">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1、小微型企业价格扣除</w:t>
      </w:r>
    </w:p>
    <w:p w14:paraId="45E10794">
      <w:pPr>
        <w:pStyle w:val="18"/>
        <w:ind w:firstLine="360" w:firstLineChars="150"/>
        <w:rPr>
          <w:rFonts w:ascii="宋体" w:hAnsi="宋体" w:eastAsia="宋体"/>
          <w:highlight w:val="none"/>
        </w:rPr>
      </w:pPr>
      <w:r>
        <w:rPr>
          <w:rFonts w:hint="eastAsia" w:ascii="宋体" w:hAnsi="宋体" w:eastAsia="宋体"/>
          <w:highlight w:val="none"/>
        </w:rPr>
        <w:t>（1）本项目不专门面向中小企业采购，对</w:t>
      </w:r>
      <w:r>
        <w:rPr>
          <w:rFonts w:hint="eastAsia" w:ascii="宋体" w:hAnsi="宋体" w:eastAsia="宋体"/>
          <w:highlight w:val="none"/>
          <w:lang w:val="en-US" w:eastAsia="zh-CN"/>
        </w:rPr>
        <w:t>符合规定的</w:t>
      </w:r>
      <w:r>
        <w:rPr>
          <w:rFonts w:hint="eastAsia" w:ascii="宋体" w:hAnsi="宋体" w:eastAsia="宋体"/>
          <w:highlight w:val="none"/>
        </w:rPr>
        <w:t>小型和微型企业</w:t>
      </w:r>
      <w:r>
        <w:rPr>
          <w:rFonts w:hint="eastAsia" w:ascii="宋体" w:hAnsi="宋体" w:eastAsia="宋体"/>
          <w:highlight w:val="none"/>
          <w:lang w:val="en-US" w:eastAsia="zh-CN"/>
        </w:rPr>
        <w:t>报价</w:t>
      </w:r>
      <w:r>
        <w:rPr>
          <w:rFonts w:hint="eastAsia" w:ascii="宋体" w:hAnsi="宋体" w:eastAsia="宋体"/>
          <w:highlight w:val="none"/>
        </w:rPr>
        <w:t>给予20%的扣除价格，用扣除后的价格参与评审；</w:t>
      </w:r>
    </w:p>
    <w:p w14:paraId="4085B500">
      <w:pPr>
        <w:pStyle w:val="12"/>
        <w:spacing w:before="120" w:beforeAutospacing="0" w:after="120" w:afterAutospacing="0" w:line="0" w:lineRule="atLeast"/>
        <w:ind w:firstLine="360"/>
        <w:rPr>
          <w:highlight w:val="none"/>
        </w:rPr>
      </w:pPr>
      <w:r>
        <w:rPr>
          <w:rFonts w:hint="eastAsia" w:ascii="宋体" w:hAnsi="宋体" w:eastAsia="宋体" w:cs="宋体"/>
          <w:color w:val="000000"/>
          <w:highlight w:val="none"/>
        </w:rPr>
        <w:t>（2）供应商需按照采购文件的要求提供相应的《小微企业声明函》。</w:t>
      </w:r>
    </w:p>
    <w:p w14:paraId="402A65CB">
      <w:pPr>
        <w:pStyle w:val="12"/>
        <w:spacing w:before="120" w:beforeAutospacing="0" w:after="120" w:afterAutospacing="0" w:line="0" w:lineRule="atLeast"/>
        <w:ind w:firstLine="360"/>
        <w:rPr>
          <w:highlight w:val="none"/>
        </w:rPr>
      </w:pPr>
      <w:r>
        <w:rPr>
          <w:rFonts w:hint="eastAsia" w:ascii="宋体" w:hAnsi="宋体" w:eastAsia="宋体" w:cs="宋体"/>
          <w:color w:val="000000"/>
          <w:highlight w:val="none"/>
        </w:rPr>
        <w:t>（3）企业标准请参照《关于印发中小企业划型标准规定的通知》（工信部联企业[2011]300号）文件规定自行填写。</w:t>
      </w:r>
    </w:p>
    <w:p w14:paraId="67973F78">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2、残疾人福利单位价格扣除</w:t>
      </w:r>
    </w:p>
    <w:p w14:paraId="323BA923">
      <w:pPr>
        <w:pStyle w:val="12"/>
        <w:spacing w:before="120" w:beforeAutospacing="0" w:after="120" w:afterAutospacing="0" w:line="0" w:lineRule="atLeast"/>
        <w:ind w:left="120" w:firstLine="360"/>
        <w:rPr>
          <w:rFonts w:hint="eastAsia" w:ascii="宋体" w:hAnsi="宋体" w:eastAsia="宋体" w:cs="宋体"/>
          <w:color w:val="000000"/>
          <w:highlight w:val="none"/>
          <w:u w:val="single"/>
          <w:lang w:eastAsia="zh-CN"/>
        </w:rPr>
      </w:pPr>
      <w:r>
        <w:rPr>
          <w:rFonts w:hint="eastAsia" w:ascii="宋体" w:hAnsi="宋体" w:eastAsia="宋体" w:cs="宋体"/>
          <w:color w:val="000000"/>
          <w:highlight w:val="none"/>
        </w:rPr>
        <w:t>（1）本项目对残疾人福利性单位视同小型、微型企业，给予</w:t>
      </w:r>
      <w:r>
        <w:rPr>
          <w:rFonts w:hint="eastAsia" w:ascii="宋体" w:hAnsi="宋体" w:eastAsia="宋体" w:cs="宋体"/>
          <w:color w:val="000000"/>
          <w:highlight w:val="none"/>
          <w:u w:val="single"/>
        </w:rPr>
        <w:t>20%</w:t>
      </w:r>
      <w:r>
        <w:rPr>
          <w:rFonts w:hint="eastAsia" w:ascii="宋体" w:hAnsi="宋体" w:eastAsia="宋体" w:cs="宋体"/>
          <w:color w:val="000000"/>
          <w:highlight w:val="none"/>
          <w:u w:val="single"/>
          <w:lang w:eastAsia="zh-CN"/>
        </w:rPr>
        <w:t>的价格扣除。</w:t>
      </w:r>
    </w:p>
    <w:p w14:paraId="6ADBB7BC">
      <w:pPr>
        <w:pStyle w:val="12"/>
        <w:spacing w:before="120" w:beforeAutospacing="0" w:after="120" w:afterAutospacing="0" w:line="0" w:lineRule="atLeast"/>
        <w:ind w:left="120" w:firstLine="360"/>
        <w:rPr>
          <w:highlight w:val="none"/>
        </w:rPr>
      </w:pPr>
      <w:r>
        <w:rPr>
          <w:rFonts w:hint="eastAsia" w:ascii="宋体" w:hAnsi="宋体" w:eastAsia="宋体" w:cs="宋体"/>
          <w:color w:val="000000"/>
          <w:highlight w:val="none"/>
        </w:rPr>
        <w:t>（2）残疾人福利单位需按照采购文件的要求提供《残疾人福利性单位声明函》。</w:t>
      </w:r>
    </w:p>
    <w:p w14:paraId="468C528F">
      <w:pPr>
        <w:pStyle w:val="12"/>
        <w:spacing w:before="120" w:beforeAutospacing="0" w:after="120" w:afterAutospacing="0" w:line="0" w:lineRule="atLeast"/>
        <w:ind w:left="120" w:firstLine="360"/>
        <w:rPr>
          <w:highlight w:val="none"/>
        </w:rPr>
      </w:pPr>
      <w:r>
        <w:rPr>
          <w:rFonts w:hint="eastAsia" w:ascii="宋体" w:hAnsi="宋体" w:eastAsia="宋体" w:cs="宋体"/>
          <w:color w:val="000000"/>
          <w:highlight w:val="none"/>
        </w:rPr>
        <w:t>（3）残疾人福利单位标准请参照《关于促进残疾人就业政府采购政策的通知》（财库〔2017〕141号）。</w:t>
      </w:r>
    </w:p>
    <w:p w14:paraId="6F55DBBC">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3、监狱和戒毒企业价格扣除</w:t>
      </w:r>
    </w:p>
    <w:p w14:paraId="21E29C48">
      <w:pPr>
        <w:pStyle w:val="12"/>
        <w:spacing w:before="120" w:beforeAutospacing="0" w:after="120" w:afterAutospacing="0" w:line="0" w:lineRule="atLeast"/>
        <w:ind w:left="120" w:firstLine="360"/>
        <w:rPr>
          <w:rFonts w:ascii="宋体" w:hAnsi="宋体" w:eastAsia="宋体" w:cs="宋体"/>
          <w:color w:val="000000"/>
          <w:highlight w:val="none"/>
          <w:u w:val="single"/>
        </w:rPr>
      </w:pPr>
      <w:r>
        <w:rPr>
          <w:rFonts w:hint="eastAsia" w:ascii="宋体" w:hAnsi="宋体" w:eastAsia="宋体" w:cs="宋体"/>
          <w:color w:val="000000"/>
          <w:highlight w:val="none"/>
        </w:rPr>
        <w:t>（1）本项目对监狱和戒毒企业（简称监狱企业）视同小型、微型企业，给予</w:t>
      </w:r>
      <w:r>
        <w:rPr>
          <w:rFonts w:hint="eastAsia" w:ascii="宋体" w:hAnsi="宋体" w:eastAsia="宋体" w:cs="宋体"/>
          <w:color w:val="000000"/>
          <w:highlight w:val="none"/>
          <w:u w:val="single"/>
        </w:rPr>
        <w:t>20%</w:t>
      </w:r>
      <w:r>
        <w:rPr>
          <w:rFonts w:hint="eastAsia" w:ascii="宋体" w:hAnsi="宋体" w:eastAsia="宋体" w:cs="宋体"/>
          <w:color w:val="000000"/>
          <w:highlight w:val="none"/>
          <w:u w:val="single"/>
          <w:lang w:eastAsia="zh-CN"/>
        </w:rPr>
        <w:t>的价格扣除。</w:t>
      </w:r>
    </w:p>
    <w:p w14:paraId="590B1540">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（2）监狱企业参加政府采购活动时，需提供由省级以上监狱管理局、戒毒管理局(含新疆生产建设兵团)出具的属于监狱企业的证明文件。供应商如不提供上述证明文件，价格将不做相应扣除。</w:t>
      </w:r>
    </w:p>
    <w:p w14:paraId="08568066">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（3）监狱企业标准请参照《关于政府采购支持监狱企业发展有关问题的通知》（财库[2014]68号）。</w:t>
      </w:r>
    </w:p>
    <w:p w14:paraId="087F5895">
      <w:pPr>
        <w:pStyle w:val="12"/>
        <w:spacing w:before="120" w:beforeAutospacing="0" w:after="120" w:afterAutospacing="0" w:line="0" w:lineRule="atLeast"/>
        <w:ind w:firstLine="480"/>
        <w:rPr>
          <w:highlight w:val="none"/>
        </w:rPr>
      </w:pPr>
      <w:r>
        <w:rPr>
          <w:rFonts w:hint="eastAsia" w:ascii="宋体" w:hAnsi="宋体" w:eastAsia="宋体" w:cs="宋体"/>
          <w:color w:val="000000"/>
          <w:highlight w:val="none"/>
        </w:rPr>
        <w:t>4、残疾人福利单位、监狱企业属于小型、微型企业的，不重复享受政策。</w:t>
      </w:r>
    </w:p>
    <w:p w14:paraId="4839894E">
      <w:pPr>
        <w:pStyle w:val="12"/>
        <w:spacing w:before="120" w:beforeAutospacing="0" w:after="120" w:afterAutospacing="0" w:line="0" w:lineRule="atLeast"/>
        <w:ind w:firstLine="480"/>
        <w:rPr>
          <w:rFonts w:ascii="宋体" w:hAnsi="宋体" w:eastAsia="宋体" w:cs="宋体"/>
          <w:color w:val="000000"/>
          <w:highlight w:val="none"/>
        </w:rPr>
      </w:pPr>
      <w:r>
        <w:rPr>
          <w:rFonts w:hint="eastAsia" w:ascii="宋体" w:hAnsi="宋体" w:eastAsia="宋体" w:cs="宋体"/>
          <w:color w:val="000000"/>
          <w:highlight w:val="none"/>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eastAsia="宋体" w:cs="宋体"/>
          <w:color w:val="000000"/>
          <w:highlight w:val="none"/>
          <w:u w:val="single"/>
        </w:rPr>
        <w:t>6%</w:t>
      </w:r>
      <w:r>
        <w:rPr>
          <w:rFonts w:hint="eastAsia" w:ascii="宋体" w:hAnsi="宋体" w:eastAsia="宋体" w:cs="宋体"/>
          <w:color w:val="000000"/>
          <w:highlight w:val="none"/>
        </w:rPr>
        <w:t>的价格扣除，用扣除后的价格参与评审。</w:t>
      </w:r>
    </w:p>
    <w:p w14:paraId="607E65D3">
      <w:pPr>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eastAsia="宋体" w:cs="宋体"/>
          <w:b/>
          <w:i/>
          <w:color w:val="auto"/>
          <w:kern w:val="0"/>
          <w:sz w:val="24"/>
          <w:highlight w:val="none"/>
        </w:rPr>
        <w:t>如属政府强制采购产品未提供认证证书的或认证证书提供不全的将视为未实质性响应采购要求</w:t>
      </w:r>
      <w:r>
        <w:rPr>
          <w:rFonts w:hint="eastAsia" w:ascii="宋体" w:hAnsi="宋体" w:eastAsia="宋体" w:cs="宋体"/>
          <w:i/>
          <w:color w:val="auto"/>
          <w:kern w:val="0"/>
          <w:sz w:val="24"/>
          <w:highlight w:val="none"/>
        </w:rPr>
        <w:t>。</w:t>
      </w:r>
      <w:r>
        <w:rPr>
          <w:rFonts w:hint="eastAsia" w:ascii="宋体" w:hAnsi="宋体" w:eastAsia="宋体" w:cs="宋体"/>
          <w:color w:val="auto"/>
          <w:kern w:val="0"/>
          <w:sz w:val="24"/>
          <w:highlight w:val="none"/>
        </w:rPr>
        <w:t>其他条件相同情况下，应当优先采购节能产品、环境标志产品。</w:t>
      </w:r>
    </w:p>
    <w:p w14:paraId="63EF21DE">
      <w:pPr>
        <w:pStyle w:val="12"/>
        <w:spacing w:before="120" w:beforeAutospacing="0" w:after="120" w:afterAutospacing="0" w:line="0" w:lineRule="atLeast"/>
        <w:ind w:firstLine="473"/>
        <w:rPr>
          <w:highlight w:val="none"/>
        </w:rPr>
      </w:pP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、根据《江苏省政府采购信用管理暂行办法》的规定，供应商信用评价结果为三星的扣2分，评价结果为二星的扣3分，评价结果为一星的扣4分。</w:t>
      </w:r>
    </w:p>
    <w:p w14:paraId="154C4C40">
      <w:pPr>
        <w:pStyle w:val="12"/>
        <w:spacing w:before="120" w:beforeAutospacing="0" w:after="120" w:afterAutospacing="0" w:line="0" w:lineRule="atLeast"/>
        <w:ind w:firstLine="482"/>
        <w:rPr>
          <w:highlight w:val="none"/>
        </w:rPr>
      </w:pPr>
      <w:r>
        <w:rPr>
          <w:rFonts w:hint="eastAsia" w:ascii="宋体" w:hAnsi="宋体" w:eastAsia="宋体" w:cs="宋体"/>
          <w:b/>
          <w:color w:val="000000"/>
          <w:highlight w:val="none"/>
        </w:rPr>
        <w:t>评标方法与评标标准</w:t>
      </w:r>
    </w:p>
    <w:p w14:paraId="406D2A5F">
      <w:pPr>
        <w:pStyle w:val="12"/>
        <w:spacing w:beforeAutospacing="0" w:afterAutospacing="0"/>
        <w:jc w:val="both"/>
        <w:rPr>
          <w:highlight w:val="none"/>
        </w:rPr>
      </w:pPr>
      <w:r>
        <w:rPr>
          <w:highlight w:val="none"/>
        </w:rPr>
        <w:t> </w:t>
      </w:r>
    </w:p>
    <w:p w14:paraId="7C554D91">
      <w:pPr>
        <w:pStyle w:val="12"/>
        <w:spacing w:beforeAutospacing="0" w:afterAutospacing="0"/>
        <w:jc w:val="both"/>
        <w:rPr>
          <w:highlight w:val="none"/>
        </w:rPr>
      </w:pPr>
      <w:r>
        <w:rPr>
          <w:highlight w:val="none"/>
        </w:rPr>
        <w:t> </w:t>
      </w:r>
    </w:p>
    <w:tbl>
      <w:tblPr>
        <w:tblStyle w:val="14"/>
        <w:tblW w:w="86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1599"/>
        <w:gridCol w:w="7064"/>
      </w:tblGrid>
      <w:tr w14:paraId="2D636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dxa"/>
          <w:trHeight w:val="496" w:hRule="atLeast"/>
        </w:trPr>
        <w:tc>
          <w:tcPr>
            <w:tcW w:w="1599" w:type="dxa"/>
            <w:vAlign w:val="center"/>
          </w:tcPr>
          <w:p w14:paraId="6B6F7029">
            <w:pPr>
              <w:pStyle w:val="30"/>
              <w:spacing w:before="75" w:line="360" w:lineRule="auto"/>
              <w:ind w:left="61" w:leftChars="0" w:right="50" w:rightChars="0"/>
              <w:jc w:val="center"/>
              <w:rPr>
                <w:rFonts w:ascii="宋体" w:hAnsi="宋体" w:cs="宋体"/>
                <w:b/>
                <w:bCs/>
                <w:szCs w:val="21"/>
                <w:highlight w:val="none"/>
              </w:rPr>
            </w:pPr>
            <w:r>
              <w:rPr>
                <w:rFonts w:hint="eastAsia" w:ascii="宋体" w:hAnsi="宋体" w:cs="宋体"/>
                <w:b/>
                <w:bCs/>
                <w:spacing w:val="-4"/>
                <w:szCs w:val="21"/>
                <w:highlight w:val="none"/>
              </w:rPr>
              <w:t>评审因素</w:t>
            </w:r>
          </w:p>
        </w:tc>
        <w:tc>
          <w:tcPr>
            <w:tcW w:w="7064" w:type="dxa"/>
            <w:vAlign w:val="center"/>
          </w:tcPr>
          <w:p w14:paraId="3A9884E0">
            <w:pPr>
              <w:pStyle w:val="30"/>
              <w:spacing w:before="75" w:line="360" w:lineRule="auto"/>
              <w:ind w:left="1901" w:leftChars="0" w:right="1888" w:rightChars="0"/>
              <w:jc w:val="center"/>
              <w:rPr>
                <w:rFonts w:ascii="宋体" w:hAnsi="宋体" w:cs="宋体"/>
                <w:b/>
                <w:bCs/>
                <w:szCs w:val="21"/>
                <w:highlight w:val="none"/>
              </w:rPr>
            </w:pPr>
            <w:r>
              <w:rPr>
                <w:rFonts w:hint="eastAsia" w:ascii="宋体" w:hAnsi="宋体" w:cs="宋体"/>
                <w:b/>
                <w:bCs/>
                <w:spacing w:val="-4"/>
                <w:szCs w:val="21"/>
                <w:highlight w:val="none"/>
              </w:rPr>
              <w:t>评审标准</w:t>
            </w:r>
          </w:p>
        </w:tc>
      </w:tr>
      <w:tr w14:paraId="2FF0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3" w:hRule="atLeast"/>
        </w:trPr>
        <w:tc>
          <w:tcPr>
            <w:tcW w:w="1605" w:type="dxa"/>
            <w:gridSpan w:val="2"/>
            <w:tcBorders>
              <w:top w:val="single" w:color="auto" w:sz="4" w:space="0"/>
              <w:left w:val="single" w:color="auto" w:sz="4" w:space="0"/>
              <w:right w:val="single" w:color="auto" w:sz="4" w:space="0"/>
            </w:tcBorders>
            <w:vAlign w:val="center"/>
          </w:tcPr>
          <w:p w14:paraId="4A4FB4AA">
            <w:pPr>
              <w:spacing w:line="300" w:lineRule="auto"/>
              <w:ind w:firstLine="420" w:firstLineChars="200"/>
              <w:jc w:val="center"/>
              <w:rPr>
                <w:rFonts w:hint="default"/>
                <w:highlight w:val="none"/>
                <w:lang w:val="en-US" w:eastAsia="zh-CN"/>
              </w:rPr>
            </w:pPr>
            <w:r>
              <w:rPr>
                <w:rFonts w:hint="eastAsia" w:ascii="宋体" w:hAnsi="宋体" w:cs="宋体"/>
                <w:color w:val="000000"/>
                <w:szCs w:val="21"/>
                <w:highlight w:val="none"/>
              </w:rPr>
              <w:t>价格</w:t>
            </w:r>
            <w:r>
              <w:rPr>
                <w:rFonts w:hint="eastAsia" w:ascii="宋体" w:hAnsi="宋体" w:cs="宋体"/>
                <w:color w:val="000000"/>
                <w:szCs w:val="21"/>
                <w:highlight w:val="none"/>
              </w:rPr>
              <w:br w:type="textWrapping"/>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1B39CF1C">
            <w:pPr>
              <w:spacing w:line="300" w:lineRule="auto"/>
              <w:rPr>
                <w:rFonts w:hint="eastAsia" w:ascii="宋体" w:hAnsi="宋体" w:cs="宋体"/>
                <w:color w:val="000000"/>
                <w:highlight w:val="none"/>
              </w:rPr>
            </w:pPr>
            <w:r>
              <w:rPr>
                <w:rFonts w:hint="eastAsia" w:ascii="宋体" w:hAnsi="宋体" w:cs="宋体"/>
                <w:color w:val="000000"/>
                <w:highlight w:val="none"/>
              </w:rPr>
              <w:t>满足招标文件要求且有效报价的最低投标报价为评标基准价，其价格分为满分。其他投标人的价格分统一按照下列公式计算：</w:t>
            </w:r>
          </w:p>
          <w:p w14:paraId="7E149131">
            <w:pPr>
              <w:spacing w:line="300" w:lineRule="auto"/>
              <w:rPr>
                <w:rFonts w:hint="eastAsia" w:ascii="宋体" w:hAnsi="宋体" w:cs="宋体"/>
                <w:color w:val="000000"/>
                <w:highlight w:val="none"/>
              </w:rPr>
            </w:pPr>
            <w:r>
              <w:rPr>
                <w:rFonts w:hint="eastAsia" w:ascii="宋体" w:hAnsi="宋体" w:cs="宋体"/>
                <w:color w:val="000000"/>
                <w:highlight w:val="none"/>
              </w:rPr>
              <w:t>投标报价得分=（评标基准价／投标报价）×</w:t>
            </w:r>
            <w:r>
              <w:rPr>
                <w:rFonts w:hint="eastAsia" w:ascii="宋体" w:hAnsi="宋体" w:cs="宋体"/>
                <w:color w:val="000000"/>
                <w:highlight w:val="none"/>
                <w:lang w:val="en-US" w:eastAsia="zh-CN"/>
              </w:rPr>
              <w:t>16</w:t>
            </w:r>
            <w:r>
              <w:rPr>
                <w:rFonts w:hint="eastAsia" w:ascii="宋体" w:hAnsi="宋体" w:cs="宋体"/>
                <w:color w:val="000000"/>
                <w:highlight w:val="none"/>
              </w:rPr>
              <w:t>。</w:t>
            </w:r>
          </w:p>
          <w:p w14:paraId="1BD719E1">
            <w:pPr>
              <w:spacing w:line="300" w:lineRule="auto"/>
              <w:ind w:firstLine="420" w:firstLineChars="200"/>
              <w:rPr>
                <w:rFonts w:hint="eastAsia" w:ascii="宋体" w:hAnsi="宋体" w:cs="宋体"/>
                <w:color w:val="000000"/>
                <w:sz w:val="24"/>
                <w:szCs w:val="24"/>
                <w:highlight w:val="none"/>
                <w:lang w:val="en-US" w:eastAsia="zh-CN"/>
              </w:rPr>
            </w:pPr>
            <w:r>
              <w:rPr>
                <w:rFonts w:hint="eastAsia" w:ascii="宋体" w:hAnsi="宋体" w:cs="宋体"/>
                <w:bCs/>
                <w:color w:val="000000"/>
                <w:highlight w:val="none"/>
              </w:rPr>
              <w:t>本项目对小型和微型企业产品给予</w:t>
            </w:r>
            <w:r>
              <w:rPr>
                <w:rFonts w:hint="eastAsia" w:ascii="宋体" w:hAnsi="宋体" w:cs="宋体"/>
                <w:bCs/>
                <w:color w:val="000000"/>
                <w:highlight w:val="none"/>
                <w:lang w:val="en-US" w:eastAsia="zh-CN"/>
              </w:rPr>
              <w:t>20</w:t>
            </w:r>
            <w:r>
              <w:rPr>
                <w:rFonts w:hint="eastAsia" w:ascii="宋体" w:hAnsi="宋体" w:cs="宋体"/>
                <w:bCs/>
                <w:color w:val="000000"/>
                <w:highlight w:val="none"/>
              </w:rPr>
              <w:t>%的扣除价格，用扣除后的价格参与评审。残疾人福利性单位视同小型、微型企业。残疾人福利单位属于小型、微型企业的，不重复享受政策。</w:t>
            </w:r>
          </w:p>
        </w:tc>
      </w:tr>
      <w:tr w14:paraId="4779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4" w:hRule="atLeast"/>
        </w:trPr>
        <w:tc>
          <w:tcPr>
            <w:tcW w:w="1605" w:type="dxa"/>
            <w:gridSpan w:val="2"/>
            <w:tcBorders>
              <w:left w:val="single" w:color="auto" w:sz="4" w:space="0"/>
              <w:right w:val="single" w:color="auto" w:sz="4" w:space="0"/>
            </w:tcBorders>
            <w:vAlign w:val="center"/>
          </w:tcPr>
          <w:p w14:paraId="22A1A1F8">
            <w:pPr>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pacing w:val="-2"/>
                <w:position w:val="6"/>
                <w:sz w:val="24"/>
                <w:szCs w:val="24"/>
                <w:highlight w:val="none"/>
              </w:rPr>
              <w:t>类似业绩（</w:t>
            </w:r>
            <w:r>
              <w:rPr>
                <w:rFonts w:hint="eastAsia" w:ascii="宋体" w:hAnsi="宋体" w:cs="宋体"/>
                <w:spacing w:val="-2"/>
                <w:position w:val="6"/>
                <w:sz w:val="24"/>
                <w:szCs w:val="24"/>
                <w:highlight w:val="none"/>
                <w:lang w:val="en-US" w:eastAsia="zh-CN"/>
              </w:rPr>
              <w:t>8</w:t>
            </w:r>
            <w:r>
              <w:rPr>
                <w:rFonts w:hint="eastAsia" w:ascii="宋体" w:hAnsi="宋体" w:eastAsia="宋体" w:cs="宋体"/>
                <w:spacing w:val="-2"/>
                <w:position w:val="6"/>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796D4B4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投标人须提供从20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年1月起至今（以合同签订时间为准）承担过类似</w:t>
            </w:r>
            <w:r>
              <w:rPr>
                <w:rFonts w:hint="eastAsia" w:ascii="宋体" w:hAnsi="宋体" w:cs="宋体"/>
                <w:color w:val="000000"/>
                <w:sz w:val="24"/>
                <w:szCs w:val="24"/>
                <w:highlight w:val="none"/>
                <w:lang w:val="en-US" w:eastAsia="zh-CN"/>
              </w:rPr>
              <w:t>环境监测设备</w:t>
            </w:r>
            <w:r>
              <w:rPr>
                <w:rFonts w:hint="eastAsia" w:ascii="宋体" w:hAnsi="宋体" w:eastAsia="宋体" w:cs="宋体"/>
                <w:color w:val="000000"/>
                <w:sz w:val="24"/>
                <w:szCs w:val="24"/>
                <w:highlight w:val="none"/>
              </w:rPr>
              <w:t>运维服务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至少包含环境空气监测站运维服务）</w:t>
            </w:r>
            <w:r>
              <w:rPr>
                <w:rFonts w:hint="eastAsia" w:ascii="宋体" w:hAnsi="宋体" w:eastAsia="宋体" w:cs="宋体"/>
                <w:color w:val="000000"/>
                <w:sz w:val="24"/>
                <w:szCs w:val="24"/>
                <w:highlight w:val="none"/>
              </w:rPr>
              <w:t>，每提供一个得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分，最高得</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p w14:paraId="746685A5">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w:t>
            </w:r>
            <w:r>
              <w:rPr>
                <w:rFonts w:hint="eastAsia" w:ascii="宋体" w:hAnsi="宋体" w:cs="宋体"/>
                <w:color w:val="000000"/>
                <w:sz w:val="24"/>
                <w:szCs w:val="24"/>
                <w:highlight w:val="none"/>
                <w:lang w:val="en-US" w:eastAsia="zh-CN"/>
              </w:rPr>
              <w:t>提供合同原件扫描件上传于电子投标文件中，否则不得分</w:t>
            </w:r>
            <w:r>
              <w:rPr>
                <w:rFonts w:hint="eastAsia" w:ascii="宋体" w:hAnsi="宋体" w:eastAsia="宋体" w:cs="宋体"/>
                <w:color w:val="000000"/>
                <w:sz w:val="24"/>
                <w:szCs w:val="24"/>
                <w:highlight w:val="none"/>
              </w:rPr>
              <w:t>。</w:t>
            </w:r>
          </w:p>
        </w:tc>
      </w:tr>
      <w:tr w14:paraId="5F84A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1605" w:type="dxa"/>
            <w:gridSpan w:val="2"/>
            <w:tcBorders>
              <w:left w:val="single" w:color="auto" w:sz="4" w:space="0"/>
              <w:right w:val="single" w:color="auto" w:sz="4" w:space="0"/>
            </w:tcBorders>
            <w:vAlign w:val="center"/>
          </w:tcPr>
          <w:p w14:paraId="12FB3EAD">
            <w:pPr>
              <w:keepNext w:val="0"/>
              <w:keepLines w:val="0"/>
              <w:pageBreakBefore w:val="0"/>
              <w:kinsoku/>
              <w:wordWrap/>
              <w:overflowPunct/>
              <w:topLinePunct w:val="0"/>
              <w:autoSpaceDE/>
              <w:autoSpaceDN/>
              <w:bidi w:val="0"/>
              <w:adjustRightInd/>
              <w:spacing w:before="183"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人员、车辆配置（</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0978288E">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本项目的拟派人员（</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分）</w:t>
            </w:r>
          </w:p>
          <w:p w14:paraId="3BED5561">
            <w:pPr>
              <w:keepNext w:val="0"/>
              <w:keepLines w:val="0"/>
              <w:pageBreakBefore w:val="0"/>
              <w:numPr>
                <w:ilvl w:val="-1"/>
                <w:numId w:val="0"/>
              </w:numPr>
              <w:shd w:val="clear"/>
              <w:kinsoku/>
              <w:wordWrap/>
              <w:overflowPunct/>
              <w:topLinePunct w:val="0"/>
              <w:autoSpaceDE/>
              <w:autoSpaceDN/>
              <w:bidi w:val="0"/>
              <w:adjustRightInd/>
              <w:spacing w:line="360" w:lineRule="auto"/>
              <w:ind w:leftChars="0" w:firstLine="0" w:firstLineChars="0"/>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1）拟投入本项目的人员数，在满足招标文件要求的基础上，每增加1人，得2分，本项最多可得4分。</w:t>
            </w:r>
          </w:p>
          <w:p w14:paraId="07285CE8">
            <w:pPr>
              <w:keepNext w:val="0"/>
              <w:keepLines w:val="0"/>
              <w:pageBreakBefore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2、本项目的拟派车辆（4分）：</w:t>
            </w:r>
          </w:p>
          <w:p w14:paraId="0E9BD945">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投标单位在招标文件要求的基础上，</w:t>
            </w:r>
            <w:r>
              <w:rPr>
                <w:rFonts w:hint="eastAsia" w:ascii="宋体" w:hAnsi="宋体" w:eastAsia="宋体" w:cs="宋体"/>
                <w:sz w:val="24"/>
                <w:szCs w:val="24"/>
                <w:highlight w:val="none"/>
                <w:lang w:val="en-US" w:eastAsia="zh-CN"/>
              </w:rPr>
              <w:t>每增加</w:t>
            </w:r>
            <w:r>
              <w:rPr>
                <w:rFonts w:hint="eastAsia" w:ascii="宋体" w:hAnsi="宋体" w:cs="宋体"/>
                <w:sz w:val="24"/>
                <w:szCs w:val="24"/>
                <w:highlight w:val="none"/>
                <w:lang w:val="en-US" w:eastAsia="zh-CN"/>
              </w:rPr>
              <w:t>1辆</w:t>
            </w:r>
            <w:r>
              <w:rPr>
                <w:rFonts w:hint="eastAsia" w:ascii="宋体" w:hAnsi="宋体" w:eastAsia="宋体" w:cs="宋体"/>
                <w:sz w:val="24"/>
                <w:szCs w:val="24"/>
                <w:highlight w:val="none"/>
              </w:rPr>
              <w:t>运维车辆</w:t>
            </w:r>
            <w:r>
              <w:rPr>
                <w:rFonts w:hint="eastAsia" w:ascii="宋体" w:hAnsi="宋体" w:cs="宋体"/>
                <w:sz w:val="24"/>
                <w:szCs w:val="24"/>
                <w:highlight w:val="none"/>
                <w:lang w:val="en-US" w:eastAsia="zh-CN"/>
              </w:rPr>
              <w:t>得2分，最高得4分；</w:t>
            </w:r>
          </w:p>
          <w:p w14:paraId="00C3CF57">
            <w:pPr>
              <w:autoSpaceDE/>
              <w:autoSpaceDN/>
              <w:adjustRightInd/>
              <w:spacing w:line="360" w:lineRule="auto"/>
              <w:jc w:val="left"/>
              <w:rPr>
                <w:rFonts w:hint="default" w:eastAsia="宋体"/>
                <w:highlight w:val="none"/>
                <w:lang w:val="en-US" w:eastAsia="zh-CN"/>
              </w:rPr>
            </w:pPr>
            <w:r>
              <w:rPr>
                <w:rFonts w:hint="eastAsia" w:ascii="宋体" w:hAnsi="宋体" w:eastAsia="宋体" w:cs="宋体"/>
                <w:sz w:val="24"/>
                <w:szCs w:val="24"/>
                <w:highlight w:val="none"/>
              </w:rPr>
              <w:t>注：</w:t>
            </w:r>
            <w:r>
              <w:rPr>
                <w:rFonts w:hint="eastAsia" w:ascii="宋体" w:hAnsi="宋体" w:cs="宋体"/>
                <w:sz w:val="24"/>
                <w:szCs w:val="24"/>
                <w:highlight w:val="none"/>
                <w:lang w:val="en-US" w:eastAsia="zh-CN"/>
              </w:rPr>
              <w:t>须提供车辆行驶证扫描件，如车辆行驶证非本单位，中标后提供相应的租车合同。</w:t>
            </w:r>
          </w:p>
        </w:tc>
      </w:tr>
      <w:tr w14:paraId="1664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605" w:type="dxa"/>
            <w:gridSpan w:val="2"/>
            <w:tcBorders>
              <w:left w:val="single" w:color="auto" w:sz="4" w:space="0"/>
              <w:right w:val="single" w:color="auto" w:sz="4" w:space="0"/>
            </w:tcBorders>
            <w:vAlign w:val="center"/>
          </w:tcPr>
          <w:p w14:paraId="5DEA0E94">
            <w:pPr>
              <w:keepNext w:val="0"/>
              <w:keepLines w:val="0"/>
              <w:pageBreakBefore w:val="0"/>
              <w:kinsoku/>
              <w:wordWrap/>
              <w:overflowPunct/>
              <w:topLinePunct w:val="0"/>
              <w:autoSpaceDE/>
              <w:autoSpaceDN/>
              <w:bidi w:val="0"/>
              <w:adjustRightInd/>
              <w:spacing w:before="183" w:line="360" w:lineRule="auto"/>
              <w:ind w:left="0" w:leftChars="0" w:firstLine="0" w:firstLineChars="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检测工具（12分）</w:t>
            </w:r>
          </w:p>
        </w:tc>
        <w:tc>
          <w:tcPr>
            <w:tcW w:w="7064" w:type="dxa"/>
            <w:tcBorders>
              <w:top w:val="single" w:color="auto" w:sz="4" w:space="0"/>
              <w:left w:val="single" w:color="auto" w:sz="4" w:space="0"/>
              <w:bottom w:val="single" w:color="auto" w:sz="4" w:space="0"/>
              <w:right w:val="single" w:color="auto" w:sz="4" w:space="0"/>
            </w:tcBorders>
            <w:vAlign w:val="center"/>
          </w:tcPr>
          <w:p w14:paraId="026B6A55">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default"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标</w:t>
            </w:r>
            <w:r>
              <w:rPr>
                <w:rFonts w:hint="eastAsia" w:ascii="宋体" w:hAnsi="宋体" w:eastAsia="宋体" w:cs="宋体"/>
                <w:strike w:val="0"/>
                <w:dstrike w:val="0"/>
                <w:color w:val="auto"/>
                <w:sz w:val="24"/>
                <w:szCs w:val="24"/>
                <w:highlight w:val="none"/>
                <w:lang w:val="en-US" w:eastAsia="zh-CN"/>
              </w:rPr>
              <w:t>★</w:t>
            </w:r>
            <w:r>
              <w:rPr>
                <w:rFonts w:hint="eastAsia" w:ascii="宋体" w:hAnsi="宋体" w:eastAsia="宋体" w:cs="宋体"/>
                <w:color w:val="000000"/>
                <w:sz w:val="24"/>
                <w:szCs w:val="24"/>
                <w:highlight w:val="none"/>
              </w:rPr>
              <w:t>号的部分参数为实质性要求和条件， 投标人必须作出满足或者优于原要求和条件的响应，否则按无效标处理；▲号的参数需提供证明材料（厂家宣传彩页或者</w:t>
            </w:r>
            <w:r>
              <w:rPr>
                <w:rFonts w:hint="eastAsia" w:ascii="宋体" w:hAnsi="宋体" w:eastAsia="宋体" w:cs="宋体"/>
                <w:bCs w:val="0"/>
                <w:color w:val="000000"/>
                <w:sz w:val="24"/>
                <w:szCs w:val="24"/>
                <w:highlight w:val="none"/>
              </w:rPr>
              <w:t>具有相关</w:t>
            </w:r>
            <w:r>
              <w:rPr>
                <w:rFonts w:hint="eastAsia" w:ascii="宋体" w:hAnsi="宋体" w:eastAsia="宋体" w:cs="宋体"/>
                <w:bCs w:val="0"/>
                <w:color w:val="000000"/>
                <w:sz w:val="24"/>
                <w:szCs w:val="24"/>
                <w:highlight w:val="none"/>
                <w:lang w:val="en-US" w:eastAsia="zh-CN"/>
              </w:rPr>
              <w:t>证明材料</w:t>
            </w:r>
            <w:r>
              <w:rPr>
                <w:rFonts w:hint="eastAsia" w:ascii="宋体" w:hAnsi="宋体" w:eastAsia="宋体" w:cs="宋体"/>
                <w:bCs w:val="0"/>
                <w:color w:val="000000"/>
                <w:sz w:val="24"/>
                <w:szCs w:val="24"/>
                <w:highlight w:val="none"/>
              </w:rPr>
              <w:t>）</w:t>
            </w:r>
            <w:r>
              <w:rPr>
                <w:rFonts w:hint="eastAsia" w:ascii="宋体" w:hAnsi="宋体" w:eastAsia="宋体" w:cs="宋体"/>
                <w:color w:val="000000"/>
                <w:sz w:val="24"/>
                <w:szCs w:val="24"/>
                <w:highlight w:val="none"/>
              </w:rPr>
              <w:t>作为评审依据，未提供证明材料的，每一项扣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分，扣完为止。</w:t>
            </w:r>
          </w:p>
        </w:tc>
      </w:tr>
      <w:tr w14:paraId="6ACA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605" w:type="dxa"/>
            <w:gridSpan w:val="2"/>
            <w:tcBorders>
              <w:left w:val="single" w:color="auto" w:sz="4" w:space="0"/>
              <w:right w:val="single" w:color="auto" w:sz="4" w:space="0"/>
            </w:tcBorders>
            <w:vAlign w:val="center"/>
          </w:tcPr>
          <w:p w14:paraId="4E74297D">
            <w:pPr>
              <w:keepNext w:val="0"/>
              <w:keepLines w:val="0"/>
              <w:pageBreakBefore w:val="0"/>
              <w:kinsoku/>
              <w:wordWrap/>
              <w:overflowPunct/>
              <w:topLinePunct w:val="0"/>
              <w:autoSpaceDE/>
              <w:autoSpaceDN/>
              <w:bidi w:val="0"/>
              <w:adjustRightInd/>
              <w:spacing w:before="217" w:line="360" w:lineRule="auto"/>
              <w:ind w:left="0" w:leftChars="0" w:firstLine="0" w:firstLineChars="0"/>
              <w:jc w:val="both"/>
              <w:textAlignment w:val="auto"/>
              <w:rPr>
                <w:rFonts w:hint="eastAsia" w:ascii="宋体" w:hAnsi="宋体" w:eastAsia="宋体" w:cs="宋体"/>
                <w:spacing w:val="10"/>
                <w:sz w:val="24"/>
                <w:szCs w:val="24"/>
                <w:highlight w:val="none"/>
              </w:rPr>
            </w:pPr>
            <w:r>
              <w:rPr>
                <w:rFonts w:hint="eastAsia" w:ascii="宋体" w:hAnsi="宋体" w:eastAsia="宋体" w:cs="宋体"/>
                <w:color w:val="000000"/>
                <w:sz w:val="24"/>
                <w:szCs w:val="24"/>
                <w:highlight w:val="none"/>
              </w:rPr>
              <w:t>项目理解及运维服务方案（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6A8C74D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针对本项目的理解</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至少包括本项目建设情况、现有设备运行情况摸排</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及日常运行维护方案（至少包括运维计划、日常维护频次、定期巡检内容和故障维修措施）进行评分。 </w:t>
            </w:r>
          </w:p>
          <w:p w14:paraId="15D483D3">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优于项目要求的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符合项目要求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不满足项目要求的得2分，</w:t>
            </w:r>
            <w:r>
              <w:rPr>
                <w:rFonts w:hint="eastAsia" w:ascii="宋体" w:hAnsi="宋体" w:eastAsia="宋体" w:cs="宋体"/>
                <w:color w:val="000000"/>
                <w:sz w:val="24"/>
                <w:szCs w:val="24"/>
                <w:highlight w:val="none"/>
              </w:rPr>
              <w:t>未提供的不得分。</w:t>
            </w:r>
          </w:p>
        </w:tc>
      </w:tr>
      <w:tr w14:paraId="148D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05" w:type="dxa"/>
            <w:gridSpan w:val="2"/>
            <w:tcBorders>
              <w:left w:val="single" w:color="auto" w:sz="4" w:space="0"/>
              <w:right w:val="single" w:color="auto" w:sz="4" w:space="0"/>
            </w:tcBorders>
            <w:vAlign w:val="center"/>
          </w:tcPr>
          <w:p w14:paraId="0BBB52B9">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运维</w:t>
            </w:r>
            <w:r>
              <w:rPr>
                <w:rFonts w:hint="eastAsia" w:ascii="宋体" w:hAnsi="宋体" w:eastAsia="宋体" w:cs="宋体"/>
                <w:color w:val="000000"/>
                <w:sz w:val="24"/>
                <w:szCs w:val="24"/>
                <w:highlight w:val="none"/>
              </w:rPr>
              <w:t>质量保证</w:t>
            </w:r>
          </w:p>
          <w:p w14:paraId="473ABA46">
            <w:pPr>
              <w:keepNext w:val="0"/>
              <w:keepLines w:val="0"/>
              <w:pageBreakBefore w:val="0"/>
              <w:widowControl/>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p w14:paraId="57CF3B5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spacing w:val="10"/>
                <w:sz w:val="24"/>
                <w:szCs w:val="24"/>
                <w:highlight w:val="none"/>
              </w:rPr>
            </w:pPr>
          </w:p>
        </w:tc>
        <w:tc>
          <w:tcPr>
            <w:tcW w:w="7064" w:type="dxa"/>
            <w:tcBorders>
              <w:top w:val="single" w:color="auto" w:sz="4" w:space="0"/>
              <w:left w:val="single" w:color="auto" w:sz="4" w:space="0"/>
              <w:bottom w:val="single" w:color="auto" w:sz="4" w:space="0"/>
              <w:right w:val="single" w:color="auto" w:sz="4" w:space="0"/>
            </w:tcBorders>
            <w:vAlign w:val="center"/>
          </w:tcPr>
          <w:p w14:paraId="30656EB9">
            <w:pPr>
              <w:keepNext w:val="0"/>
              <w:keepLines w:val="0"/>
              <w:pageBreakBefore w:val="0"/>
              <w:kinsoku/>
              <w:wordWrap/>
              <w:overflowPunct/>
              <w:topLinePunct w:val="0"/>
              <w:autoSpaceDE/>
              <w:autoSpaceDN/>
              <w:bidi w:val="0"/>
              <w:adjustRightInd/>
              <w:spacing w:line="360" w:lineRule="auto"/>
              <w:jc w:val="left"/>
              <w:textAlignment w:val="auto"/>
              <w:rPr>
                <w:rFonts w:hint="eastAsia"/>
                <w:highlight w:val="none"/>
              </w:rPr>
            </w:pPr>
            <w:r>
              <w:rPr>
                <w:rFonts w:hint="eastAsia" w:ascii="宋体" w:hAnsi="宋体" w:eastAsia="宋体" w:cs="宋体"/>
                <w:color w:val="000000"/>
                <w:sz w:val="24"/>
                <w:szCs w:val="24"/>
                <w:highlight w:val="none"/>
              </w:rPr>
              <w:t>根据投标文件中提供的针对本项目的质控方案（至少包括质量保证控制措施、质量保证控制计划、质量控制具体内容）的科学性、合理性、针对性及可操作性进行评分。</w:t>
            </w:r>
            <w:r>
              <w:rPr>
                <w:rFonts w:hint="eastAsia" w:ascii="宋体" w:hAnsi="宋体" w:eastAsia="宋体" w:cs="宋体"/>
                <w:color w:val="000000"/>
                <w:sz w:val="24"/>
                <w:szCs w:val="24"/>
                <w:highlight w:val="none"/>
                <w:lang w:val="en-US" w:eastAsia="zh-CN"/>
              </w:rPr>
              <w:t>优于项目要求</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不满足项目要求的得2分，</w:t>
            </w:r>
            <w:r>
              <w:rPr>
                <w:rFonts w:hint="eastAsia" w:ascii="宋体" w:hAnsi="宋体" w:eastAsia="宋体" w:cs="宋体"/>
                <w:color w:val="000000"/>
                <w:sz w:val="24"/>
                <w:szCs w:val="24"/>
                <w:highlight w:val="none"/>
              </w:rPr>
              <w:t>未提供的不得分。</w:t>
            </w:r>
          </w:p>
        </w:tc>
      </w:tr>
      <w:tr w14:paraId="7CA30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605" w:type="dxa"/>
            <w:gridSpan w:val="2"/>
            <w:tcBorders>
              <w:left w:val="single" w:color="auto" w:sz="4" w:space="0"/>
              <w:right w:val="single" w:color="auto" w:sz="4" w:space="0"/>
            </w:tcBorders>
            <w:vAlign w:val="center"/>
          </w:tcPr>
          <w:p w14:paraId="5550ED59">
            <w:pPr>
              <w:keepNext w:val="0"/>
              <w:keepLines w:val="0"/>
              <w:pageBreakBefore w:val="0"/>
              <w:kinsoku/>
              <w:wordWrap/>
              <w:overflowPunct/>
              <w:topLinePunct w:val="0"/>
              <w:autoSpaceDE/>
              <w:autoSpaceDN/>
              <w:bidi w:val="0"/>
              <w:adjustRightInd/>
              <w:spacing w:before="120" w:after="120" w:line="360" w:lineRule="auto"/>
              <w:ind w:left="0" w:leftChars="0" w:firstLine="0" w:firstLineChars="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培训方案</w:t>
            </w:r>
          </w:p>
          <w:p w14:paraId="6B0D79BB">
            <w:pPr>
              <w:keepNext w:val="0"/>
              <w:keepLines w:val="0"/>
              <w:pageBreakBefore w:val="0"/>
              <w:kinsoku/>
              <w:wordWrap/>
              <w:overflowPunct/>
              <w:topLinePunct w:val="0"/>
              <w:autoSpaceDE/>
              <w:autoSpaceDN/>
              <w:bidi w:val="0"/>
              <w:adjustRightInd/>
              <w:spacing w:before="120" w:after="120" w:line="360" w:lineRule="auto"/>
              <w:ind w:left="0" w:leftChars="0" w:firstLine="0" w:firstLineChars="0"/>
              <w:jc w:val="both"/>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top"/>
          </w:tcPr>
          <w:p w14:paraId="18F913F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文件中提供培训方案，方案包括但不限于培训计划、培训内容、培训方式等内容：</w:t>
            </w:r>
          </w:p>
          <w:p w14:paraId="296492F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highlight w:val="none"/>
                <w:lang w:val="en-US" w:eastAsia="zh-CN" w:bidi="ar-SA"/>
              </w:rPr>
            </w:pPr>
            <w:r>
              <w:rPr>
                <w:rFonts w:hint="eastAsia" w:ascii="宋体" w:hAnsi="宋体" w:eastAsia="宋体" w:cs="宋体"/>
                <w:color w:val="000000"/>
                <w:sz w:val="24"/>
                <w:szCs w:val="24"/>
                <w:highlight w:val="none"/>
                <w:lang w:val="en-US" w:eastAsia="zh-CN"/>
              </w:rPr>
              <w:t>优于项目要求的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符合项目要求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不满足项目要求的得1分，</w:t>
            </w:r>
            <w:r>
              <w:rPr>
                <w:rFonts w:hint="eastAsia" w:ascii="宋体" w:hAnsi="宋体" w:eastAsia="宋体" w:cs="宋体"/>
                <w:color w:val="000000"/>
                <w:sz w:val="24"/>
                <w:szCs w:val="24"/>
                <w:highlight w:val="none"/>
              </w:rPr>
              <w:t>未提供的不得分。</w:t>
            </w:r>
          </w:p>
        </w:tc>
      </w:tr>
      <w:tr w14:paraId="6F4E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605" w:type="dxa"/>
            <w:gridSpan w:val="2"/>
            <w:tcBorders>
              <w:left w:val="single" w:color="auto" w:sz="4" w:space="0"/>
              <w:right w:val="single" w:color="auto" w:sz="4" w:space="0"/>
            </w:tcBorders>
            <w:vAlign w:val="center"/>
          </w:tcPr>
          <w:p w14:paraId="6E210C0E">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应急预案</w:t>
            </w:r>
          </w:p>
          <w:p w14:paraId="43D9A1CC">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pacing w:val="1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41C3209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根据投标文件中提供的应急预案的全面性及可操作性进行评分。对运营期间如出现严重影响系统运行和数据质量的重大问题时，是否具备有效的措施，是否制定了数据监控制度和处理处置方法进行评分。 </w:t>
            </w:r>
          </w:p>
          <w:p w14:paraId="5CDC045F">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优于项目要求的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符合项目要求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不满足项目要求的得2分，</w:t>
            </w:r>
            <w:r>
              <w:rPr>
                <w:rFonts w:hint="eastAsia" w:ascii="宋体" w:hAnsi="宋体" w:eastAsia="宋体" w:cs="宋体"/>
                <w:color w:val="000000"/>
                <w:sz w:val="24"/>
                <w:szCs w:val="24"/>
                <w:highlight w:val="none"/>
              </w:rPr>
              <w:t>未提供的不得分。。</w:t>
            </w:r>
          </w:p>
        </w:tc>
      </w:tr>
      <w:tr w14:paraId="5DBD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03A71244">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数据分析方案</w:t>
            </w:r>
          </w:p>
          <w:p w14:paraId="432BB98A">
            <w:pPr>
              <w:keepNext w:val="0"/>
              <w:keepLines w:val="0"/>
              <w:pageBreakBefore w:val="0"/>
              <w:kinsoku/>
              <w:wordWrap/>
              <w:overflowPunct/>
              <w:topLinePunct w:val="0"/>
              <w:autoSpaceDE/>
              <w:autoSpaceDN/>
              <w:bidi w:val="0"/>
              <w:adjustRightInd/>
              <w:spacing w:before="68"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p>
        </w:tc>
        <w:tc>
          <w:tcPr>
            <w:tcW w:w="7064" w:type="dxa"/>
            <w:tcBorders>
              <w:top w:val="single" w:color="auto" w:sz="4" w:space="0"/>
              <w:left w:val="single" w:color="auto" w:sz="4" w:space="0"/>
              <w:bottom w:val="single" w:color="auto" w:sz="4" w:space="0"/>
              <w:right w:val="single" w:color="auto" w:sz="4" w:space="0"/>
            </w:tcBorders>
            <w:vAlign w:val="center"/>
          </w:tcPr>
          <w:p w14:paraId="677F431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人提供的数据分析报告进行综合评审：本项目运维服务期间需提供基于驻地环境空气质量的数据分析报告样例，需包含但不限于日报、周报、月报等，投标人需在投标文件中提供相关数据分析报告模板。根据整套分析报告样例是否详尽透彻，描述是否清晰准确，是否科学合理进行综合打分。</w:t>
            </w:r>
          </w:p>
          <w:p w14:paraId="55FE874A">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优于项目要求的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符合项目要求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不满足项目要求的得2分，</w:t>
            </w:r>
            <w:r>
              <w:rPr>
                <w:rFonts w:hint="eastAsia" w:ascii="宋体" w:hAnsi="宋体" w:eastAsia="宋体" w:cs="宋体"/>
                <w:color w:val="000000"/>
                <w:sz w:val="24"/>
                <w:szCs w:val="24"/>
                <w:highlight w:val="none"/>
              </w:rPr>
              <w:t>未提供的不得分。。</w:t>
            </w:r>
          </w:p>
        </w:tc>
      </w:tr>
      <w:tr w14:paraId="31AD7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14:paraId="653041B3">
            <w:pPr>
              <w:keepNext w:val="0"/>
              <w:keepLines w:val="0"/>
              <w:pageBreakBefore w:val="0"/>
              <w:widowControl/>
              <w:kinsoku/>
              <w:wordWrap/>
              <w:overflowPunct/>
              <w:topLinePunct w:val="0"/>
              <w:autoSpaceDE/>
              <w:autoSpaceDN/>
              <w:bidi w:val="0"/>
              <w:adjustRightInd/>
              <w:snapToGrid/>
              <w:spacing w:line="312" w:lineRule="auto"/>
              <w:ind w:left="0" w:leftChars="0" w:firstLine="0" w:firstLineChars="0"/>
              <w:jc w:val="both"/>
              <w:textAlignment w:val="center"/>
              <w:rPr>
                <w:rFonts w:hint="default" w:ascii="宋体" w:hAnsi="宋体" w:eastAsia="宋体" w:cs="宋体"/>
                <w:color w:val="000000"/>
                <w:sz w:val="24"/>
                <w:szCs w:val="24"/>
                <w:highlight w:val="none"/>
              </w:rPr>
            </w:pPr>
            <w:r>
              <w:rPr>
                <w:rFonts w:hint="default" w:ascii="宋体" w:hAnsi="宋体" w:eastAsia="宋体" w:cs="宋体"/>
                <w:color w:val="000000"/>
                <w:sz w:val="24"/>
                <w:szCs w:val="24"/>
                <w:highlight w:val="none"/>
              </w:rPr>
              <w:t>污染溯源方案</w:t>
            </w:r>
          </w:p>
          <w:p w14:paraId="704B785C">
            <w:pPr>
              <w:keepNext w:val="0"/>
              <w:keepLines w:val="0"/>
              <w:pageBreakBefore w:val="0"/>
              <w:widowControl/>
              <w:kinsoku/>
              <w:wordWrap/>
              <w:overflowPunct/>
              <w:topLinePunct w:val="0"/>
              <w:autoSpaceDE/>
              <w:autoSpaceDN/>
              <w:bidi w:val="0"/>
              <w:adjustRightInd/>
              <w:snapToGrid/>
              <w:spacing w:line="312" w:lineRule="auto"/>
              <w:ind w:left="0" w:leftChars="0" w:firstLine="0" w:firstLineChars="0"/>
              <w:jc w:val="both"/>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10）</w:t>
            </w:r>
          </w:p>
        </w:tc>
        <w:tc>
          <w:tcPr>
            <w:tcW w:w="7064" w:type="dxa"/>
            <w:tcBorders>
              <w:top w:val="single" w:color="auto" w:sz="4" w:space="0"/>
              <w:left w:val="single" w:color="auto" w:sz="4" w:space="0"/>
              <w:bottom w:val="single" w:color="auto" w:sz="4" w:space="0"/>
              <w:right w:val="single" w:color="auto" w:sz="4" w:space="0"/>
            </w:tcBorders>
            <w:vAlign w:val="center"/>
          </w:tcPr>
          <w:p w14:paraId="0ABC09E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根据投标人提供</w:t>
            </w:r>
            <w:r>
              <w:rPr>
                <w:rFonts w:hint="default" w:ascii="宋体" w:hAnsi="宋体" w:eastAsia="宋体" w:cs="宋体"/>
                <w:color w:val="000000"/>
                <w:sz w:val="24"/>
                <w:szCs w:val="24"/>
                <w:highlight w:val="none"/>
              </w:rPr>
              <w:t>的污染溯源方案进行综合评审（投标人根据监测数据情况结合化工园区实际情况利用信息化手段辅助园区开展污染溯源工作）横向对比进行综合评审打分</w:t>
            </w:r>
            <w:r>
              <w:rPr>
                <w:rFonts w:hint="eastAsia" w:ascii="宋体" w:hAnsi="宋体" w:eastAsia="宋体" w:cs="宋体"/>
                <w:color w:val="000000"/>
                <w:sz w:val="24"/>
                <w:szCs w:val="24"/>
                <w:highlight w:val="none"/>
                <w:lang w:eastAsia="zh-CN"/>
              </w:rPr>
              <w:t>。</w:t>
            </w:r>
          </w:p>
          <w:p w14:paraId="1298411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eastAsia="宋体" w:cs="Times New Roman"/>
                <w:color w:val="auto"/>
                <w:kern w:val="0"/>
                <w:sz w:val="22"/>
                <w:szCs w:val="22"/>
                <w:highlight w:val="none"/>
                <w:lang w:eastAsia="zh-CN" w:bidi="ar"/>
              </w:rPr>
            </w:pPr>
            <w:r>
              <w:rPr>
                <w:rFonts w:hint="eastAsia" w:ascii="宋体" w:hAnsi="宋体" w:eastAsia="宋体" w:cs="宋体"/>
                <w:color w:val="000000"/>
                <w:sz w:val="24"/>
                <w:szCs w:val="24"/>
                <w:highlight w:val="none"/>
                <w:lang w:val="en-US" w:eastAsia="zh-CN"/>
              </w:rPr>
              <w:t>优于项目要求的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符合项目要求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不满足项目要求的得2分，</w:t>
            </w:r>
            <w:r>
              <w:rPr>
                <w:rFonts w:hint="eastAsia" w:ascii="宋体" w:hAnsi="宋体" w:eastAsia="宋体" w:cs="宋体"/>
                <w:color w:val="000000"/>
                <w:sz w:val="24"/>
                <w:szCs w:val="24"/>
                <w:highlight w:val="none"/>
              </w:rPr>
              <w:t>未提供的不得分。。</w:t>
            </w:r>
          </w:p>
        </w:tc>
      </w:tr>
    </w:tbl>
    <w:p w14:paraId="7435A3D1">
      <w:pPr>
        <w:widowControl/>
        <w:spacing w:line="240" w:lineRule="auto"/>
        <w:ind w:firstLine="0" w:firstLineChars="0"/>
        <w:jc w:val="left"/>
        <w:rPr>
          <w:rFonts w:cs="Times New Roman"/>
          <w:highlight w:val="none"/>
        </w:rPr>
      </w:pPr>
    </w:p>
    <w:p w14:paraId="0C6C88B0">
      <w:pPr>
        <w:pStyle w:val="12"/>
        <w:spacing w:beforeAutospacing="0" w:afterAutospacing="0"/>
        <w:jc w:val="both"/>
        <w:rPr>
          <w:highlight w:val="none"/>
        </w:rPr>
      </w:pPr>
    </w:p>
    <w:p w14:paraId="4929C6D6">
      <w:pPr>
        <w:pStyle w:val="12"/>
        <w:spacing w:beforeAutospacing="0" w:afterAutospacing="0"/>
        <w:jc w:val="both"/>
        <w:rPr>
          <w:highlight w:val="none"/>
        </w:rPr>
      </w:pPr>
      <w:r>
        <w:rPr>
          <w:highlight w:val="none"/>
        </w:rPr>
        <w:t> </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2AFA9C61">
      <w:pPr>
        <w:pStyle w:val="12"/>
        <w:spacing w:beforeAutospacing="0" w:afterAutospacing="0"/>
        <w:jc w:val="both"/>
        <w:rPr>
          <w:highlight w:val="none"/>
        </w:rPr>
      </w:pPr>
      <w:r>
        <w:rPr>
          <w:highlight w:val="none"/>
        </w:rPr>
        <w:t> </w:t>
      </w:r>
    </w:p>
    <w:p w14:paraId="1E276F5E">
      <w:pPr>
        <w:pStyle w:val="12"/>
        <w:keepNext/>
        <w:spacing w:beforeAutospacing="0" w:afterAutospacing="0"/>
        <w:jc w:val="center"/>
        <w:rPr>
          <w:highlight w:val="none"/>
        </w:rPr>
      </w:pPr>
      <w:r>
        <w:rPr>
          <w:rFonts w:hint="eastAsia" w:ascii="黑体" w:hAnsi="宋体" w:eastAsia="黑体" w:cs="黑体"/>
          <w:color w:val="000000"/>
          <w:sz w:val="44"/>
          <w:szCs w:val="44"/>
          <w:highlight w:val="none"/>
        </w:rPr>
        <w:t xml:space="preserve">第六章  投标文件格式 </w:t>
      </w:r>
    </w:p>
    <w:p w14:paraId="28ED20F7">
      <w:pPr>
        <w:pStyle w:val="12"/>
        <w:spacing w:beforeAutospacing="0" w:afterAutospacing="0"/>
        <w:jc w:val="center"/>
        <w:rPr>
          <w:highlight w:val="none"/>
        </w:rPr>
      </w:pPr>
      <w:bookmarkStart w:id="228" w:name="_Hlt26955039"/>
      <w:bookmarkEnd w:id="228"/>
      <w:bookmarkStart w:id="229" w:name="_Hlt26671244"/>
      <w:bookmarkEnd w:id="229"/>
      <w:bookmarkStart w:id="230" w:name="_Toc26554094"/>
      <w:bookmarkEnd w:id="230"/>
      <w:bookmarkStart w:id="231" w:name="_Toc49090576"/>
      <w:bookmarkStart w:id="232" w:name="_Toc120614282"/>
      <w:r>
        <w:rPr>
          <w:rFonts w:hint="eastAsia" w:ascii="宋体" w:hAnsi="宋体" w:eastAsia="宋体" w:cs="宋体"/>
          <w:b/>
          <w:color w:val="000000"/>
          <w:sz w:val="72"/>
          <w:szCs w:val="72"/>
          <w:highlight w:val="none"/>
        </w:rPr>
        <w:t>投  标  文  件</w:t>
      </w:r>
    </w:p>
    <w:p w14:paraId="5A425F1A">
      <w:pPr>
        <w:pStyle w:val="12"/>
        <w:spacing w:beforeAutospacing="0" w:afterAutospacing="0"/>
        <w:jc w:val="center"/>
        <w:rPr>
          <w:highlight w:val="none"/>
        </w:rPr>
      </w:pPr>
      <w:r>
        <w:rPr>
          <w:highlight w:val="none"/>
        </w:rPr>
        <w:t> </w:t>
      </w:r>
    </w:p>
    <w:p w14:paraId="10DA7264">
      <w:pPr>
        <w:pStyle w:val="12"/>
        <w:spacing w:beforeAutospacing="0" w:afterAutospacing="0"/>
        <w:jc w:val="center"/>
        <w:rPr>
          <w:highlight w:val="none"/>
        </w:rPr>
      </w:pPr>
      <w:r>
        <w:rPr>
          <w:highlight w:val="none"/>
        </w:rPr>
        <w:t> </w:t>
      </w:r>
    </w:p>
    <w:p w14:paraId="0A168AB4">
      <w:pPr>
        <w:pStyle w:val="12"/>
        <w:spacing w:beforeAutospacing="0" w:afterAutospacing="0"/>
        <w:jc w:val="center"/>
        <w:rPr>
          <w:highlight w:val="none"/>
        </w:rPr>
      </w:pPr>
      <w:r>
        <w:rPr>
          <w:highlight w:val="none"/>
        </w:rPr>
        <w:t> </w:t>
      </w:r>
    </w:p>
    <w:p w14:paraId="2442FBFD">
      <w:pPr>
        <w:pStyle w:val="12"/>
        <w:spacing w:beforeAutospacing="0" w:afterAutospacing="0"/>
        <w:jc w:val="center"/>
        <w:rPr>
          <w:highlight w:val="none"/>
        </w:rPr>
      </w:pPr>
      <w:r>
        <w:rPr>
          <w:highlight w:val="none"/>
        </w:rPr>
        <w:t> </w:t>
      </w:r>
    </w:p>
    <w:p w14:paraId="172E13B6">
      <w:pPr>
        <w:pStyle w:val="12"/>
        <w:spacing w:beforeAutospacing="0" w:afterAutospacing="0"/>
        <w:jc w:val="center"/>
        <w:rPr>
          <w:highlight w:val="none"/>
        </w:rPr>
      </w:pPr>
      <w:r>
        <w:rPr>
          <w:highlight w:val="none"/>
        </w:rPr>
        <w:t> </w:t>
      </w:r>
    </w:p>
    <w:p w14:paraId="321D59E7">
      <w:pPr>
        <w:pStyle w:val="12"/>
        <w:spacing w:beforeAutospacing="0" w:afterAutospacing="0"/>
        <w:ind w:firstLine="1084"/>
        <w:jc w:val="both"/>
        <w:rPr>
          <w:highlight w:val="none"/>
        </w:rPr>
      </w:pPr>
      <w:r>
        <w:rPr>
          <w:rFonts w:hint="eastAsia" w:ascii="宋体" w:hAnsi="宋体" w:eastAsia="宋体" w:cs="宋体"/>
          <w:b/>
          <w:color w:val="000000"/>
          <w:sz w:val="36"/>
          <w:szCs w:val="36"/>
          <w:highlight w:val="none"/>
        </w:rPr>
        <w:t>项目 名 称：</w:t>
      </w:r>
      <w:r>
        <w:rPr>
          <w:rFonts w:hint="eastAsia" w:ascii="宋体" w:hAnsi="宋体" w:eastAsia="宋体" w:cs="宋体"/>
          <w:b/>
          <w:color w:val="000000"/>
          <w:sz w:val="36"/>
          <w:szCs w:val="36"/>
          <w:highlight w:val="none"/>
          <w:u w:val="single"/>
        </w:rPr>
        <w:t xml:space="preserve">               </w:t>
      </w:r>
    </w:p>
    <w:p w14:paraId="35DEA8D6">
      <w:pPr>
        <w:pStyle w:val="12"/>
        <w:spacing w:beforeAutospacing="0" w:afterAutospacing="0"/>
        <w:ind w:firstLine="1084"/>
        <w:jc w:val="both"/>
        <w:rPr>
          <w:highlight w:val="none"/>
        </w:rPr>
      </w:pPr>
      <w:r>
        <w:rPr>
          <w:rFonts w:hint="eastAsia" w:ascii="宋体" w:hAnsi="宋体" w:eastAsia="宋体" w:cs="宋体"/>
          <w:b/>
          <w:color w:val="000000"/>
          <w:sz w:val="36"/>
          <w:szCs w:val="36"/>
          <w:highlight w:val="none"/>
        </w:rPr>
        <w:t>项目 编 号：</w:t>
      </w:r>
      <w:r>
        <w:rPr>
          <w:rFonts w:hint="eastAsia" w:ascii="宋体" w:hAnsi="宋体" w:eastAsia="宋体" w:cs="宋体"/>
          <w:b/>
          <w:color w:val="000000"/>
          <w:sz w:val="36"/>
          <w:szCs w:val="36"/>
          <w:highlight w:val="none"/>
          <w:u w:val="single"/>
        </w:rPr>
        <w:t xml:space="preserve">               </w:t>
      </w:r>
    </w:p>
    <w:p w14:paraId="18A62E61">
      <w:pPr>
        <w:pStyle w:val="12"/>
        <w:spacing w:beforeAutospacing="0" w:afterAutospacing="0"/>
        <w:jc w:val="both"/>
        <w:rPr>
          <w:highlight w:val="none"/>
        </w:rPr>
      </w:pPr>
      <w:r>
        <w:rPr>
          <w:rFonts w:hint="eastAsia" w:ascii="宋体" w:hAnsi="宋体" w:eastAsia="宋体" w:cs="宋体"/>
          <w:b/>
          <w:color w:val="000000"/>
          <w:sz w:val="36"/>
          <w:szCs w:val="36"/>
          <w:highlight w:val="none"/>
        </w:rPr>
        <w:t>   投标人名称 ：</w:t>
      </w:r>
      <w:r>
        <w:rPr>
          <w:rFonts w:hint="eastAsia" w:ascii="宋体" w:hAnsi="宋体" w:eastAsia="宋体" w:cs="宋体"/>
          <w:b/>
          <w:color w:val="000000"/>
          <w:sz w:val="36"/>
          <w:szCs w:val="36"/>
          <w:highlight w:val="none"/>
          <w:u w:val="single"/>
        </w:rPr>
        <w:t xml:space="preserve">（加盖CA电子公章）        </w:t>
      </w:r>
    </w:p>
    <w:p w14:paraId="42619104">
      <w:pPr>
        <w:pStyle w:val="12"/>
        <w:spacing w:beforeAutospacing="0" w:afterAutospacing="0"/>
        <w:jc w:val="both"/>
        <w:rPr>
          <w:highlight w:val="none"/>
        </w:rPr>
      </w:pPr>
      <w:r>
        <w:rPr>
          <w:rFonts w:hint="eastAsia" w:ascii="宋体" w:hAnsi="宋体" w:eastAsia="宋体" w:cs="宋体"/>
          <w:b/>
          <w:color w:val="000000"/>
          <w:sz w:val="36"/>
          <w:szCs w:val="36"/>
          <w:highlight w:val="none"/>
        </w:rPr>
        <w:t>   日   期 ：</w:t>
      </w:r>
      <w:r>
        <w:rPr>
          <w:rFonts w:hint="eastAsia" w:ascii="宋体" w:hAnsi="宋体" w:eastAsia="宋体" w:cs="宋体"/>
          <w:b/>
          <w:color w:val="000000"/>
          <w:sz w:val="36"/>
          <w:szCs w:val="36"/>
          <w:highlight w:val="none"/>
          <w:u w:val="single"/>
        </w:rPr>
        <w:t>                     </w:t>
      </w:r>
    </w:p>
    <w:p w14:paraId="248D5041">
      <w:pPr>
        <w:pStyle w:val="12"/>
        <w:spacing w:beforeAutospacing="0" w:afterAutospacing="0" w:line="0" w:lineRule="atLeast"/>
        <w:jc w:val="center"/>
        <w:rPr>
          <w:highlight w:val="none"/>
        </w:rPr>
      </w:pPr>
      <w:r>
        <w:rPr>
          <w:highlight w:val="none"/>
        </w:rPr>
        <w:t> </w:t>
      </w:r>
    </w:p>
    <w:p w14:paraId="77FB8552">
      <w:pPr>
        <w:pStyle w:val="12"/>
        <w:spacing w:beforeAutospacing="0" w:afterAutospacing="0" w:line="0" w:lineRule="atLeast"/>
        <w:jc w:val="both"/>
        <w:rPr>
          <w:highlight w:val="none"/>
        </w:rPr>
      </w:pPr>
      <w:r>
        <w:rPr>
          <w:highlight w:val="none"/>
        </w:rPr>
        <w:t> </w:t>
      </w:r>
    </w:p>
    <w:p w14:paraId="77EB77CF">
      <w:pPr>
        <w:pStyle w:val="12"/>
        <w:spacing w:beforeAutospacing="0" w:afterAutospacing="0" w:line="0" w:lineRule="atLeast"/>
        <w:jc w:val="center"/>
        <w:rPr>
          <w:rFonts w:ascii="宋体" w:hAnsi="宋体" w:eastAsia="宋体" w:cs="宋体"/>
          <w:b/>
          <w:color w:val="000000"/>
          <w:sz w:val="36"/>
          <w:szCs w:val="36"/>
          <w:highlight w:val="none"/>
          <w:u w:val="single"/>
        </w:rPr>
      </w:pPr>
    </w:p>
    <w:p w14:paraId="367D82C2">
      <w:pPr>
        <w:pStyle w:val="12"/>
        <w:spacing w:beforeAutospacing="0" w:afterAutospacing="0" w:line="0" w:lineRule="atLeast"/>
        <w:jc w:val="center"/>
        <w:rPr>
          <w:rFonts w:ascii="宋体" w:hAnsi="宋体" w:eastAsia="宋体" w:cs="宋体"/>
          <w:b/>
          <w:color w:val="000000"/>
          <w:sz w:val="36"/>
          <w:szCs w:val="36"/>
          <w:highlight w:val="none"/>
          <w:u w:val="single"/>
        </w:rPr>
      </w:pPr>
    </w:p>
    <w:p w14:paraId="1030423B">
      <w:pPr>
        <w:pStyle w:val="12"/>
        <w:spacing w:beforeAutospacing="0" w:afterAutospacing="0" w:line="0" w:lineRule="atLeast"/>
        <w:jc w:val="center"/>
        <w:rPr>
          <w:rFonts w:ascii="宋体" w:hAnsi="宋体" w:eastAsia="宋体" w:cs="宋体"/>
          <w:b/>
          <w:color w:val="000000"/>
          <w:sz w:val="36"/>
          <w:szCs w:val="36"/>
          <w:highlight w:val="none"/>
          <w:u w:val="single"/>
        </w:rPr>
      </w:pPr>
    </w:p>
    <w:p w14:paraId="7CA80416">
      <w:pPr>
        <w:pStyle w:val="12"/>
        <w:spacing w:beforeAutospacing="0" w:afterAutospacing="0" w:line="0" w:lineRule="atLeast"/>
        <w:jc w:val="center"/>
        <w:rPr>
          <w:rFonts w:ascii="宋体" w:hAnsi="宋体" w:eastAsia="宋体" w:cs="宋体"/>
          <w:b/>
          <w:color w:val="000000"/>
          <w:sz w:val="36"/>
          <w:szCs w:val="36"/>
          <w:highlight w:val="none"/>
          <w:u w:val="single"/>
        </w:rPr>
      </w:pPr>
    </w:p>
    <w:p w14:paraId="7579D47B">
      <w:pPr>
        <w:pStyle w:val="12"/>
        <w:spacing w:beforeAutospacing="0" w:afterAutospacing="0" w:line="0" w:lineRule="atLeast"/>
        <w:jc w:val="center"/>
        <w:rPr>
          <w:rFonts w:ascii="宋体" w:hAnsi="宋体" w:eastAsia="宋体" w:cs="宋体"/>
          <w:b/>
          <w:color w:val="000000"/>
          <w:sz w:val="36"/>
          <w:szCs w:val="36"/>
          <w:highlight w:val="none"/>
          <w:u w:val="single"/>
        </w:rPr>
      </w:pPr>
    </w:p>
    <w:p w14:paraId="3C5255F0">
      <w:pPr>
        <w:pStyle w:val="12"/>
        <w:spacing w:beforeAutospacing="0" w:afterAutospacing="0" w:line="0" w:lineRule="atLeast"/>
        <w:jc w:val="center"/>
        <w:rPr>
          <w:rFonts w:ascii="宋体" w:hAnsi="宋体" w:eastAsia="宋体" w:cs="宋体"/>
          <w:b/>
          <w:color w:val="000000"/>
          <w:sz w:val="36"/>
          <w:szCs w:val="36"/>
          <w:highlight w:val="none"/>
          <w:u w:val="single"/>
        </w:rPr>
      </w:pPr>
    </w:p>
    <w:p w14:paraId="08230E4D">
      <w:pPr>
        <w:pStyle w:val="12"/>
        <w:spacing w:beforeAutospacing="0" w:afterAutospacing="0" w:line="0" w:lineRule="atLeast"/>
        <w:jc w:val="center"/>
        <w:rPr>
          <w:rFonts w:ascii="宋体" w:hAnsi="宋体" w:eastAsia="宋体" w:cs="宋体"/>
          <w:b/>
          <w:color w:val="000000"/>
          <w:sz w:val="36"/>
          <w:szCs w:val="36"/>
          <w:highlight w:val="none"/>
          <w:u w:val="single"/>
        </w:rPr>
      </w:pPr>
    </w:p>
    <w:p w14:paraId="02604B4B">
      <w:pPr>
        <w:pStyle w:val="12"/>
        <w:spacing w:beforeAutospacing="0" w:afterAutospacing="0" w:line="0" w:lineRule="atLeast"/>
        <w:jc w:val="center"/>
        <w:rPr>
          <w:rFonts w:ascii="宋体" w:hAnsi="宋体" w:eastAsia="宋体" w:cs="宋体"/>
          <w:b/>
          <w:color w:val="000000"/>
          <w:sz w:val="36"/>
          <w:szCs w:val="36"/>
          <w:highlight w:val="none"/>
          <w:u w:val="single"/>
        </w:rPr>
      </w:pPr>
    </w:p>
    <w:p w14:paraId="003589C7">
      <w:pPr>
        <w:pStyle w:val="12"/>
        <w:spacing w:beforeAutospacing="0" w:afterAutospacing="0" w:line="0" w:lineRule="atLeast"/>
        <w:jc w:val="center"/>
        <w:rPr>
          <w:rFonts w:ascii="宋体" w:hAnsi="宋体" w:eastAsia="宋体" w:cs="宋体"/>
          <w:b/>
          <w:color w:val="000000"/>
          <w:sz w:val="36"/>
          <w:szCs w:val="36"/>
          <w:highlight w:val="none"/>
          <w:u w:val="single"/>
        </w:rPr>
      </w:pPr>
    </w:p>
    <w:p w14:paraId="6341D4D9">
      <w:pPr>
        <w:pStyle w:val="12"/>
        <w:spacing w:beforeAutospacing="0" w:afterAutospacing="0" w:line="0" w:lineRule="atLeast"/>
        <w:jc w:val="center"/>
        <w:rPr>
          <w:rFonts w:ascii="宋体" w:hAnsi="宋体" w:eastAsia="宋体" w:cs="宋体"/>
          <w:b/>
          <w:color w:val="000000"/>
          <w:sz w:val="36"/>
          <w:szCs w:val="36"/>
          <w:highlight w:val="none"/>
          <w:u w:val="single"/>
        </w:rPr>
      </w:pPr>
    </w:p>
    <w:p w14:paraId="4B04BBA8">
      <w:pPr>
        <w:pStyle w:val="12"/>
        <w:spacing w:beforeAutospacing="0" w:afterAutospacing="0" w:line="0" w:lineRule="atLeast"/>
        <w:jc w:val="center"/>
        <w:rPr>
          <w:rFonts w:ascii="宋体" w:hAnsi="宋体" w:eastAsia="宋体" w:cs="宋体"/>
          <w:b/>
          <w:color w:val="000000"/>
          <w:sz w:val="36"/>
          <w:szCs w:val="36"/>
          <w:highlight w:val="none"/>
          <w:u w:val="single"/>
        </w:rPr>
      </w:pPr>
    </w:p>
    <w:p w14:paraId="6F82C85C">
      <w:pPr>
        <w:pStyle w:val="12"/>
        <w:spacing w:beforeAutospacing="0" w:afterAutospacing="0" w:line="0" w:lineRule="atLeast"/>
        <w:jc w:val="center"/>
        <w:rPr>
          <w:rFonts w:ascii="宋体" w:hAnsi="宋体" w:eastAsia="宋体" w:cs="宋体"/>
          <w:b/>
          <w:color w:val="000000"/>
          <w:sz w:val="36"/>
          <w:szCs w:val="36"/>
          <w:highlight w:val="none"/>
          <w:u w:val="single"/>
        </w:rPr>
      </w:pPr>
    </w:p>
    <w:p w14:paraId="6683C719">
      <w:pPr>
        <w:pStyle w:val="12"/>
        <w:spacing w:beforeAutospacing="0" w:afterAutospacing="0" w:line="0" w:lineRule="atLeast"/>
        <w:jc w:val="center"/>
        <w:rPr>
          <w:rFonts w:ascii="宋体" w:hAnsi="宋体" w:eastAsia="宋体" w:cs="宋体"/>
          <w:b/>
          <w:color w:val="000000"/>
          <w:sz w:val="36"/>
          <w:szCs w:val="36"/>
          <w:highlight w:val="none"/>
          <w:u w:val="single"/>
        </w:rPr>
      </w:pPr>
    </w:p>
    <w:p w14:paraId="6C937A85">
      <w:pPr>
        <w:pStyle w:val="12"/>
        <w:spacing w:beforeAutospacing="0" w:afterAutospacing="0" w:line="0" w:lineRule="atLeast"/>
        <w:jc w:val="center"/>
        <w:rPr>
          <w:rFonts w:ascii="宋体" w:hAnsi="宋体" w:eastAsia="宋体" w:cs="宋体"/>
          <w:b/>
          <w:color w:val="000000"/>
          <w:sz w:val="36"/>
          <w:szCs w:val="36"/>
          <w:highlight w:val="none"/>
          <w:u w:val="single"/>
        </w:rPr>
      </w:pPr>
    </w:p>
    <w:p w14:paraId="5B3508CC">
      <w:pPr>
        <w:pStyle w:val="12"/>
        <w:spacing w:beforeAutospacing="0" w:afterAutospacing="0" w:line="0" w:lineRule="atLeast"/>
        <w:jc w:val="center"/>
        <w:rPr>
          <w:rFonts w:ascii="宋体" w:hAnsi="宋体" w:eastAsia="宋体" w:cs="宋体"/>
          <w:b/>
          <w:color w:val="000000"/>
          <w:sz w:val="36"/>
          <w:szCs w:val="36"/>
          <w:highlight w:val="none"/>
          <w:u w:val="single"/>
        </w:rPr>
      </w:pPr>
    </w:p>
    <w:p w14:paraId="284FA089">
      <w:pPr>
        <w:pStyle w:val="12"/>
        <w:spacing w:beforeAutospacing="0" w:afterAutospacing="0" w:line="0" w:lineRule="atLeast"/>
        <w:jc w:val="center"/>
        <w:rPr>
          <w:rFonts w:ascii="宋体" w:hAnsi="宋体" w:eastAsia="宋体" w:cs="宋体"/>
          <w:b/>
          <w:color w:val="000000"/>
          <w:sz w:val="36"/>
          <w:szCs w:val="36"/>
          <w:highlight w:val="none"/>
          <w:u w:val="single"/>
        </w:rPr>
      </w:pPr>
    </w:p>
    <w:p w14:paraId="48EB9F8D">
      <w:pPr>
        <w:pStyle w:val="12"/>
        <w:spacing w:beforeAutospacing="0" w:afterAutospacing="0" w:line="0" w:lineRule="atLeast"/>
        <w:jc w:val="center"/>
        <w:rPr>
          <w:highlight w:val="none"/>
        </w:rPr>
      </w:pPr>
      <w:r>
        <w:rPr>
          <w:rFonts w:hint="eastAsia" w:ascii="宋体" w:hAnsi="宋体" w:eastAsia="宋体" w:cs="宋体"/>
          <w:b/>
          <w:color w:val="000000"/>
          <w:sz w:val="32"/>
          <w:szCs w:val="32"/>
          <w:highlight w:val="none"/>
        </w:rPr>
        <w:t>投标文件目录</w:t>
      </w:r>
    </w:p>
    <w:p w14:paraId="69253DF4">
      <w:pPr>
        <w:pStyle w:val="12"/>
        <w:spacing w:beforeAutospacing="0" w:afterAutospacing="0" w:line="0" w:lineRule="atLeast"/>
        <w:jc w:val="center"/>
        <w:rPr>
          <w:highlight w:val="none"/>
        </w:rPr>
      </w:pPr>
      <w:r>
        <w:rPr>
          <w:highlight w:val="none"/>
        </w:rPr>
        <w:t> </w:t>
      </w:r>
    </w:p>
    <w:p w14:paraId="5029AB10">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一、法人或者其他组织的营业执照等证明文件，自然人的身份证明</w:t>
      </w:r>
    </w:p>
    <w:p w14:paraId="1680D250">
      <w:pPr>
        <w:tabs>
          <w:tab w:val="left" w:pos="1331"/>
        </w:tabs>
        <w:bidi w:val="0"/>
        <w:ind w:firstLine="480" w:firstLineChars="200"/>
        <w:jc w:val="left"/>
        <w:rPr>
          <w:rFonts w:hint="eastAsia" w:ascii="宋体" w:hAnsi="宋体" w:eastAsia="宋体" w:cs="宋体"/>
          <w:i/>
          <w:color w:val="000000"/>
          <w:kern w:val="0"/>
          <w:sz w:val="24"/>
          <w:szCs w:val="24"/>
          <w:highlight w:val="none"/>
          <w:u w:val="single"/>
          <w:lang w:val="en-US" w:eastAsia="zh-CN" w:bidi="ar-SA"/>
        </w:rPr>
      </w:pPr>
      <w:r>
        <w:rPr>
          <w:rFonts w:hint="eastAsia" w:ascii="宋体" w:hAnsi="宋体" w:eastAsia="宋体" w:cs="宋体"/>
          <w:i/>
          <w:color w:val="000000"/>
          <w:kern w:val="0"/>
          <w:sz w:val="24"/>
          <w:szCs w:val="24"/>
          <w:highlight w:val="none"/>
          <w:u w:val="single"/>
          <w:lang w:val="en-US" w:eastAsia="zh-CN" w:bidi="ar-SA"/>
        </w:rPr>
        <w:t>二、上一年度的财务状况报表（至少提供资产负债表、利润表、现金流量表，</w:t>
      </w:r>
    </w:p>
    <w:p w14:paraId="225BB5A6">
      <w:pPr>
        <w:pStyle w:val="12"/>
        <w:spacing w:beforeAutospacing="0" w:afterAutospacing="0"/>
        <w:ind w:left="480"/>
        <w:jc w:val="both"/>
        <w:rPr>
          <w:rFonts w:hint="eastAsia" w:ascii="宋体" w:hAnsi="宋体" w:eastAsia="宋体" w:cs="宋体"/>
          <w:i/>
          <w:color w:val="000000"/>
          <w:kern w:val="0"/>
          <w:sz w:val="24"/>
          <w:szCs w:val="24"/>
          <w:highlight w:val="none"/>
          <w:u w:val="single"/>
          <w:lang w:val="en-US" w:eastAsia="zh-CN" w:bidi="ar-SA"/>
        </w:rPr>
      </w:pPr>
      <w:r>
        <w:rPr>
          <w:rFonts w:hint="eastAsia" w:ascii="宋体" w:hAnsi="宋体" w:eastAsia="宋体" w:cs="宋体"/>
          <w:i/>
          <w:color w:val="000000"/>
          <w:kern w:val="0"/>
          <w:sz w:val="24"/>
          <w:szCs w:val="24"/>
          <w:highlight w:val="none"/>
          <w:u w:val="single"/>
          <w:lang w:val="en-US" w:eastAsia="zh-CN" w:bidi="ar-SA"/>
        </w:rPr>
        <w:t>投标人成立不满一年无需提供）</w:t>
      </w:r>
    </w:p>
    <w:p w14:paraId="1528B3C7">
      <w:pPr>
        <w:pStyle w:val="12"/>
        <w:spacing w:beforeAutospacing="0" w:afterAutospacing="0"/>
        <w:ind w:left="480"/>
        <w:jc w:val="both"/>
        <w:rPr>
          <w:rFonts w:hint="eastAsia" w:ascii="宋体" w:hAnsi="宋体" w:eastAsia="宋体" w:cs="宋体"/>
          <w:i/>
          <w:color w:val="000000"/>
          <w:highlight w:val="none"/>
          <w:u w:val="single"/>
        </w:rPr>
      </w:pPr>
      <w:r>
        <w:rPr>
          <w:rFonts w:hint="eastAsia" w:ascii="宋体" w:hAnsi="宋体" w:eastAsia="宋体" w:cs="宋体"/>
          <w:i/>
          <w:color w:val="000000"/>
          <w:highlight w:val="none"/>
          <w:u w:val="single"/>
          <w:lang w:val="en-US" w:eastAsia="zh-CN"/>
        </w:rPr>
        <w:t>三</w:t>
      </w:r>
      <w:r>
        <w:rPr>
          <w:rFonts w:hint="eastAsia" w:ascii="宋体" w:hAnsi="宋体" w:eastAsia="宋体" w:cs="宋体"/>
          <w:i/>
          <w:color w:val="000000"/>
          <w:highlight w:val="none"/>
          <w:u w:val="single"/>
        </w:rPr>
        <w:t>、具备履行合同所必需的设备和专业技术能力的书面声明</w:t>
      </w:r>
    </w:p>
    <w:p w14:paraId="1C4E196B">
      <w:pPr>
        <w:pStyle w:val="12"/>
        <w:spacing w:beforeAutospacing="0" w:afterAutospacing="0"/>
        <w:ind w:left="480"/>
        <w:jc w:val="both"/>
        <w:rPr>
          <w:rFonts w:hint="eastAsia" w:ascii="宋体" w:hAnsi="宋体" w:eastAsia="宋体" w:cs="宋体"/>
          <w:i/>
          <w:color w:val="000000"/>
          <w:highlight w:val="none"/>
          <w:u w:val="single"/>
        </w:rPr>
      </w:pPr>
      <w:r>
        <w:rPr>
          <w:rFonts w:hint="eastAsia" w:ascii="宋体" w:hAnsi="宋体" w:eastAsia="宋体" w:cs="宋体"/>
          <w:i/>
          <w:color w:val="000000"/>
          <w:highlight w:val="none"/>
          <w:u w:val="single"/>
          <w:lang w:val="en-US" w:eastAsia="zh-CN"/>
        </w:rPr>
        <w:t>四</w:t>
      </w:r>
      <w:r>
        <w:rPr>
          <w:rFonts w:hint="eastAsia" w:ascii="宋体" w:hAnsi="宋体" w:eastAsia="宋体" w:cs="宋体"/>
          <w:i/>
          <w:color w:val="000000"/>
          <w:highlight w:val="none"/>
          <w:u w:val="single"/>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688F59BD">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五、参加政府采购活动前 3 年内在经营活动中没有重大违法记录的书面声明</w:t>
      </w:r>
    </w:p>
    <w:p w14:paraId="2956EC25">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六、特定资格要求的证明文件（如果本项目设置特定资格要求，则需要提供）</w:t>
      </w:r>
    </w:p>
    <w:p w14:paraId="7313B8F8">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七、法人授权书</w:t>
      </w:r>
    </w:p>
    <w:p w14:paraId="042420E4">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八、投标函</w:t>
      </w:r>
    </w:p>
    <w:p w14:paraId="1E42648A">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九、小微企业声明函</w:t>
      </w:r>
    </w:p>
    <w:p w14:paraId="765984B9">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十、残疾人福利性单位声明函</w:t>
      </w:r>
    </w:p>
    <w:p w14:paraId="5CEADED7">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十一、联合体协议</w:t>
      </w:r>
    </w:p>
    <w:p w14:paraId="4139CE17">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十二、投标分项报价表</w:t>
      </w:r>
    </w:p>
    <w:p w14:paraId="0FD40B7F">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十三、技术要求响应及偏离表</w:t>
      </w:r>
    </w:p>
    <w:p w14:paraId="32C914CF">
      <w:pPr>
        <w:pStyle w:val="12"/>
        <w:spacing w:beforeAutospacing="0" w:afterAutospacing="0" w:line="0" w:lineRule="atLeast"/>
        <w:ind w:firstLine="480"/>
        <w:jc w:val="both"/>
        <w:rPr>
          <w:rFonts w:ascii="宋体" w:hAnsi="宋体" w:eastAsia="宋体" w:cs="宋体"/>
          <w:color w:val="000000"/>
          <w:highlight w:val="none"/>
        </w:rPr>
      </w:pPr>
      <w:r>
        <w:rPr>
          <w:rFonts w:hint="eastAsia" w:ascii="宋体" w:hAnsi="宋体" w:eastAsia="宋体" w:cs="宋体"/>
          <w:color w:val="000000"/>
          <w:highlight w:val="none"/>
        </w:rPr>
        <w:t>十四、商务要求响应及偏离表</w:t>
      </w:r>
    </w:p>
    <w:p w14:paraId="28F1523B">
      <w:pPr>
        <w:pStyle w:val="12"/>
        <w:spacing w:beforeAutospacing="0" w:afterAutospacing="0"/>
        <w:ind w:left="480"/>
        <w:jc w:val="both"/>
        <w:rPr>
          <w:rFonts w:ascii="宋体" w:hAnsi="宋体" w:eastAsia="宋体" w:cs="宋体"/>
          <w:i/>
          <w:color w:val="000000"/>
          <w:highlight w:val="none"/>
          <w:u w:val="single"/>
        </w:rPr>
      </w:pPr>
      <w:r>
        <w:rPr>
          <w:rFonts w:hint="eastAsia" w:ascii="宋体" w:hAnsi="宋体" w:eastAsia="宋体" w:cs="宋体"/>
          <w:i/>
          <w:color w:val="000000"/>
          <w:highlight w:val="none"/>
          <w:u w:val="single"/>
        </w:rPr>
        <w:t>十五、开标一览表</w:t>
      </w:r>
    </w:p>
    <w:p w14:paraId="4ABB1572">
      <w:pPr>
        <w:widowControl/>
        <w:spacing w:before="50" w:after="50"/>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十六、技术方案、服务承诺、培训承诺等</w:t>
      </w:r>
    </w:p>
    <w:p w14:paraId="7307F6BD">
      <w:pPr>
        <w:pStyle w:val="12"/>
        <w:spacing w:beforeAutospacing="0" w:afterAutospacing="0" w:line="360" w:lineRule="auto"/>
        <w:ind w:firstLine="480"/>
        <w:jc w:val="both"/>
        <w:rPr>
          <w:rFonts w:ascii="宋体" w:hAnsi="宋体" w:eastAsia="宋体" w:cs="宋体"/>
          <w:color w:val="000000"/>
          <w:highlight w:val="none"/>
        </w:rPr>
      </w:pPr>
      <w:r>
        <w:rPr>
          <w:rFonts w:hint="eastAsia" w:ascii="宋体" w:hAnsi="宋体" w:eastAsia="宋体" w:cs="宋体"/>
          <w:color w:val="000000"/>
          <w:highlight w:val="none"/>
        </w:rPr>
        <w:t>十七、盐城市政府采购事前信用承诺书</w:t>
      </w:r>
    </w:p>
    <w:p w14:paraId="0ED403F0">
      <w:pPr>
        <w:pStyle w:val="12"/>
        <w:spacing w:beforeAutospacing="0" w:afterAutospacing="0" w:line="0" w:lineRule="atLeast"/>
        <w:ind w:firstLine="480"/>
        <w:jc w:val="both"/>
        <w:rPr>
          <w:rFonts w:ascii="宋体" w:hAnsi="宋体" w:eastAsia="宋体" w:cs="宋体"/>
          <w:color w:val="000000"/>
          <w:highlight w:val="none"/>
        </w:rPr>
      </w:pPr>
    </w:p>
    <w:p w14:paraId="0B45C3CE">
      <w:pPr>
        <w:pStyle w:val="12"/>
        <w:spacing w:beforeAutospacing="0" w:afterAutospacing="0" w:line="0" w:lineRule="atLeast"/>
        <w:ind w:firstLine="480"/>
        <w:jc w:val="both"/>
        <w:rPr>
          <w:rFonts w:ascii="宋体" w:hAnsi="宋体" w:eastAsia="宋体" w:cs="宋体"/>
          <w:color w:val="000000"/>
          <w:highlight w:val="none"/>
        </w:rPr>
      </w:pPr>
    </w:p>
    <w:p w14:paraId="4F70B98F">
      <w:pPr>
        <w:pStyle w:val="12"/>
        <w:spacing w:beforeAutospacing="0" w:afterAutospacing="0" w:line="0" w:lineRule="atLeast"/>
        <w:ind w:firstLine="480"/>
        <w:jc w:val="both"/>
        <w:rPr>
          <w:highlight w:val="none"/>
        </w:rPr>
      </w:pPr>
      <w:r>
        <w:rPr>
          <w:highlight w:val="none"/>
        </w:rPr>
        <w:t> </w:t>
      </w:r>
    </w:p>
    <w:p w14:paraId="70D02208">
      <w:pPr>
        <w:pStyle w:val="12"/>
        <w:spacing w:beforeAutospacing="0" w:afterAutospacing="0" w:line="0" w:lineRule="atLeast"/>
        <w:ind w:firstLine="480"/>
        <w:jc w:val="both"/>
        <w:rPr>
          <w:highlight w:val="none"/>
        </w:rPr>
      </w:pPr>
      <w:r>
        <w:rPr>
          <w:highlight w:val="none"/>
        </w:rPr>
        <w:t> </w:t>
      </w:r>
    </w:p>
    <w:p w14:paraId="6CEAD754">
      <w:pPr>
        <w:pStyle w:val="12"/>
        <w:spacing w:beforeAutospacing="0" w:afterAutospacing="0" w:line="0" w:lineRule="atLeast"/>
        <w:ind w:firstLine="480"/>
        <w:jc w:val="both"/>
        <w:rPr>
          <w:highlight w:val="none"/>
        </w:rPr>
      </w:pPr>
      <w:r>
        <w:rPr>
          <w:highlight w:val="none"/>
        </w:rPr>
        <w:t> </w:t>
      </w:r>
    </w:p>
    <w:p w14:paraId="5C27196B">
      <w:pPr>
        <w:pStyle w:val="12"/>
        <w:spacing w:beforeAutospacing="0" w:afterAutospacing="0" w:line="0" w:lineRule="atLeast"/>
        <w:ind w:firstLine="480"/>
        <w:jc w:val="both"/>
        <w:rPr>
          <w:highlight w:val="none"/>
        </w:rPr>
      </w:pPr>
      <w:r>
        <w:rPr>
          <w:highlight w:val="none"/>
        </w:rPr>
        <w:t> </w:t>
      </w:r>
    </w:p>
    <w:p w14:paraId="267FC3EB">
      <w:pPr>
        <w:pStyle w:val="12"/>
        <w:spacing w:beforeAutospacing="0" w:afterAutospacing="0" w:line="0" w:lineRule="atLeast"/>
        <w:ind w:firstLine="480"/>
        <w:jc w:val="both"/>
        <w:rPr>
          <w:highlight w:val="none"/>
        </w:rPr>
      </w:pPr>
    </w:p>
    <w:p w14:paraId="547C7C23">
      <w:pPr>
        <w:pStyle w:val="12"/>
        <w:spacing w:beforeAutospacing="0" w:afterAutospacing="0" w:line="0" w:lineRule="atLeast"/>
        <w:ind w:firstLine="480"/>
        <w:jc w:val="both"/>
        <w:rPr>
          <w:highlight w:val="none"/>
        </w:rPr>
      </w:pPr>
    </w:p>
    <w:p w14:paraId="5177EA10">
      <w:pPr>
        <w:pStyle w:val="12"/>
        <w:spacing w:beforeAutospacing="0" w:afterAutospacing="0" w:line="0" w:lineRule="atLeast"/>
        <w:ind w:firstLine="480"/>
        <w:jc w:val="both"/>
        <w:rPr>
          <w:highlight w:val="none"/>
        </w:rPr>
      </w:pPr>
    </w:p>
    <w:p w14:paraId="0426866E">
      <w:pPr>
        <w:pStyle w:val="12"/>
        <w:spacing w:beforeAutospacing="0" w:afterAutospacing="0" w:line="0" w:lineRule="atLeast"/>
        <w:ind w:firstLine="480"/>
        <w:jc w:val="both"/>
        <w:rPr>
          <w:highlight w:val="none"/>
        </w:rPr>
      </w:pPr>
    </w:p>
    <w:p w14:paraId="44CBCDB6">
      <w:pPr>
        <w:pStyle w:val="12"/>
        <w:spacing w:beforeAutospacing="0" w:afterAutospacing="0" w:line="0" w:lineRule="atLeast"/>
        <w:ind w:firstLine="480"/>
        <w:jc w:val="both"/>
        <w:rPr>
          <w:highlight w:val="none"/>
        </w:rPr>
      </w:pPr>
    </w:p>
    <w:p w14:paraId="34F16DB2">
      <w:pPr>
        <w:pStyle w:val="12"/>
        <w:spacing w:beforeAutospacing="0" w:afterAutospacing="0" w:line="0" w:lineRule="atLeast"/>
        <w:ind w:firstLine="480"/>
        <w:jc w:val="both"/>
        <w:rPr>
          <w:highlight w:val="none"/>
        </w:rPr>
      </w:pPr>
    </w:p>
    <w:p w14:paraId="15CA373D">
      <w:pPr>
        <w:pStyle w:val="12"/>
        <w:spacing w:beforeAutospacing="0" w:afterAutospacing="0" w:line="0" w:lineRule="atLeast"/>
        <w:ind w:firstLine="480"/>
        <w:jc w:val="both"/>
        <w:rPr>
          <w:highlight w:val="none"/>
        </w:rPr>
      </w:pPr>
    </w:p>
    <w:p w14:paraId="7AA396B7">
      <w:pPr>
        <w:pStyle w:val="12"/>
        <w:spacing w:beforeAutospacing="0" w:afterAutospacing="0" w:line="0" w:lineRule="atLeast"/>
        <w:ind w:firstLine="480"/>
        <w:jc w:val="both"/>
        <w:rPr>
          <w:highlight w:val="none"/>
        </w:rPr>
      </w:pPr>
    </w:p>
    <w:p w14:paraId="134CE71F">
      <w:pPr>
        <w:pStyle w:val="12"/>
        <w:spacing w:beforeAutospacing="0" w:afterAutospacing="0" w:line="0" w:lineRule="atLeast"/>
        <w:ind w:firstLine="480"/>
        <w:jc w:val="both"/>
        <w:rPr>
          <w:highlight w:val="none"/>
        </w:rPr>
      </w:pPr>
    </w:p>
    <w:p w14:paraId="5896117E">
      <w:pPr>
        <w:pStyle w:val="12"/>
        <w:spacing w:beforeAutospacing="0" w:afterAutospacing="0" w:line="0" w:lineRule="atLeast"/>
        <w:ind w:firstLine="480"/>
        <w:jc w:val="both"/>
        <w:rPr>
          <w:highlight w:val="none"/>
        </w:rPr>
      </w:pPr>
    </w:p>
    <w:p w14:paraId="161BA590">
      <w:pPr>
        <w:pStyle w:val="12"/>
        <w:spacing w:beforeAutospacing="0" w:afterAutospacing="0" w:line="0" w:lineRule="atLeast"/>
        <w:ind w:firstLine="480"/>
        <w:jc w:val="both"/>
        <w:rPr>
          <w:highlight w:val="none"/>
        </w:rPr>
      </w:pPr>
    </w:p>
    <w:p w14:paraId="460C975D">
      <w:pPr>
        <w:pStyle w:val="12"/>
        <w:spacing w:beforeAutospacing="0" w:afterAutospacing="0" w:line="0" w:lineRule="atLeast"/>
        <w:ind w:firstLine="480"/>
        <w:jc w:val="both"/>
        <w:rPr>
          <w:highlight w:val="none"/>
        </w:rPr>
      </w:pPr>
    </w:p>
    <w:p w14:paraId="0801CD6E">
      <w:pPr>
        <w:pStyle w:val="12"/>
        <w:spacing w:beforeAutospacing="0" w:afterAutospacing="0" w:line="0" w:lineRule="atLeast"/>
        <w:ind w:firstLine="480"/>
        <w:jc w:val="both"/>
        <w:rPr>
          <w:highlight w:val="none"/>
        </w:rPr>
      </w:pPr>
    </w:p>
    <w:p w14:paraId="20FA12A7">
      <w:pPr>
        <w:pStyle w:val="12"/>
        <w:spacing w:beforeAutospacing="0" w:afterAutospacing="0" w:line="0" w:lineRule="atLeast"/>
        <w:ind w:firstLine="480"/>
        <w:jc w:val="both"/>
        <w:rPr>
          <w:highlight w:val="none"/>
        </w:rPr>
      </w:pPr>
    </w:p>
    <w:p w14:paraId="3C2EC5A3">
      <w:pPr>
        <w:pStyle w:val="12"/>
        <w:spacing w:beforeAutospacing="0" w:afterAutospacing="0" w:line="0" w:lineRule="atLeast"/>
        <w:ind w:firstLine="480"/>
        <w:jc w:val="both"/>
        <w:rPr>
          <w:highlight w:val="none"/>
        </w:rPr>
      </w:pPr>
      <w:r>
        <w:rPr>
          <w:highlight w:val="none"/>
        </w:rPr>
        <w:t> </w:t>
      </w:r>
    </w:p>
    <w:p w14:paraId="1529AA56">
      <w:pPr>
        <w:pStyle w:val="12"/>
        <w:spacing w:beforeAutospacing="0" w:afterAutospacing="0" w:line="0" w:lineRule="atLeast"/>
        <w:ind w:firstLine="480"/>
        <w:jc w:val="both"/>
        <w:rPr>
          <w:highlight w:val="none"/>
        </w:rPr>
      </w:pPr>
      <w:r>
        <w:rPr>
          <w:highlight w:val="none"/>
        </w:rPr>
        <w:t> </w:t>
      </w:r>
    </w:p>
    <w:p w14:paraId="47B30B9A">
      <w:pPr>
        <w:pStyle w:val="12"/>
        <w:spacing w:beforeAutospacing="0" w:afterAutospacing="0" w:line="0" w:lineRule="atLeast"/>
        <w:ind w:firstLine="480"/>
        <w:jc w:val="both"/>
        <w:rPr>
          <w:highlight w:val="none"/>
        </w:rPr>
      </w:pPr>
      <w:r>
        <w:rPr>
          <w:highlight w:val="none"/>
        </w:rPr>
        <w:t> </w:t>
      </w:r>
    </w:p>
    <w:p w14:paraId="4B29E6A4">
      <w:pPr>
        <w:pStyle w:val="12"/>
        <w:spacing w:beforeAutospacing="0" w:afterAutospacing="0" w:line="0" w:lineRule="atLeast"/>
        <w:ind w:firstLine="480"/>
        <w:jc w:val="both"/>
        <w:rPr>
          <w:highlight w:val="none"/>
        </w:rPr>
      </w:pPr>
      <w:r>
        <w:rPr>
          <w:highlight w:val="none"/>
        </w:rPr>
        <w:t> </w:t>
      </w:r>
    </w:p>
    <w:p w14:paraId="3392278B">
      <w:pPr>
        <w:pStyle w:val="12"/>
        <w:spacing w:beforeAutospacing="0" w:afterAutospacing="0"/>
        <w:jc w:val="both"/>
        <w:rPr>
          <w:highlight w:val="none"/>
        </w:rPr>
      </w:pPr>
      <w:r>
        <w:rPr>
          <w:rFonts w:hint="eastAsia" w:ascii="黑体" w:hAnsi="宋体" w:eastAsia="黑体" w:cs="黑体"/>
          <w:i/>
          <w:color w:val="000000"/>
          <w:sz w:val="32"/>
          <w:szCs w:val="32"/>
          <w:highlight w:val="none"/>
          <w:u w:val="single"/>
        </w:rPr>
        <w:t>一、法人或者其他组织的营业执照等证明文件，自然人的身份证明</w:t>
      </w:r>
    </w:p>
    <w:p w14:paraId="0C964B52">
      <w:pPr>
        <w:pStyle w:val="12"/>
        <w:spacing w:beforeAutospacing="0" w:afterAutospacing="0" w:line="0" w:lineRule="atLeast"/>
        <w:ind w:firstLine="480"/>
        <w:jc w:val="both"/>
        <w:rPr>
          <w:highlight w:val="none"/>
        </w:rPr>
      </w:pPr>
      <w:r>
        <w:rPr>
          <w:highlight w:val="none"/>
        </w:rPr>
        <w:t> </w:t>
      </w:r>
    </w:p>
    <w:p w14:paraId="451F9F32">
      <w:pPr>
        <w:pStyle w:val="12"/>
        <w:spacing w:beforeAutospacing="0" w:afterAutospacing="0"/>
        <w:jc w:val="both"/>
        <w:rPr>
          <w:rFonts w:eastAsia="黑体"/>
          <w:highlight w:val="none"/>
        </w:rPr>
      </w:pPr>
      <w:r>
        <w:rPr>
          <w:rFonts w:hint="eastAsia" w:ascii="黑体" w:hAnsi="宋体" w:eastAsia="黑体" w:cs="黑体"/>
          <w:i/>
          <w:color w:val="000000"/>
          <w:sz w:val="32"/>
          <w:szCs w:val="32"/>
          <w:highlight w:val="none"/>
          <w:u w:val="single"/>
        </w:rPr>
        <w:t>二、上一年度的财务状况报表</w:t>
      </w:r>
    </w:p>
    <w:p w14:paraId="3E80B0E0">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投标人成立不满一年不需提供</w:t>
      </w:r>
    </w:p>
    <w:p w14:paraId="723FF49F">
      <w:pPr>
        <w:pStyle w:val="12"/>
        <w:spacing w:beforeAutospacing="0" w:afterAutospacing="0"/>
        <w:jc w:val="both"/>
        <w:rPr>
          <w:highlight w:val="none"/>
        </w:rPr>
      </w:pPr>
      <w:r>
        <w:rPr>
          <w:highlight w:val="none"/>
        </w:rPr>
        <w:t> </w:t>
      </w:r>
    </w:p>
    <w:p w14:paraId="6E43D247">
      <w:pPr>
        <w:pStyle w:val="12"/>
        <w:spacing w:beforeAutospacing="0" w:afterAutospacing="0"/>
        <w:jc w:val="both"/>
        <w:rPr>
          <w:highlight w:val="none"/>
        </w:rPr>
      </w:pPr>
      <w:r>
        <w:rPr>
          <w:highlight w:val="none"/>
        </w:rPr>
        <w:t> </w:t>
      </w:r>
    </w:p>
    <w:p w14:paraId="5FC66B9E">
      <w:pPr>
        <w:pStyle w:val="12"/>
        <w:spacing w:beforeAutospacing="0" w:afterAutospacing="0"/>
        <w:jc w:val="both"/>
        <w:rPr>
          <w:highlight w:val="none"/>
        </w:rPr>
      </w:pPr>
      <w:r>
        <w:rPr>
          <w:rFonts w:hint="eastAsia" w:ascii="黑体" w:hAnsi="宋体" w:eastAsia="黑体" w:cs="黑体"/>
          <w:i/>
          <w:color w:val="000000"/>
          <w:sz w:val="32"/>
          <w:szCs w:val="32"/>
          <w:highlight w:val="none"/>
          <w:u w:val="single"/>
          <w:lang w:val="en-US" w:eastAsia="zh-CN"/>
        </w:rPr>
        <w:t>三</w:t>
      </w:r>
      <w:r>
        <w:rPr>
          <w:rFonts w:hint="eastAsia" w:ascii="黑体" w:hAnsi="宋体" w:eastAsia="黑体" w:cs="黑体"/>
          <w:i/>
          <w:color w:val="000000"/>
          <w:sz w:val="32"/>
          <w:szCs w:val="32"/>
          <w:highlight w:val="none"/>
          <w:u w:val="single"/>
        </w:rPr>
        <w:t>、具备履行合同所必需的设备和专业技术能力的书面声明</w:t>
      </w:r>
    </w:p>
    <w:p w14:paraId="3479C034">
      <w:pPr>
        <w:pStyle w:val="12"/>
        <w:spacing w:beforeAutospacing="0" w:afterAutospacing="0" w:line="0" w:lineRule="atLeast"/>
        <w:ind w:firstLine="492"/>
        <w:jc w:val="both"/>
        <w:rPr>
          <w:highlight w:val="none"/>
        </w:rPr>
      </w:pPr>
      <w:r>
        <w:rPr>
          <w:rFonts w:hint="eastAsia" w:ascii="宋体" w:hAnsi="宋体" w:eastAsia="宋体" w:cs="宋体"/>
          <w:color w:val="000000"/>
          <w:highlight w:val="none"/>
        </w:rPr>
        <w:t>我单位郑重声明：我单位具备履行本项采购合同所必需的设备和专业技术能力，为履行本项采购合同我公司具备如下主要设备和主要专业技术能力：</w:t>
      </w:r>
    </w:p>
    <w:p w14:paraId="2EECB9DD">
      <w:pPr>
        <w:pStyle w:val="12"/>
        <w:spacing w:beforeAutospacing="0" w:afterAutospacing="0" w:line="0" w:lineRule="atLeast"/>
        <w:ind w:firstLine="492"/>
        <w:jc w:val="both"/>
        <w:rPr>
          <w:highlight w:val="none"/>
        </w:rPr>
      </w:pPr>
      <w:r>
        <w:rPr>
          <w:rFonts w:hint="eastAsia" w:ascii="宋体" w:hAnsi="宋体" w:eastAsia="宋体" w:cs="宋体"/>
          <w:color w:val="000000"/>
          <w:highlight w:val="none"/>
        </w:rPr>
        <w:t>主要设备有：</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2DBC0B03">
      <w:pPr>
        <w:pStyle w:val="12"/>
        <w:spacing w:beforeAutospacing="0" w:afterAutospacing="0"/>
        <w:jc w:val="both"/>
        <w:rPr>
          <w:rFonts w:hint="eastAsia" w:ascii="宋体" w:hAnsi="宋体" w:eastAsia="宋体" w:cs="宋体"/>
          <w:color w:val="000000"/>
          <w:highlight w:val="none"/>
        </w:rPr>
      </w:pPr>
      <w:r>
        <w:rPr>
          <w:rFonts w:hint="eastAsia" w:ascii="宋体" w:hAnsi="宋体" w:eastAsia="宋体" w:cs="宋体"/>
          <w:color w:val="000000"/>
          <w:highlight w:val="none"/>
        </w:rPr>
        <w:t>主要专业技术能力有：</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33BF2AD5">
      <w:pPr>
        <w:pStyle w:val="12"/>
        <w:spacing w:beforeAutospacing="0" w:afterAutospacing="0"/>
        <w:jc w:val="both"/>
        <w:rPr>
          <w:highlight w:val="none"/>
        </w:rPr>
      </w:pPr>
      <w:r>
        <w:rPr>
          <w:rFonts w:hint="eastAsia" w:ascii="黑体" w:hAnsi="宋体" w:eastAsia="黑体" w:cs="黑体"/>
          <w:i/>
          <w:color w:val="000000"/>
          <w:sz w:val="32"/>
          <w:szCs w:val="32"/>
          <w:highlight w:val="none"/>
          <w:u w:val="single"/>
          <w:lang w:val="en-US" w:eastAsia="zh-CN"/>
        </w:rPr>
        <w:t>四</w:t>
      </w:r>
      <w:r>
        <w:rPr>
          <w:rFonts w:hint="eastAsia" w:ascii="黑体" w:hAnsi="宋体" w:eastAsia="黑体" w:cs="黑体"/>
          <w:i/>
          <w:color w:val="000000"/>
          <w:sz w:val="32"/>
          <w:szCs w:val="32"/>
          <w:highlight w:val="none"/>
          <w:u w:val="single"/>
        </w:rPr>
        <w:t>、依法缴纳税收和社会保障资金的相关材料</w:t>
      </w:r>
    </w:p>
    <w:p w14:paraId="408E822F">
      <w:pPr>
        <w:pStyle w:val="12"/>
        <w:spacing w:beforeAutospacing="0" w:afterAutospacing="0"/>
        <w:ind w:firstLine="480"/>
        <w:jc w:val="both"/>
        <w:rPr>
          <w:highlight w:val="none"/>
        </w:rPr>
      </w:pPr>
      <w:bookmarkStart w:id="233" w:name="_Toc120614284"/>
      <w:r>
        <w:rPr>
          <w:rFonts w:hint="eastAsia" w:ascii="宋体" w:hAnsi="宋体" w:eastAsia="宋体" w:cs="宋体"/>
          <w:color w:val="000000"/>
          <w:highlight w:val="none"/>
        </w:rPr>
        <w:t>提供提交投标文件截止时间前一年内至少一个月依法缴纳税收及缴纳社会保障资金的证明材料。投标人依法享受缓缴、免缴税收、社会保障资金的提供证明材料。</w:t>
      </w:r>
      <w:bookmarkEnd w:id="233"/>
    </w:p>
    <w:p w14:paraId="61F50E70">
      <w:pPr>
        <w:pStyle w:val="12"/>
        <w:spacing w:beforeAutospacing="0" w:afterAutospacing="0"/>
        <w:jc w:val="both"/>
        <w:rPr>
          <w:highlight w:val="none"/>
        </w:rPr>
      </w:pPr>
      <w:r>
        <w:rPr>
          <w:rFonts w:hint="eastAsia" w:ascii="黑体" w:hAnsi="宋体" w:eastAsia="黑体" w:cs="黑体"/>
          <w:i/>
          <w:color w:val="000000"/>
          <w:sz w:val="32"/>
          <w:szCs w:val="32"/>
          <w:highlight w:val="none"/>
          <w:u w:val="single"/>
        </w:rPr>
        <w:t>五、参加政府采购活动前 3 年内在经营活动中没有重大违法记录的书面声明</w:t>
      </w:r>
    </w:p>
    <w:p w14:paraId="7B73637B">
      <w:pPr>
        <w:pStyle w:val="12"/>
        <w:spacing w:beforeAutospacing="0" w:afterAutospacing="0" w:line="0" w:lineRule="atLeast"/>
        <w:jc w:val="both"/>
        <w:rPr>
          <w:highlight w:val="none"/>
        </w:rPr>
      </w:pPr>
      <w:r>
        <w:rPr>
          <w:rFonts w:hint="eastAsia" w:ascii="宋体" w:hAnsi="宋体" w:eastAsia="宋体" w:cs="宋体"/>
          <w:b/>
          <w:color w:val="000000"/>
          <w:sz w:val="44"/>
          <w:szCs w:val="44"/>
          <w:highlight w:val="none"/>
        </w:rPr>
        <w:t>       声  明</w:t>
      </w:r>
    </w:p>
    <w:p w14:paraId="42D1261B">
      <w:pPr>
        <w:pStyle w:val="12"/>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我单位郑重声明：参加本次政府采购活动前 3 年内，我单位在经营活动中没有因违法经营受到刑事处罚或者责令停产停业、吊销许可证或者执照、较大数额罚款等行政处罚。</w:t>
      </w:r>
    </w:p>
    <w:p w14:paraId="0AFE0C58">
      <w:pPr>
        <w:pStyle w:val="12"/>
        <w:spacing w:beforeAutospacing="0" w:afterAutospacing="0"/>
        <w:jc w:val="both"/>
        <w:rPr>
          <w:highlight w:val="none"/>
        </w:rPr>
      </w:pPr>
      <w:r>
        <w:rPr>
          <w:highlight w:val="none"/>
        </w:rPr>
        <w:t> </w:t>
      </w:r>
    </w:p>
    <w:p w14:paraId="3573028B">
      <w:pPr>
        <w:pStyle w:val="12"/>
        <w:spacing w:beforeAutospacing="0" w:afterAutospacing="0"/>
        <w:jc w:val="both"/>
        <w:rPr>
          <w:highlight w:val="none"/>
        </w:rPr>
      </w:pPr>
      <w:r>
        <w:rPr>
          <w:rFonts w:hint="eastAsia" w:ascii="黑体" w:hAnsi="宋体" w:eastAsia="黑体" w:cs="黑体"/>
          <w:i/>
          <w:color w:val="000000"/>
          <w:sz w:val="32"/>
          <w:szCs w:val="32"/>
          <w:highlight w:val="none"/>
          <w:u w:val="single"/>
        </w:rPr>
        <w:t>六、特定资格要求的证明文件</w:t>
      </w:r>
    </w:p>
    <w:p w14:paraId="50587075">
      <w:pPr>
        <w:pStyle w:val="12"/>
        <w:spacing w:beforeAutospacing="0" w:afterAutospacing="0" w:line="0" w:lineRule="atLeast"/>
        <w:jc w:val="both"/>
        <w:rPr>
          <w:highlight w:val="none"/>
        </w:rPr>
      </w:pPr>
      <w:r>
        <w:rPr>
          <w:rFonts w:hint="eastAsia" w:ascii="宋体" w:hAnsi="宋体" w:eastAsia="宋体" w:cs="宋体"/>
          <w:color w:val="000000"/>
          <w:highlight w:val="none"/>
        </w:rPr>
        <w:t>    如果本项目申请人的特定资格要求中要求提供的，必须提供。</w:t>
      </w:r>
    </w:p>
    <w:p w14:paraId="1E71CE88">
      <w:pPr>
        <w:pStyle w:val="12"/>
        <w:spacing w:beforeAutospacing="0" w:afterAutospacing="0" w:line="0" w:lineRule="atLeast"/>
        <w:jc w:val="both"/>
        <w:rPr>
          <w:highlight w:val="none"/>
        </w:rPr>
      </w:pPr>
      <w:r>
        <w:rPr>
          <w:highlight w:val="none"/>
        </w:rPr>
        <w:t> </w:t>
      </w:r>
    </w:p>
    <w:p w14:paraId="43C22C63">
      <w:pPr>
        <w:pStyle w:val="12"/>
        <w:spacing w:beforeAutospacing="0" w:afterAutospacing="0"/>
        <w:jc w:val="center"/>
        <w:rPr>
          <w:rFonts w:ascii="黑体" w:hAnsi="宋体" w:eastAsia="黑体" w:cs="黑体"/>
          <w:i/>
          <w:color w:val="000000"/>
          <w:sz w:val="32"/>
          <w:szCs w:val="32"/>
          <w:highlight w:val="none"/>
          <w:u w:val="single"/>
        </w:rPr>
      </w:pPr>
    </w:p>
    <w:p w14:paraId="58F5FBEA">
      <w:pPr>
        <w:pStyle w:val="12"/>
        <w:spacing w:beforeAutospacing="0" w:afterAutospacing="0"/>
        <w:jc w:val="center"/>
        <w:rPr>
          <w:rFonts w:ascii="黑体" w:hAnsi="宋体" w:eastAsia="黑体" w:cs="黑体"/>
          <w:i/>
          <w:color w:val="000000"/>
          <w:sz w:val="32"/>
          <w:szCs w:val="32"/>
          <w:highlight w:val="none"/>
          <w:u w:val="single"/>
        </w:rPr>
      </w:pPr>
    </w:p>
    <w:p w14:paraId="6A180FFE">
      <w:pPr>
        <w:pStyle w:val="12"/>
        <w:spacing w:beforeAutospacing="0" w:afterAutospacing="0"/>
        <w:jc w:val="center"/>
        <w:rPr>
          <w:rFonts w:ascii="黑体" w:hAnsi="宋体" w:eastAsia="黑体" w:cs="黑体"/>
          <w:i/>
          <w:color w:val="000000"/>
          <w:sz w:val="32"/>
          <w:szCs w:val="32"/>
          <w:highlight w:val="none"/>
          <w:u w:val="single"/>
        </w:rPr>
      </w:pPr>
    </w:p>
    <w:p w14:paraId="3D2A4A6F">
      <w:pPr>
        <w:pStyle w:val="12"/>
        <w:spacing w:beforeAutospacing="0" w:afterAutospacing="0"/>
        <w:jc w:val="center"/>
        <w:rPr>
          <w:highlight w:val="none"/>
        </w:rPr>
      </w:pPr>
      <w:r>
        <w:rPr>
          <w:rFonts w:hint="eastAsia" w:ascii="黑体" w:hAnsi="宋体" w:eastAsia="黑体" w:cs="黑体"/>
          <w:i/>
          <w:color w:val="000000"/>
          <w:sz w:val="32"/>
          <w:szCs w:val="32"/>
          <w:highlight w:val="none"/>
          <w:u w:val="single"/>
        </w:rPr>
        <w:t>七、法人授权书</w:t>
      </w:r>
    </w:p>
    <w:p w14:paraId="368529B3">
      <w:pPr>
        <w:pStyle w:val="12"/>
        <w:tabs>
          <w:tab w:val="left" w:pos="360"/>
        </w:tabs>
        <w:spacing w:beforeAutospacing="0" w:afterAutospacing="0"/>
        <w:ind w:firstLine="480"/>
        <w:jc w:val="both"/>
        <w:rPr>
          <w:highlight w:val="none"/>
        </w:rPr>
      </w:pPr>
      <w:r>
        <w:rPr>
          <w:rFonts w:ascii="Times New Roman" w:hAnsi="Times New Roman"/>
          <w:color w:val="000000"/>
          <w:highlight w:val="none"/>
        </w:rPr>
        <w:t>本授权书声明：____________（投标人名称）授权________________（被授权人的姓名）为我方就JSZC-</w:t>
      </w:r>
      <w:r>
        <w:rPr>
          <w:rFonts w:ascii="Times New Roman" w:hAnsi="Times New Roman"/>
          <w:color w:val="000000"/>
          <w:highlight w:val="none"/>
          <w:u w:val="single"/>
        </w:rPr>
        <w:t xml:space="preserve">        </w:t>
      </w:r>
      <w:r>
        <w:rPr>
          <w:rFonts w:ascii="Times New Roman" w:hAnsi="Times New Roman"/>
          <w:color w:val="000000"/>
          <w:highlight w:val="none"/>
        </w:rPr>
        <w:t>号项目采购活动的合法代理人，以本单位名义全权处理一切与该项目采购有关的事务。</w:t>
      </w:r>
    </w:p>
    <w:p w14:paraId="23596D49">
      <w:pPr>
        <w:pStyle w:val="12"/>
        <w:tabs>
          <w:tab w:val="left" w:pos="360"/>
        </w:tabs>
        <w:spacing w:beforeAutospacing="0" w:afterAutospacing="0"/>
        <w:ind w:firstLine="480"/>
        <w:jc w:val="both"/>
        <w:rPr>
          <w:highlight w:val="none"/>
        </w:rPr>
      </w:pPr>
      <w:r>
        <w:rPr>
          <w:rFonts w:ascii="Times New Roman" w:hAnsi="Times New Roman"/>
          <w:color w:val="000000"/>
          <w:highlight w:val="none"/>
        </w:rPr>
        <w:t>本授权书于______年____月____日起生效，特此声明。</w:t>
      </w:r>
    </w:p>
    <w:p w14:paraId="7DFD6347">
      <w:pPr>
        <w:pStyle w:val="12"/>
        <w:tabs>
          <w:tab w:val="left" w:pos="360"/>
        </w:tabs>
        <w:spacing w:beforeAutospacing="0" w:afterAutospacing="0"/>
        <w:jc w:val="both"/>
        <w:rPr>
          <w:highlight w:val="none"/>
        </w:rPr>
      </w:pPr>
      <w:r>
        <w:rPr>
          <w:rFonts w:ascii="Times New Roman" w:hAnsi="Times New Roman"/>
          <w:color w:val="000000"/>
          <w:highlight w:val="none"/>
        </w:rPr>
        <w:t>          被授权人身份证号码：</w:t>
      </w:r>
      <w:r>
        <w:rPr>
          <w:rFonts w:ascii="Times New Roman" w:hAnsi="Times New Roman"/>
          <w:color w:val="000000"/>
          <w:highlight w:val="none"/>
          <w:u w:val="single"/>
        </w:rPr>
        <w:t xml:space="preserve">                              </w:t>
      </w:r>
    </w:p>
    <w:p w14:paraId="5D205957">
      <w:pPr>
        <w:pStyle w:val="12"/>
        <w:tabs>
          <w:tab w:val="left" w:pos="360"/>
        </w:tabs>
        <w:spacing w:beforeAutospacing="0" w:afterAutospacing="0"/>
        <w:jc w:val="both"/>
        <w:rPr>
          <w:highlight w:val="none"/>
        </w:rPr>
      </w:pPr>
      <w:r>
        <w:rPr>
          <w:rFonts w:ascii="Times New Roman" w:hAnsi="Times New Roman"/>
          <w:color w:val="000000"/>
          <w:highlight w:val="none"/>
        </w:rPr>
        <w:t>          被授权人联系电话：（手机）</w:t>
      </w:r>
      <w:r>
        <w:rPr>
          <w:rFonts w:ascii="Times New Roman" w:hAnsi="Times New Roman"/>
          <w:color w:val="000000"/>
          <w:highlight w:val="none"/>
          <w:u w:val="single"/>
        </w:rPr>
        <w:t xml:space="preserve">                          </w:t>
      </w:r>
    </w:p>
    <w:p w14:paraId="7B267167">
      <w:pPr>
        <w:pStyle w:val="12"/>
        <w:tabs>
          <w:tab w:val="left" w:pos="360"/>
        </w:tabs>
        <w:spacing w:beforeAutospacing="0" w:afterAutospacing="0"/>
        <w:ind w:firstLine="1200"/>
        <w:jc w:val="both"/>
        <w:rPr>
          <w:highlight w:val="none"/>
        </w:rPr>
      </w:pPr>
      <w:r>
        <w:rPr>
          <w:rFonts w:ascii="Times New Roman" w:hAnsi="Times New Roman"/>
          <w:color w:val="000000"/>
          <w:highlight w:val="none"/>
        </w:rPr>
        <w:t>授权单位名称：</w:t>
      </w:r>
      <w:r>
        <w:rPr>
          <w:rFonts w:ascii="Times New Roman" w:hAnsi="Times New Roman"/>
          <w:color w:val="000000"/>
          <w:highlight w:val="none"/>
          <w:u w:val="single"/>
        </w:rPr>
        <w:t>（加盖CA电子公章）</w:t>
      </w:r>
    </w:p>
    <w:p w14:paraId="62BDDB5A">
      <w:pPr>
        <w:pStyle w:val="12"/>
        <w:tabs>
          <w:tab w:val="left" w:pos="360"/>
        </w:tabs>
        <w:spacing w:beforeAutospacing="0" w:afterAutospacing="0"/>
        <w:ind w:firstLine="480"/>
        <w:jc w:val="both"/>
        <w:rPr>
          <w:highlight w:val="none"/>
        </w:rPr>
      </w:pPr>
      <w:r>
        <w:rPr>
          <w:rFonts w:ascii="Times New Roman" w:hAnsi="Times New Roman"/>
          <w:color w:val="000000"/>
          <w:highlight w:val="none"/>
        </w:rPr>
        <w:t>      单位地址：</w:t>
      </w:r>
      <w:r>
        <w:rPr>
          <w:rFonts w:ascii="Times New Roman" w:hAnsi="Times New Roman"/>
          <w:color w:val="000000"/>
          <w:highlight w:val="none"/>
          <w:u w:val="single"/>
        </w:rPr>
        <w:t xml:space="preserve">                                         </w:t>
      </w:r>
    </w:p>
    <w:p w14:paraId="19AF3034">
      <w:pPr>
        <w:pStyle w:val="12"/>
        <w:tabs>
          <w:tab w:val="left" w:pos="360"/>
        </w:tabs>
        <w:spacing w:beforeAutospacing="0" w:afterAutospacing="0"/>
        <w:ind w:firstLine="480"/>
        <w:jc w:val="both"/>
        <w:rPr>
          <w:highlight w:val="none"/>
        </w:rPr>
      </w:pPr>
      <w:r>
        <w:rPr>
          <w:rFonts w:ascii="Times New Roman" w:hAnsi="Times New Roman"/>
          <w:color w:val="000000"/>
          <w:highlight w:val="none"/>
        </w:rPr>
        <w:t>      日期：</w:t>
      </w:r>
      <w:bookmarkStart w:id="234" w:name="_Hlt26955070"/>
      <w:bookmarkStart w:id="235" w:name="_格式3__银行出具的资信证明"/>
      <w:bookmarkStart w:id="236" w:name="_Hlt26671380"/>
      <w:r>
        <w:rPr>
          <w:rFonts w:ascii="Times New Roman" w:hAnsi="Times New Roman"/>
          <w:color w:val="000000"/>
          <w:highlight w:val="none"/>
          <w:u w:val="single"/>
        </w:rPr>
        <w:t xml:space="preserve">                                         </w:t>
      </w:r>
    </w:p>
    <w:p w14:paraId="6EF2972D">
      <w:pPr>
        <w:pStyle w:val="12"/>
        <w:spacing w:beforeAutospacing="0" w:afterAutospacing="0"/>
        <w:ind w:firstLine="420"/>
        <w:jc w:val="both"/>
        <w:rPr>
          <w:highlight w:val="none"/>
        </w:rPr>
      </w:pPr>
      <w:r>
        <w:rPr>
          <w:highlight w:val="none"/>
        </w:rPr>
        <w:t> </w:t>
      </w:r>
    </w:p>
    <w:p w14:paraId="04957114">
      <w:pPr>
        <w:pStyle w:val="12"/>
        <w:spacing w:beforeAutospacing="0" w:afterAutospacing="0"/>
        <w:jc w:val="both"/>
        <w:rPr>
          <w:highlight w:val="none"/>
        </w:rPr>
      </w:pPr>
      <w:r>
        <w:rPr>
          <w:highlight w:val="none"/>
        </w:rPr>
        <w:t> </w:t>
      </w:r>
    </w:p>
    <w:p w14:paraId="758E6E5E">
      <w:pPr>
        <w:pStyle w:val="12"/>
        <w:spacing w:beforeAutospacing="0" w:afterAutospacing="0" w:line="0" w:lineRule="atLeast"/>
        <w:jc w:val="both"/>
        <w:rPr>
          <w:highlight w:val="none"/>
        </w:rPr>
      </w:pPr>
      <w:r>
        <w:rPr>
          <w:highlight w:val="none"/>
        </w:rPr>
        <w:t> </w:t>
      </w:r>
    </w:p>
    <w:p w14:paraId="11A0EE39">
      <w:pPr>
        <w:pStyle w:val="12"/>
        <w:keepNext/>
        <w:keepLines/>
        <w:spacing w:before="260" w:beforeAutospacing="0" w:after="260" w:afterAutospacing="0" w:line="415" w:lineRule="auto"/>
        <w:ind w:firstLine="3390"/>
        <w:jc w:val="both"/>
        <w:rPr>
          <w:rFonts w:ascii="黑体" w:hAnsi="宋体" w:eastAsia="黑体" w:cs="黑体"/>
          <w:b/>
          <w:color w:val="000000"/>
          <w:sz w:val="32"/>
          <w:szCs w:val="32"/>
          <w:highlight w:val="none"/>
        </w:rPr>
      </w:pPr>
      <w:r>
        <w:rPr>
          <w:rFonts w:hint="eastAsia" w:ascii="宋体" w:hAnsi="宋体" w:eastAsia="宋体" w:cs="宋体"/>
          <w:b/>
          <w:color w:val="000000"/>
          <w:highlight w:val="none"/>
        </w:rPr>
        <w:br w:type="page"/>
      </w:r>
      <w:r>
        <w:rPr>
          <w:rFonts w:hint="eastAsia" w:ascii="宋体" w:hAnsi="宋体" w:eastAsia="宋体" w:cs="宋体"/>
          <w:b/>
          <w:color w:val="000000"/>
          <w:highlight w:val="none"/>
        </w:rPr>
        <w:t> </w:t>
      </w:r>
      <w:r>
        <w:rPr>
          <w:rFonts w:hint="eastAsia" w:ascii="黑体" w:hAnsi="宋体" w:eastAsia="黑体" w:cs="黑体"/>
          <w:b/>
          <w:color w:val="000000"/>
          <w:sz w:val="32"/>
          <w:szCs w:val="32"/>
          <w:highlight w:val="none"/>
        </w:rPr>
        <w:t>八、投标函</w:t>
      </w:r>
    </w:p>
    <w:p w14:paraId="29C09954">
      <w:pPr>
        <w:pStyle w:val="12"/>
        <w:spacing w:beforeAutospacing="0" w:afterAutospacing="0" w:line="0" w:lineRule="atLeast"/>
        <w:rPr>
          <w:rFonts w:hint="eastAsia" w:eastAsia="宋体"/>
          <w:highlight w:val="none"/>
          <w:lang w:eastAsia="zh-CN"/>
        </w:rPr>
      </w:pPr>
      <w:r>
        <w:rPr>
          <w:rFonts w:hint="eastAsia" w:ascii="宋体" w:hAnsi="宋体" w:eastAsia="宋体" w:cs="宋体"/>
          <w:color w:val="000000"/>
          <w:highlight w:val="none"/>
        </w:rPr>
        <w:t>致：</w:t>
      </w:r>
      <w:r>
        <w:rPr>
          <w:rFonts w:hint="eastAsia" w:ascii="宋体" w:hAnsi="宋体" w:eastAsia="宋体" w:cs="宋体"/>
          <w:color w:val="000000"/>
          <w:highlight w:val="none"/>
          <w:lang w:eastAsia="zh-CN"/>
        </w:rPr>
        <w:t>盐城金弘项目管理有限公司</w:t>
      </w:r>
    </w:p>
    <w:p w14:paraId="3EDD0DEE">
      <w:pPr>
        <w:pStyle w:val="12"/>
        <w:spacing w:beforeAutospacing="0" w:afterAutospacing="0" w:line="0" w:lineRule="atLeast"/>
        <w:ind w:firstLine="480"/>
        <w:rPr>
          <w:highlight w:val="none"/>
        </w:rPr>
      </w:pPr>
      <w:r>
        <w:rPr>
          <w:rFonts w:hint="eastAsia" w:ascii="宋体" w:hAnsi="宋体" w:eastAsia="宋体" w:cs="宋体"/>
          <w:color w:val="000000"/>
          <w:highlight w:val="none"/>
        </w:rPr>
        <w:t>根据贵方的JSZC-320000-***号招标文件，正式授权下述签字人______(姓名)代表我方______________（投标人的名称），全权处理本次项目投标的有关事宜。</w:t>
      </w:r>
    </w:p>
    <w:p w14:paraId="081122AE">
      <w:pPr>
        <w:pStyle w:val="12"/>
        <w:spacing w:beforeAutospacing="0" w:afterAutospacing="0" w:line="0" w:lineRule="atLeast"/>
        <w:ind w:firstLine="480"/>
        <w:rPr>
          <w:highlight w:val="none"/>
        </w:rPr>
      </w:pPr>
      <w:r>
        <w:rPr>
          <w:rFonts w:hint="eastAsia" w:ascii="宋体" w:hAnsi="宋体" w:eastAsia="宋体" w:cs="宋体"/>
          <w:color w:val="000000"/>
          <w:highlight w:val="none"/>
        </w:rPr>
        <w:t>据此函，__________签字人兹宣布同意如下：</w:t>
      </w:r>
    </w:p>
    <w:p w14:paraId="437C1F74">
      <w:pPr>
        <w:pStyle w:val="12"/>
        <w:spacing w:beforeAutospacing="0" w:afterAutospacing="0" w:line="0" w:lineRule="atLeast"/>
        <w:ind w:firstLine="480"/>
        <w:rPr>
          <w:highlight w:val="none"/>
        </w:rPr>
      </w:pPr>
      <w:r>
        <w:rPr>
          <w:rFonts w:hint="eastAsia" w:ascii="宋体" w:hAnsi="宋体" w:eastAsia="宋体" w:cs="宋体"/>
          <w:color w:val="000000"/>
          <w:highlight w:val="none"/>
        </w:rPr>
        <w:t>1.按招标文件规定的各项要求，向买方提供所需服务（包含与服务相关的货物）。</w:t>
      </w:r>
    </w:p>
    <w:p w14:paraId="210A2B69">
      <w:pPr>
        <w:pStyle w:val="12"/>
        <w:spacing w:beforeAutospacing="0" w:afterAutospacing="0" w:line="0" w:lineRule="atLeast"/>
        <w:ind w:firstLine="480"/>
        <w:rPr>
          <w:highlight w:val="none"/>
        </w:rPr>
      </w:pPr>
      <w:r>
        <w:rPr>
          <w:rFonts w:hint="eastAsia" w:ascii="宋体" w:hAnsi="宋体" w:eastAsia="宋体" w:cs="宋体"/>
          <w:color w:val="000000"/>
          <w:highlight w:val="none"/>
        </w:rPr>
        <w:t>2.我们完全理解贵方不一定将合同授予最低报价的投标人。</w:t>
      </w:r>
    </w:p>
    <w:p w14:paraId="578185FD">
      <w:pPr>
        <w:pStyle w:val="12"/>
        <w:spacing w:beforeAutospacing="0" w:afterAutospacing="0" w:line="0" w:lineRule="atLeast"/>
        <w:ind w:firstLine="480"/>
        <w:rPr>
          <w:highlight w:val="none"/>
        </w:rPr>
      </w:pPr>
      <w:r>
        <w:rPr>
          <w:rFonts w:hint="eastAsia" w:ascii="宋体" w:hAnsi="宋体" w:eastAsia="宋体" w:cs="宋体"/>
          <w:color w:val="000000"/>
          <w:highlight w:val="none"/>
        </w:rPr>
        <w:t>3.我们已详细审核全部招标文件及其有效补充文件，我们知道必须放弃提出含糊不清或误解问题的权利。</w:t>
      </w:r>
    </w:p>
    <w:p w14:paraId="302CCB4E">
      <w:pPr>
        <w:pStyle w:val="12"/>
        <w:spacing w:beforeAutospacing="0" w:afterAutospacing="0" w:line="0" w:lineRule="atLeast"/>
        <w:ind w:firstLine="480"/>
        <w:rPr>
          <w:highlight w:val="none"/>
        </w:rPr>
      </w:pPr>
      <w:r>
        <w:rPr>
          <w:rFonts w:hint="eastAsia" w:ascii="宋体" w:hAnsi="宋体" w:eastAsia="宋体" w:cs="宋体"/>
          <w:color w:val="000000"/>
          <w:highlight w:val="none"/>
        </w:rPr>
        <w:t>4.我们同意从规定的开标日期起遵循本投标文件，并在规定的投标有效期期满之前均具有约束力。</w:t>
      </w:r>
    </w:p>
    <w:p w14:paraId="18145454">
      <w:pPr>
        <w:pStyle w:val="12"/>
        <w:spacing w:beforeAutospacing="0" w:afterAutospacing="0" w:line="0" w:lineRule="atLeast"/>
        <w:ind w:firstLine="480"/>
        <w:rPr>
          <w:highlight w:val="none"/>
        </w:rPr>
      </w:pPr>
      <w:r>
        <w:rPr>
          <w:rFonts w:hint="eastAsia" w:ascii="宋体" w:hAnsi="宋体" w:eastAsia="宋体" w:cs="宋体"/>
          <w:color w:val="000000"/>
          <w:highlight w:val="none"/>
        </w:rPr>
        <w:t>5.同意向贵方提供贵方可能另外要求的与投标有关的任何证据或资料，并保证我方已提供和将要提供的文件是真实的、准确的。</w:t>
      </w:r>
    </w:p>
    <w:p w14:paraId="2BBFFE95">
      <w:pPr>
        <w:pStyle w:val="12"/>
        <w:spacing w:beforeAutospacing="0" w:afterAutospacing="0" w:line="0" w:lineRule="atLeast"/>
        <w:ind w:firstLine="480"/>
        <w:rPr>
          <w:highlight w:val="none"/>
        </w:rPr>
      </w:pPr>
      <w:r>
        <w:rPr>
          <w:rFonts w:hint="eastAsia" w:ascii="宋体" w:hAnsi="宋体" w:eastAsia="宋体" w:cs="宋体"/>
          <w:color w:val="000000"/>
          <w:highlight w:val="none"/>
        </w:rPr>
        <w:t>6.一旦我方中标,我方将根据招标文件的规定，严格履行合同的责任和义务,并保证在招标文件规定的时间完成项目，交付买方验收、使用。</w:t>
      </w:r>
    </w:p>
    <w:p w14:paraId="27147FAF">
      <w:pPr>
        <w:pStyle w:val="12"/>
        <w:spacing w:beforeAutospacing="0" w:afterAutospacing="0" w:line="0" w:lineRule="atLeast"/>
        <w:ind w:firstLine="480"/>
        <w:rPr>
          <w:highlight w:val="none"/>
        </w:rPr>
      </w:pPr>
      <w:r>
        <w:rPr>
          <w:rFonts w:hint="eastAsia" w:ascii="宋体" w:hAnsi="宋体" w:eastAsia="宋体" w:cs="宋体"/>
          <w:color w:val="000000"/>
          <w:highlight w:val="none"/>
        </w:rPr>
        <w:t>7.与本投标有关的正式通讯地址为：</w:t>
      </w:r>
    </w:p>
    <w:p w14:paraId="0CBB6311">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地          址：</w:t>
      </w:r>
    </w:p>
    <w:p w14:paraId="0151DB7D">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邮          编：</w:t>
      </w:r>
    </w:p>
    <w:p w14:paraId="40648743">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电          话：</w:t>
      </w:r>
    </w:p>
    <w:p w14:paraId="1B0AE8CC">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传          真：</w:t>
      </w:r>
    </w:p>
    <w:p w14:paraId="096D1342">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投标人开户行：</w:t>
      </w:r>
    </w:p>
    <w:p w14:paraId="5CAFB8CA">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 xml:space="preserve">账          号： </w:t>
      </w:r>
    </w:p>
    <w:p w14:paraId="370112F5">
      <w:pPr>
        <w:pStyle w:val="12"/>
        <w:spacing w:beforeAutospacing="0" w:afterAutospacing="0" w:line="0" w:lineRule="atLeast"/>
        <w:ind w:left="420" w:firstLine="480"/>
        <w:rPr>
          <w:highlight w:val="none"/>
        </w:rPr>
      </w:pPr>
      <w:r>
        <w:rPr>
          <w:rFonts w:hint="eastAsia" w:ascii="宋体" w:hAnsi="宋体" w:eastAsia="宋体" w:cs="宋体"/>
          <w:color w:val="000000"/>
          <w:highlight w:val="none"/>
        </w:rPr>
        <w:t>日           期：________年____月____日</w:t>
      </w:r>
    </w:p>
    <w:p w14:paraId="58D255A4">
      <w:pPr>
        <w:pStyle w:val="12"/>
        <w:spacing w:beforeAutospacing="0" w:afterAutospacing="0" w:line="0" w:lineRule="atLeast"/>
        <w:ind w:firstLine="240"/>
        <w:jc w:val="center"/>
        <w:rPr>
          <w:highlight w:val="none"/>
        </w:rPr>
      </w:pPr>
      <w:r>
        <w:rPr>
          <w:highlight w:val="none"/>
        </w:rPr>
        <w:t> </w:t>
      </w:r>
    </w:p>
    <w:p w14:paraId="02AE9A1A">
      <w:pPr>
        <w:pStyle w:val="12"/>
        <w:spacing w:beforeAutospacing="0" w:afterAutospacing="0" w:line="0" w:lineRule="atLeast"/>
        <w:ind w:firstLine="240"/>
        <w:jc w:val="center"/>
        <w:rPr>
          <w:highlight w:val="none"/>
        </w:rPr>
      </w:pPr>
      <w:r>
        <w:rPr>
          <w:highlight w:val="none"/>
        </w:rPr>
        <w:t> </w:t>
      </w:r>
    </w:p>
    <w:p w14:paraId="499CE335">
      <w:pPr>
        <w:pStyle w:val="12"/>
        <w:spacing w:beforeAutospacing="0" w:afterAutospacing="0" w:line="0" w:lineRule="atLeast"/>
        <w:ind w:firstLine="240"/>
        <w:jc w:val="center"/>
        <w:rPr>
          <w:highlight w:val="none"/>
        </w:rPr>
      </w:pPr>
      <w:r>
        <w:rPr>
          <w:highlight w:val="none"/>
        </w:rPr>
        <w:t> </w:t>
      </w:r>
    </w:p>
    <w:p w14:paraId="37C9F220">
      <w:pPr>
        <w:pStyle w:val="12"/>
        <w:spacing w:beforeAutospacing="0" w:afterAutospacing="0" w:line="0" w:lineRule="atLeast"/>
        <w:ind w:firstLine="240"/>
        <w:jc w:val="center"/>
        <w:rPr>
          <w:highlight w:val="none"/>
        </w:rPr>
      </w:pPr>
      <w:r>
        <w:rPr>
          <w:highlight w:val="none"/>
        </w:rPr>
        <w:t> </w:t>
      </w:r>
    </w:p>
    <w:p w14:paraId="74962383">
      <w:pPr>
        <w:pStyle w:val="12"/>
        <w:spacing w:beforeAutospacing="0" w:afterAutospacing="0" w:line="0" w:lineRule="atLeast"/>
        <w:ind w:firstLine="240"/>
        <w:jc w:val="center"/>
        <w:rPr>
          <w:highlight w:val="none"/>
        </w:rPr>
      </w:pPr>
      <w:r>
        <w:rPr>
          <w:highlight w:val="none"/>
        </w:rPr>
        <w:t> </w:t>
      </w:r>
    </w:p>
    <w:p w14:paraId="0C9B3F33">
      <w:pPr>
        <w:pStyle w:val="12"/>
        <w:spacing w:beforeAutospacing="0" w:afterAutospacing="0" w:line="0" w:lineRule="atLeast"/>
        <w:ind w:firstLine="240"/>
        <w:jc w:val="center"/>
        <w:rPr>
          <w:highlight w:val="none"/>
        </w:rPr>
      </w:pPr>
    </w:p>
    <w:p w14:paraId="344E510B">
      <w:pPr>
        <w:pStyle w:val="12"/>
        <w:spacing w:beforeAutospacing="0" w:afterAutospacing="0" w:line="0" w:lineRule="atLeast"/>
        <w:ind w:firstLine="240"/>
        <w:jc w:val="center"/>
        <w:rPr>
          <w:highlight w:val="none"/>
        </w:rPr>
      </w:pPr>
    </w:p>
    <w:p w14:paraId="15C4B0F1">
      <w:pPr>
        <w:pStyle w:val="12"/>
        <w:spacing w:beforeAutospacing="0" w:afterAutospacing="0" w:line="0" w:lineRule="atLeast"/>
        <w:ind w:firstLine="240"/>
        <w:jc w:val="center"/>
        <w:rPr>
          <w:highlight w:val="none"/>
        </w:rPr>
      </w:pPr>
    </w:p>
    <w:p w14:paraId="75553032">
      <w:pPr>
        <w:pStyle w:val="12"/>
        <w:spacing w:beforeAutospacing="0" w:afterAutospacing="0" w:line="0" w:lineRule="atLeast"/>
        <w:ind w:firstLine="240"/>
        <w:jc w:val="center"/>
        <w:rPr>
          <w:highlight w:val="none"/>
        </w:rPr>
      </w:pPr>
    </w:p>
    <w:p w14:paraId="43AF6676">
      <w:pPr>
        <w:pStyle w:val="12"/>
        <w:spacing w:beforeAutospacing="0" w:afterAutospacing="0" w:line="0" w:lineRule="atLeast"/>
        <w:ind w:firstLine="240"/>
        <w:jc w:val="center"/>
        <w:rPr>
          <w:highlight w:val="none"/>
        </w:rPr>
      </w:pPr>
    </w:p>
    <w:p w14:paraId="7A96BA36">
      <w:pPr>
        <w:pStyle w:val="12"/>
        <w:spacing w:beforeAutospacing="0" w:afterAutospacing="0" w:line="0" w:lineRule="atLeast"/>
        <w:ind w:firstLine="240"/>
        <w:jc w:val="center"/>
        <w:rPr>
          <w:highlight w:val="none"/>
        </w:rPr>
      </w:pPr>
    </w:p>
    <w:p w14:paraId="04C0CDA5">
      <w:pPr>
        <w:pStyle w:val="12"/>
        <w:spacing w:beforeAutospacing="0" w:afterAutospacing="0" w:line="0" w:lineRule="atLeast"/>
        <w:ind w:firstLine="240"/>
        <w:jc w:val="center"/>
        <w:rPr>
          <w:highlight w:val="none"/>
        </w:rPr>
      </w:pPr>
    </w:p>
    <w:p w14:paraId="061288F2">
      <w:pPr>
        <w:pStyle w:val="12"/>
        <w:spacing w:beforeAutospacing="0" w:afterAutospacing="0" w:line="0" w:lineRule="atLeast"/>
        <w:ind w:firstLine="240"/>
        <w:jc w:val="center"/>
        <w:rPr>
          <w:highlight w:val="none"/>
        </w:rPr>
      </w:pPr>
    </w:p>
    <w:p w14:paraId="05B1B4D6">
      <w:pPr>
        <w:pStyle w:val="12"/>
        <w:spacing w:beforeAutospacing="0" w:afterAutospacing="0" w:line="0" w:lineRule="atLeast"/>
        <w:ind w:firstLine="240"/>
        <w:jc w:val="center"/>
        <w:rPr>
          <w:highlight w:val="none"/>
        </w:rPr>
      </w:pPr>
    </w:p>
    <w:p w14:paraId="4F2862B4">
      <w:pPr>
        <w:pStyle w:val="12"/>
        <w:spacing w:beforeAutospacing="0" w:afterAutospacing="0" w:line="0" w:lineRule="atLeast"/>
        <w:ind w:firstLine="240"/>
        <w:jc w:val="center"/>
        <w:rPr>
          <w:highlight w:val="none"/>
        </w:rPr>
      </w:pPr>
    </w:p>
    <w:p w14:paraId="7E6D5D17">
      <w:pPr>
        <w:pStyle w:val="12"/>
        <w:spacing w:beforeAutospacing="0" w:afterAutospacing="0" w:line="0" w:lineRule="atLeast"/>
        <w:ind w:firstLine="240"/>
        <w:jc w:val="center"/>
        <w:rPr>
          <w:highlight w:val="none"/>
        </w:rPr>
      </w:pPr>
    </w:p>
    <w:p w14:paraId="027E7409">
      <w:pPr>
        <w:pStyle w:val="12"/>
        <w:spacing w:beforeAutospacing="0" w:afterAutospacing="0" w:line="0" w:lineRule="atLeast"/>
        <w:jc w:val="center"/>
        <w:rPr>
          <w:highlight w:val="none"/>
        </w:rPr>
      </w:pPr>
      <w:r>
        <w:rPr>
          <w:highlight w:val="none"/>
        </w:rPr>
        <w:t> </w:t>
      </w:r>
    </w:p>
    <w:p w14:paraId="4FF992A5">
      <w:pPr>
        <w:pStyle w:val="12"/>
        <w:spacing w:beforeAutospacing="0" w:afterAutospacing="0" w:line="0" w:lineRule="atLeast"/>
        <w:jc w:val="center"/>
        <w:rPr>
          <w:highlight w:val="none"/>
        </w:rPr>
      </w:pPr>
      <w:r>
        <w:rPr>
          <w:rFonts w:hint="eastAsia" w:ascii="黑体" w:hAnsi="宋体" w:eastAsia="黑体" w:cs="黑体"/>
          <w:b/>
          <w:color w:val="000000"/>
          <w:sz w:val="32"/>
          <w:szCs w:val="32"/>
          <w:highlight w:val="none"/>
        </w:rPr>
        <w:t>九、小微企业声明函（服务）（分包号：**）</w:t>
      </w:r>
    </w:p>
    <w:p w14:paraId="61FD6A32">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本公司（联合体）郑重声明，根据《政府采购促进中小企业发展管理办法》(财库[2020]46号)的规定，本公司（联合体）参加</w:t>
      </w:r>
      <w:r>
        <w:rPr>
          <w:rFonts w:hint="eastAsia" w:ascii="宋体" w:hAnsi="宋体" w:eastAsia="宋体" w:cs="宋体"/>
          <w:color w:val="000000"/>
          <w:highlight w:val="none"/>
          <w:lang w:eastAsia="zh-CN"/>
        </w:rPr>
        <w:t>盐城金弘项目管理有限公司</w:t>
      </w:r>
      <w:r>
        <w:rPr>
          <w:rFonts w:hint="eastAsia" w:ascii="宋体" w:hAnsi="宋体" w:eastAsia="宋体" w:cs="宋体"/>
          <w:color w:val="000000"/>
          <w:highlight w:val="none"/>
        </w:rPr>
        <w:t>组织的</w:t>
      </w:r>
      <w:r>
        <w:rPr>
          <w:rFonts w:hint="eastAsia" w:ascii="宋体" w:hAnsi="宋体" w:eastAsia="宋体" w:cs="宋体"/>
          <w:color w:val="000000"/>
          <w:highlight w:val="none"/>
          <w:u w:val="single"/>
        </w:rPr>
        <w:t>（单位名称）</w:t>
      </w:r>
      <w:r>
        <w:rPr>
          <w:rFonts w:hint="eastAsia" w:ascii="宋体" w:hAnsi="宋体" w:eastAsia="宋体" w:cs="宋体"/>
          <w:color w:val="000000"/>
          <w:highlight w:val="none"/>
        </w:rPr>
        <w:t>采购编号为</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w:t>
      </w:r>
      <w:r>
        <w:rPr>
          <w:rFonts w:hint="eastAsia" w:ascii="宋体" w:hAnsi="宋体" w:eastAsia="宋体" w:cs="宋体"/>
          <w:color w:val="000000"/>
          <w:highlight w:val="none"/>
          <w:u w:val="single"/>
        </w:rPr>
        <w:t>（项目名称）（分包号：**）</w:t>
      </w:r>
      <w:r>
        <w:rPr>
          <w:rFonts w:hint="eastAsia" w:ascii="宋体" w:hAnsi="宋体" w:eastAsia="宋体" w:cs="宋体"/>
          <w:color w:val="000000"/>
          <w:highlight w:val="none"/>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A8161CE">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u w:val="single"/>
        </w:rPr>
        <w:t>（标的名称）</w:t>
      </w:r>
      <w:r>
        <w:rPr>
          <w:rFonts w:hint="eastAsia" w:ascii="宋体" w:hAnsi="宋体" w:eastAsia="宋体" w:cs="宋体"/>
          <w:i/>
          <w:color w:val="000000"/>
          <w:highlight w:val="none"/>
        </w:rPr>
        <w:t>，</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行业；承接企业为</w:t>
      </w:r>
      <w:r>
        <w:rPr>
          <w:rFonts w:hint="eastAsia" w:ascii="宋体" w:hAnsi="宋体" w:eastAsia="宋体" w:cs="宋体"/>
          <w:color w:val="000000"/>
          <w:highlight w:val="none"/>
          <w:u w:val="single"/>
        </w:rPr>
        <w:t>（企业名称）</w:t>
      </w:r>
      <w:r>
        <w:rPr>
          <w:rFonts w:hint="eastAsia" w:ascii="宋体" w:hAnsi="宋体" w:eastAsia="宋体" w:cs="宋体"/>
          <w:color w:val="000000"/>
          <w:highlight w:val="none"/>
        </w:rPr>
        <w:t>，从业人员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人，营业收入为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万元，资产总额为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w:t>
      </w:r>
      <w:r>
        <w:rPr>
          <w:rFonts w:hint="eastAsia" w:ascii="宋体" w:hAnsi="宋体" w:eastAsia="宋体" w:cs="宋体"/>
          <w:color w:val="000000"/>
          <w:highlight w:val="none"/>
          <w:vertAlign w:val="superscript"/>
        </w:rPr>
        <w:t>1</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（小型企业、微型企业）；</w:t>
      </w:r>
    </w:p>
    <w:p w14:paraId="6B08F049">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u w:val="single"/>
        </w:rPr>
        <w:t>（标的名称）</w:t>
      </w:r>
      <w:r>
        <w:rPr>
          <w:rFonts w:hint="eastAsia" w:ascii="宋体" w:hAnsi="宋体" w:eastAsia="宋体" w:cs="宋体"/>
          <w:i/>
          <w:color w:val="000000"/>
          <w:highlight w:val="none"/>
        </w:rPr>
        <w:t>，</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行业；承接企业为</w:t>
      </w:r>
      <w:r>
        <w:rPr>
          <w:rFonts w:hint="eastAsia" w:ascii="宋体" w:hAnsi="宋体" w:eastAsia="宋体" w:cs="宋体"/>
          <w:color w:val="000000"/>
          <w:highlight w:val="none"/>
          <w:u w:val="single"/>
        </w:rPr>
        <w:t>（企业名称）</w:t>
      </w:r>
      <w:r>
        <w:rPr>
          <w:rFonts w:hint="eastAsia" w:ascii="宋体" w:hAnsi="宋体" w:eastAsia="宋体" w:cs="宋体"/>
          <w:color w:val="000000"/>
          <w:highlight w:val="none"/>
        </w:rPr>
        <w:t>，从业人员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人，营业收入为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万元，资产总额为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万元</w:t>
      </w:r>
      <w:r>
        <w:rPr>
          <w:rFonts w:hint="eastAsia" w:ascii="宋体" w:hAnsi="宋体" w:eastAsia="宋体" w:cs="宋体"/>
          <w:color w:val="000000"/>
          <w:highlight w:val="none"/>
          <w:vertAlign w:val="superscript"/>
        </w:rPr>
        <w:t>1</w:t>
      </w:r>
      <w:r>
        <w:rPr>
          <w:rFonts w:hint="eastAsia" w:ascii="宋体" w:hAnsi="宋体" w:eastAsia="宋体" w:cs="宋体"/>
          <w:color w:val="000000"/>
          <w:highlight w:val="none"/>
        </w:rPr>
        <w:t>，属于</w:t>
      </w:r>
      <w:r>
        <w:rPr>
          <w:rFonts w:hint="eastAsia" w:ascii="宋体" w:hAnsi="宋体" w:eastAsia="宋体" w:cs="宋体"/>
          <w:color w:val="000000"/>
          <w:highlight w:val="none"/>
          <w:u w:val="single"/>
        </w:rPr>
        <w:t>（小型企业、微型企业）；</w:t>
      </w:r>
    </w:p>
    <w:p w14:paraId="63C8AFEE">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w:t>
      </w:r>
    </w:p>
    <w:p w14:paraId="3061644C">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以上企业，不属于大企业的分支机构，不存在控股股东为大企业的情形，也不存在与大企业的负责人为同一人的情形。</w:t>
      </w:r>
    </w:p>
    <w:p w14:paraId="11A14B9D">
      <w:pPr>
        <w:pStyle w:val="12"/>
        <w:spacing w:beforeAutospacing="0" w:afterAutospacing="0" w:line="0" w:lineRule="atLeast"/>
        <w:ind w:firstLine="360"/>
        <w:jc w:val="both"/>
        <w:rPr>
          <w:highlight w:val="none"/>
        </w:rPr>
      </w:pPr>
      <w:r>
        <w:rPr>
          <w:rFonts w:hint="eastAsia" w:ascii="宋体" w:hAnsi="宋体" w:eastAsia="宋体" w:cs="宋体"/>
          <w:color w:val="000000"/>
          <w:highlight w:val="none"/>
        </w:rPr>
        <w:t>本企业对上述声明内容的真实性负责。如有虚假，将依法承担相应责任</w:t>
      </w:r>
    </w:p>
    <w:p w14:paraId="77C7CDE9">
      <w:pPr>
        <w:pStyle w:val="12"/>
        <w:spacing w:beforeAutospacing="0" w:afterAutospacing="0" w:line="0" w:lineRule="atLeast"/>
        <w:ind w:right="720"/>
        <w:jc w:val="both"/>
        <w:rPr>
          <w:highlight w:val="none"/>
        </w:rPr>
      </w:pPr>
      <w:r>
        <w:rPr>
          <w:highlight w:val="none"/>
        </w:rPr>
        <w:t> </w:t>
      </w:r>
    </w:p>
    <w:p w14:paraId="260D8160">
      <w:pPr>
        <w:pStyle w:val="12"/>
        <w:spacing w:beforeAutospacing="0" w:afterAutospacing="0" w:line="0" w:lineRule="atLeast"/>
        <w:ind w:right="180" w:firstLine="360"/>
        <w:jc w:val="right"/>
        <w:rPr>
          <w:highlight w:val="none"/>
        </w:rPr>
      </w:pPr>
      <w:r>
        <w:rPr>
          <w:rFonts w:hint="eastAsia" w:ascii="宋体" w:hAnsi="宋体" w:eastAsia="宋体" w:cs="宋体"/>
          <w:color w:val="000000"/>
          <w:highlight w:val="none"/>
        </w:rPr>
        <w:t>企业名称（加盖CA电子公章）：</w:t>
      </w:r>
    </w:p>
    <w:p w14:paraId="72F22C28">
      <w:pPr>
        <w:pStyle w:val="12"/>
        <w:spacing w:beforeAutospacing="0" w:afterAutospacing="0" w:line="0" w:lineRule="atLeast"/>
        <w:ind w:right="480" w:firstLine="5400"/>
        <w:jc w:val="both"/>
        <w:rPr>
          <w:highlight w:val="none"/>
        </w:rPr>
      </w:pPr>
      <w:r>
        <w:rPr>
          <w:rFonts w:hint="eastAsia" w:ascii="宋体" w:hAnsi="宋体" w:eastAsia="宋体" w:cs="宋体"/>
          <w:color w:val="000000"/>
          <w:highlight w:val="none"/>
        </w:rPr>
        <w:t>日  期：</w:t>
      </w:r>
    </w:p>
    <w:p w14:paraId="5DEA8851">
      <w:pPr>
        <w:pStyle w:val="12"/>
        <w:spacing w:beforeAutospacing="0" w:afterAutospacing="0" w:line="0" w:lineRule="atLeast"/>
        <w:ind w:firstLine="240"/>
        <w:jc w:val="both"/>
        <w:rPr>
          <w:highlight w:val="none"/>
        </w:rPr>
      </w:pPr>
      <w:r>
        <w:rPr>
          <w:highlight w:val="none"/>
        </w:rPr>
        <w:t> </w:t>
      </w:r>
    </w:p>
    <w:p w14:paraId="50EBCEA4">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备注1：从业人员、营业收入、资产总额填报上一年度数据，无上一年度数据的新成立企业可不填报。</w:t>
      </w:r>
    </w:p>
    <w:p w14:paraId="4AD4AF7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备注2：供应商如不提供此声明函，价格将不做相应扣除</w:t>
      </w:r>
      <w:r>
        <w:rPr>
          <w:rFonts w:hint="eastAsia" w:ascii="宋体" w:hAnsi="宋体" w:eastAsia="宋体" w:cs="宋体"/>
          <w:color w:val="000000"/>
          <w:highlight w:val="none"/>
          <w:lang w:eastAsia="zh-CN"/>
        </w:rPr>
        <w:t>（如项目全面面向中小企业，则资格审查不通过）</w:t>
      </w:r>
      <w:r>
        <w:rPr>
          <w:rFonts w:hint="eastAsia" w:ascii="宋体" w:hAnsi="宋体" w:eastAsia="宋体" w:cs="宋体"/>
          <w:color w:val="000000"/>
          <w:highlight w:val="none"/>
        </w:rPr>
        <w:t>。</w:t>
      </w:r>
    </w:p>
    <w:p w14:paraId="38A86566">
      <w:pPr>
        <w:pStyle w:val="12"/>
        <w:spacing w:beforeAutospacing="0" w:afterAutospacing="0" w:line="0" w:lineRule="atLeast"/>
        <w:jc w:val="center"/>
        <w:rPr>
          <w:highlight w:val="none"/>
        </w:rPr>
      </w:pPr>
      <w:r>
        <w:rPr>
          <w:rFonts w:hint="eastAsia" w:ascii="黑体" w:hAnsi="宋体" w:eastAsia="黑体" w:cs="黑体"/>
          <w:b/>
          <w:color w:val="000000"/>
          <w:sz w:val="32"/>
          <w:szCs w:val="32"/>
          <w:highlight w:val="none"/>
        </w:rPr>
        <w:br w:type="page"/>
      </w:r>
      <w:r>
        <w:rPr>
          <w:rFonts w:hint="eastAsia" w:ascii="黑体" w:hAnsi="宋体" w:eastAsia="黑体" w:cs="黑体"/>
          <w:b/>
          <w:color w:val="000000"/>
          <w:sz w:val="32"/>
          <w:szCs w:val="32"/>
          <w:highlight w:val="none"/>
        </w:rPr>
        <w:t> 十、残疾人福利性单位声明函（分包号：**）</w:t>
      </w:r>
    </w:p>
    <w:p w14:paraId="578C0F7F">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项目（分包号：**）采购活动由本单位提供服务。</w:t>
      </w:r>
    </w:p>
    <w:p w14:paraId="5A91CBA6">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本单位对上述声明的真实性负责。如有虚假，将依法承担相应责任。</w:t>
      </w:r>
    </w:p>
    <w:p w14:paraId="197498A8">
      <w:pPr>
        <w:pStyle w:val="12"/>
        <w:spacing w:beforeAutospacing="0" w:afterAutospacing="0" w:line="0" w:lineRule="atLeast"/>
        <w:ind w:firstLine="480"/>
        <w:jc w:val="both"/>
        <w:rPr>
          <w:highlight w:val="none"/>
        </w:rPr>
      </w:pPr>
      <w:r>
        <w:rPr>
          <w:highlight w:val="none"/>
        </w:rPr>
        <w:t> </w:t>
      </w:r>
    </w:p>
    <w:p w14:paraId="2492F2EB">
      <w:pPr>
        <w:pStyle w:val="12"/>
        <w:spacing w:beforeAutospacing="0" w:afterAutospacing="0" w:line="0" w:lineRule="atLeast"/>
        <w:ind w:firstLine="480"/>
        <w:jc w:val="both"/>
        <w:rPr>
          <w:rFonts w:hint="eastAsia" w:eastAsia="宋体"/>
          <w:highlight w:val="none"/>
          <w:lang w:eastAsia="zh-CN"/>
        </w:rPr>
      </w:pPr>
      <w:r>
        <w:rPr>
          <w:rFonts w:hint="eastAsia" w:ascii="宋体" w:hAnsi="宋体" w:eastAsia="宋体" w:cs="宋体"/>
          <w:color w:val="000000"/>
          <w:highlight w:val="none"/>
        </w:rPr>
        <w:t>备注：1、供应商如不提供此声明函，价格将不做相应扣除</w:t>
      </w:r>
      <w:r>
        <w:rPr>
          <w:rFonts w:hint="eastAsia" w:ascii="宋体" w:hAnsi="宋体" w:eastAsia="宋体" w:cs="宋体"/>
          <w:color w:val="000000"/>
          <w:highlight w:val="none"/>
          <w:lang w:eastAsia="zh-CN"/>
        </w:rPr>
        <w:t>（如项目全面面向中小企业，则资格审查不通过）。</w:t>
      </w:r>
    </w:p>
    <w:p w14:paraId="1F0FAE3D">
      <w:pPr>
        <w:pStyle w:val="12"/>
        <w:spacing w:beforeAutospacing="0" w:afterAutospacing="0" w:line="0" w:lineRule="atLeast"/>
        <w:ind w:firstLine="480"/>
        <w:jc w:val="both"/>
        <w:rPr>
          <w:highlight w:val="none"/>
        </w:rPr>
      </w:pPr>
      <w:r>
        <w:rPr>
          <w:rFonts w:hint="eastAsia" w:ascii="宋体" w:hAnsi="宋体" w:eastAsia="宋体" w:cs="宋体"/>
          <w:color w:val="000000"/>
          <w:highlight w:val="none"/>
        </w:rPr>
        <w:t>2、中标人为残疾人福利单位的，此声明函将随中标结果同时公告，接受社会监督</w:t>
      </w:r>
    </w:p>
    <w:p w14:paraId="4A086871">
      <w:pPr>
        <w:pStyle w:val="12"/>
        <w:spacing w:beforeAutospacing="0" w:afterAutospacing="0" w:line="0" w:lineRule="atLeast"/>
        <w:ind w:firstLine="624"/>
        <w:jc w:val="both"/>
        <w:rPr>
          <w:highlight w:val="none"/>
        </w:rPr>
      </w:pPr>
      <w:r>
        <w:rPr>
          <w:highlight w:val="none"/>
        </w:rPr>
        <w:t> </w:t>
      </w:r>
    </w:p>
    <w:p w14:paraId="74151672">
      <w:pPr>
        <w:pStyle w:val="12"/>
        <w:tabs>
          <w:tab w:val="left" w:pos="4864"/>
        </w:tabs>
        <w:spacing w:beforeAutospacing="0" w:afterAutospacing="0" w:line="0" w:lineRule="atLeast"/>
        <w:ind w:right="1560" w:firstLine="624"/>
        <w:jc w:val="center"/>
        <w:rPr>
          <w:highlight w:val="none"/>
        </w:rPr>
      </w:pPr>
      <w:r>
        <w:rPr>
          <w:rFonts w:ascii="仿宋_GB2312" w:eastAsia="仿宋_GB2312" w:cs="仿宋_GB2312"/>
          <w:color w:val="000000"/>
          <w:sz w:val="30"/>
          <w:szCs w:val="30"/>
          <w:highlight w:val="none"/>
        </w:rPr>
        <w:t xml:space="preserve">             </w:t>
      </w:r>
      <w:r>
        <w:rPr>
          <w:rFonts w:hint="eastAsia" w:ascii="宋体" w:hAnsi="宋体" w:eastAsia="宋体" w:cs="宋体"/>
          <w:color w:val="000000"/>
          <w:highlight w:val="none"/>
        </w:rPr>
        <w:t>          供应商全称（加盖CA电子公章）：</w:t>
      </w:r>
    </w:p>
    <w:p w14:paraId="1604C2AE">
      <w:pPr>
        <w:pStyle w:val="12"/>
        <w:tabs>
          <w:tab w:val="left" w:pos="4864"/>
        </w:tabs>
        <w:spacing w:beforeAutospacing="0" w:afterAutospacing="0" w:line="0" w:lineRule="atLeast"/>
        <w:ind w:right="1560" w:firstLine="480"/>
        <w:jc w:val="center"/>
        <w:rPr>
          <w:highlight w:val="none"/>
        </w:rPr>
      </w:pPr>
      <w:r>
        <w:rPr>
          <w:rFonts w:hint="eastAsia" w:ascii="宋体" w:hAnsi="宋体" w:eastAsia="宋体" w:cs="宋体"/>
          <w:color w:val="000000"/>
          <w:highlight w:val="none"/>
        </w:rPr>
        <w:t>        日  期：</w:t>
      </w:r>
    </w:p>
    <w:p w14:paraId="6C09F838">
      <w:pPr>
        <w:pStyle w:val="12"/>
        <w:spacing w:beforeAutospacing="0" w:afterAutospacing="0" w:line="0" w:lineRule="atLeast"/>
        <w:jc w:val="center"/>
        <w:rPr>
          <w:highlight w:val="none"/>
        </w:rPr>
      </w:pPr>
      <w:r>
        <w:rPr>
          <w:highlight w:val="none"/>
        </w:rPr>
        <w:t> </w:t>
      </w:r>
    </w:p>
    <w:p w14:paraId="13DFA9FF">
      <w:pPr>
        <w:pStyle w:val="12"/>
        <w:spacing w:beforeAutospacing="0" w:afterAutospacing="0" w:line="0" w:lineRule="atLeast"/>
        <w:jc w:val="center"/>
        <w:rPr>
          <w:highlight w:val="none"/>
        </w:rPr>
      </w:pPr>
      <w:r>
        <w:rPr>
          <w:highlight w:val="none"/>
        </w:rPr>
        <w:t> </w:t>
      </w:r>
    </w:p>
    <w:p w14:paraId="35F4A959">
      <w:pPr>
        <w:pStyle w:val="12"/>
        <w:spacing w:beforeAutospacing="0" w:afterAutospacing="0" w:line="0" w:lineRule="atLeast"/>
        <w:jc w:val="center"/>
        <w:rPr>
          <w:highlight w:val="none"/>
        </w:rPr>
      </w:pPr>
      <w:r>
        <w:rPr>
          <w:highlight w:val="none"/>
        </w:rPr>
        <w:t> </w:t>
      </w:r>
    </w:p>
    <w:p w14:paraId="48142D1A">
      <w:pPr>
        <w:pStyle w:val="12"/>
        <w:spacing w:beforeAutospacing="0" w:afterAutospacing="0" w:line="0" w:lineRule="atLeast"/>
        <w:jc w:val="center"/>
        <w:rPr>
          <w:highlight w:val="none"/>
        </w:rPr>
      </w:pPr>
      <w:r>
        <w:rPr>
          <w:highlight w:val="none"/>
        </w:rPr>
        <w:t> </w:t>
      </w:r>
    </w:p>
    <w:p w14:paraId="4B39A74A">
      <w:pPr>
        <w:pStyle w:val="12"/>
        <w:spacing w:beforeAutospacing="0" w:afterAutospacing="0" w:line="0" w:lineRule="atLeast"/>
        <w:jc w:val="center"/>
        <w:rPr>
          <w:highlight w:val="none"/>
        </w:rPr>
      </w:pPr>
      <w:r>
        <w:rPr>
          <w:highlight w:val="none"/>
        </w:rPr>
        <w:t> </w:t>
      </w:r>
    </w:p>
    <w:p w14:paraId="2965BE66">
      <w:pPr>
        <w:pStyle w:val="12"/>
        <w:spacing w:beforeAutospacing="0" w:afterAutospacing="0" w:line="0" w:lineRule="atLeast"/>
        <w:jc w:val="center"/>
        <w:rPr>
          <w:highlight w:val="none"/>
        </w:rPr>
      </w:pPr>
      <w:r>
        <w:rPr>
          <w:highlight w:val="none"/>
        </w:rPr>
        <w:t> </w:t>
      </w:r>
    </w:p>
    <w:p w14:paraId="7F0DD40A">
      <w:pPr>
        <w:pStyle w:val="12"/>
        <w:spacing w:beforeAutospacing="0" w:afterAutospacing="0" w:line="0" w:lineRule="atLeast"/>
        <w:jc w:val="center"/>
        <w:rPr>
          <w:highlight w:val="none"/>
        </w:rPr>
      </w:pPr>
      <w:r>
        <w:rPr>
          <w:highlight w:val="none"/>
        </w:rPr>
        <w:t> </w:t>
      </w:r>
    </w:p>
    <w:p w14:paraId="2227927E">
      <w:pPr>
        <w:pStyle w:val="12"/>
        <w:spacing w:beforeAutospacing="0" w:afterAutospacing="0" w:line="0" w:lineRule="atLeast"/>
        <w:jc w:val="center"/>
        <w:rPr>
          <w:highlight w:val="none"/>
        </w:rPr>
      </w:pPr>
      <w:r>
        <w:rPr>
          <w:highlight w:val="none"/>
        </w:rPr>
        <w:t> </w:t>
      </w:r>
    </w:p>
    <w:p w14:paraId="32F05C9C">
      <w:pPr>
        <w:pStyle w:val="12"/>
        <w:spacing w:beforeAutospacing="0" w:afterAutospacing="0" w:line="0" w:lineRule="atLeast"/>
        <w:jc w:val="center"/>
        <w:rPr>
          <w:highlight w:val="none"/>
        </w:rPr>
      </w:pPr>
    </w:p>
    <w:p w14:paraId="459BE4E2">
      <w:pPr>
        <w:pStyle w:val="12"/>
        <w:spacing w:beforeAutospacing="0" w:afterAutospacing="0" w:line="0" w:lineRule="atLeast"/>
        <w:jc w:val="center"/>
        <w:rPr>
          <w:highlight w:val="none"/>
        </w:rPr>
      </w:pPr>
    </w:p>
    <w:p w14:paraId="410361AA">
      <w:pPr>
        <w:pStyle w:val="12"/>
        <w:spacing w:beforeAutospacing="0" w:afterAutospacing="0" w:line="0" w:lineRule="atLeast"/>
        <w:jc w:val="center"/>
        <w:rPr>
          <w:highlight w:val="none"/>
        </w:rPr>
      </w:pPr>
    </w:p>
    <w:p w14:paraId="36F0FE0A">
      <w:pPr>
        <w:pStyle w:val="12"/>
        <w:spacing w:beforeAutospacing="0" w:afterAutospacing="0" w:line="0" w:lineRule="atLeast"/>
        <w:jc w:val="center"/>
        <w:rPr>
          <w:highlight w:val="none"/>
        </w:rPr>
      </w:pPr>
    </w:p>
    <w:p w14:paraId="3939AD9F">
      <w:pPr>
        <w:pStyle w:val="12"/>
        <w:spacing w:beforeAutospacing="0" w:afterAutospacing="0" w:line="0" w:lineRule="atLeast"/>
        <w:jc w:val="center"/>
        <w:rPr>
          <w:highlight w:val="none"/>
        </w:rPr>
      </w:pPr>
    </w:p>
    <w:p w14:paraId="7B96C53B">
      <w:pPr>
        <w:pStyle w:val="12"/>
        <w:spacing w:beforeAutospacing="0" w:afterAutospacing="0" w:line="0" w:lineRule="atLeast"/>
        <w:jc w:val="center"/>
        <w:rPr>
          <w:highlight w:val="none"/>
        </w:rPr>
      </w:pPr>
    </w:p>
    <w:p w14:paraId="2C8FCCC1">
      <w:pPr>
        <w:pStyle w:val="12"/>
        <w:spacing w:beforeAutospacing="0" w:afterAutospacing="0" w:line="0" w:lineRule="atLeast"/>
        <w:jc w:val="center"/>
        <w:rPr>
          <w:highlight w:val="none"/>
        </w:rPr>
      </w:pPr>
    </w:p>
    <w:p w14:paraId="3AB5B39D">
      <w:pPr>
        <w:pStyle w:val="12"/>
        <w:spacing w:beforeAutospacing="0" w:afterAutospacing="0" w:line="0" w:lineRule="atLeast"/>
        <w:jc w:val="center"/>
        <w:rPr>
          <w:highlight w:val="none"/>
        </w:rPr>
      </w:pPr>
    </w:p>
    <w:p w14:paraId="45C4968A">
      <w:pPr>
        <w:pStyle w:val="12"/>
        <w:spacing w:beforeAutospacing="0" w:afterAutospacing="0" w:line="0" w:lineRule="atLeast"/>
        <w:jc w:val="center"/>
        <w:rPr>
          <w:highlight w:val="none"/>
        </w:rPr>
      </w:pPr>
    </w:p>
    <w:p w14:paraId="3D485083">
      <w:pPr>
        <w:pStyle w:val="12"/>
        <w:spacing w:beforeAutospacing="0" w:afterAutospacing="0" w:line="0" w:lineRule="atLeast"/>
        <w:jc w:val="center"/>
        <w:rPr>
          <w:highlight w:val="none"/>
        </w:rPr>
      </w:pPr>
    </w:p>
    <w:p w14:paraId="5E05B12B">
      <w:pPr>
        <w:pStyle w:val="12"/>
        <w:spacing w:beforeAutospacing="0" w:afterAutospacing="0" w:line="0" w:lineRule="atLeast"/>
        <w:jc w:val="center"/>
        <w:rPr>
          <w:highlight w:val="none"/>
        </w:rPr>
      </w:pPr>
    </w:p>
    <w:p w14:paraId="407168F6">
      <w:pPr>
        <w:pStyle w:val="12"/>
        <w:spacing w:beforeAutospacing="0" w:afterAutospacing="0" w:line="0" w:lineRule="atLeast"/>
        <w:jc w:val="center"/>
        <w:rPr>
          <w:highlight w:val="none"/>
        </w:rPr>
      </w:pPr>
    </w:p>
    <w:p w14:paraId="23AA91C0">
      <w:pPr>
        <w:pStyle w:val="12"/>
        <w:spacing w:beforeAutospacing="0" w:afterAutospacing="0" w:line="0" w:lineRule="atLeast"/>
        <w:jc w:val="center"/>
        <w:rPr>
          <w:highlight w:val="none"/>
        </w:rPr>
      </w:pPr>
    </w:p>
    <w:p w14:paraId="540B3256">
      <w:pPr>
        <w:pStyle w:val="12"/>
        <w:spacing w:beforeAutospacing="0" w:afterAutospacing="0" w:line="0" w:lineRule="atLeast"/>
        <w:jc w:val="center"/>
        <w:rPr>
          <w:highlight w:val="none"/>
        </w:rPr>
      </w:pPr>
    </w:p>
    <w:p w14:paraId="5FDA4C83">
      <w:pPr>
        <w:pStyle w:val="12"/>
        <w:spacing w:beforeAutospacing="0" w:afterAutospacing="0" w:line="0" w:lineRule="atLeast"/>
        <w:jc w:val="center"/>
        <w:rPr>
          <w:highlight w:val="none"/>
        </w:rPr>
      </w:pPr>
    </w:p>
    <w:p w14:paraId="60F0D08A">
      <w:pPr>
        <w:pStyle w:val="12"/>
        <w:spacing w:beforeAutospacing="0" w:afterAutospacing="0" w:line="0" w:lineRule="atLeast"/>
        <w:jc w:val="center"/>
        <w:rPr>
          <w:highlight w:val="none"/>
        </w:rPr>
      </w:pPr>
    </w:p>
    <w:p w14:paraId="4A4034B4">
      <w:pPr>
        <w:pStyle w:val="12"/>
        <w:spacing w:beforeAutospacing="0" w:afterAutospacing="0" w:line="0" w:lineRule="atLeast"/>
        <w:jc w:val="center"/>
        <w:rPr>
          <w:highlight w:val="none"/>
        </w:rPr>
      </w:pPr>
    </w:p>
    <w:p w14:paraId="3618F06F">
      <w:pPr>
        <w:pStyle w:val="12"/>
        <w:spacing w:beforeAutospacing="0" w:afterAutospacing="0" w:line="0" w:lineRule="atLeast"/>
        <w:jc w:val="center"/>
        <w:rPr>
          <w:highlight w:val="none"/>
        </w:rPr>
      </w:pPr>
    </w:p>
    <w:p w14:paraId="02BC666E">
      <w:pPr>
        <w:pStyle w:val="12"/>
        <w:spacing w:beforeAutospacing="0" w:afterAutospacing="0" w:line="0" w:lineRule="atLeast"/>
        <w:jc w:val="center"/>
        <w:rPr>
          <w:highlight w:val="none"/>
        </w:rPr>
      </w:pPr>
    </w:p>
    <w:p w14:paraId="2201CAE0">
      <w:pPr>
        <w:pStyle w:val="12"/>
        <w:spacing w:beforeAutospacing="0" w:afterAutospacing="0" w:line="0" w:lineRule="atLeast"/>
        <w:jc w:val="center"/>
        <w:rPr>
          <w:highlight w:val="none"/>
        </w:rPr>
      </w:pPr>
    </w:p>
    <w:p w14:paraId="0F0CDFA5">
      <w:pPr>
        <w:pStyle w:val="12"/>
        <w:spacing w:beforeAutospacing="0" w:afterAutospacing="0" w:line="0" w:lineRule="atLeast"/>
        <w:jc w:val="center"/>
        <w:rPr>
          <w:highlight w:val="none"/>
        </w:rPr>
      </w:pPr>
      <w:r>
        <w:rPr>
          <w:highlight w:val="none"/>
        </w:rPr>
        <w:t> </w:t>
      </w:r>
    </w:p>
    <w:p w14:paraId="75380DE7">
      <w:pPr>
        <w:pStyle w:val="12"/>
        <w:spacing w:beforeAutospacing="0" w:afterAutospacing="0" w:line="0" w:lineRule="atLeast"/>
        <w:jc w:val="center"/>
        <w:rPr>
          <w:highlight w:val="none"/>
        </w:rPr>
      </w:pPr>
      <w:r>
        <w:rPr>
          <w:highlight w:val="none"/>
        </w:rPr>
        <w:t> </w:t>
      </w:r>
    </w:p>
    <w:p w14:paraId="4D6CDF41">
      <w:pPr>
        <w:pStyle w:val="12"/>
        <w:spacing w:beforeAutospacing="0" w:afterAutospacing="0" w:line="0" w:lineRule="atLeast"/>
        <w:jc w:val="center"/>
        <w:rPr>
          <w:highlight w:val="none"/>
        </w:rPr>
      </w:pPr>
      <w:r>
        <w:rPr>
          <w:highlight w:val="none"/>
        </w:rPr>
        <w:t> </w:t>
      </w:r>
    </w:p>
    <w:p w14:paraId="072E9C30">
      <w:pPr>
        <w:pStyle w:val="12"/>
        <w:spacing w:beforeAutospacing="0" w:afterAutospacing="0" w:line="0" w:lineRule="atLeast"/>
        <w:jc w:val="center"/>
        <w:rPr>
          <w:highlight w:val="none"/>
        </w:rPr>
      </w:pPr>
      <w:r>
        <w:rPr>
          <w:highlight w:val="none"/>
        </w:rPr>
        <w:t> </w:t>
      </w:r>
    </w:p>
    <w:p w14:paraId="1ACD222A">
      <w:pPr>
        <w:pStyle w:val="12"/>
        <w:spacing w:beforeAutospacing="0" w:afterAutospacing="0" w:line="0" w:lineRule="atLeast"/>
        <w:jc w:val="center"/>
        <w:rPr>
          <w:highlight w:val="none"/>
        </w:rPr>
      </w:pPr>
      <w:r>
        <w:rPr>
          <w:rFonts w:hint="eastAsia" w:ascii="黑体" w:hAnsi="宋体" w:eastAsia="黑体" w:cs="黑体"/>
          <w:b/>
          <w:color w:val="000000"/>
          <w:sz w:val="32"/>
          <w:szCs w:val="32"/>
          <w:highlight w:val="none"/>
        </w:rPr>
        <w:t>十一、联合体协议（参考格式）（分包号：**）</w:t>
      </w:r>
    </w:p>
    <w:p w14:paraId="7F88D260">
      <w:pPr>
        <w:pStyle w:val="12"/>
        <w:spacing w:beforeAutospacing="0" w:afterAutospacing="0" w:line="0" w:lineRule="atLeast"/>
        <w:jc w:val="both"/>
        <w:rPr>
          <w:highlight w:val="none"/>
        </w:rPr>
      </w:pPr>
      <w:r>
        <w:rPr>
          <w:rFonts w:hint="eastAsia" w:ascii="宋体" w:hAnsi="宋体" w:eastAsia="宋体" w:cs="宋体"/>
          <w:color w:val="000000"/>
          <w:highlight w:val="none"/>
        </w:rPr>
        <w:t>（联合体中各供应商全称）在此达成以下协议：</w:t>
      </w:r>
    </w:p>
    <w:p w14:paraId="0DB1937F">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1、我们</w:t>
      </w:r>
      <w:r>
        <w:rPr>
          <w:rFonts w:hint="eastAsia" w:ascii="宋体" w:hAnsi="宋体" w:eastAsia="宋体" w:cs="宋体"/>
          <w:color w:val="000000"/>
          <w:highlight w:val="none"/>
          <w:u w:val="single"/>
        </w:rPr>
        <w:t xml:space="preserve"> （供应商1），（供应商2） ，……</w:t>
      </w:r>
      <w:r>
        <w:rPr>
          <w:rFonts w:hint="eastAsia" w:ascii="宋体" w:hAnsi="宋体" w:eastAsia="宋体" w:cs="宋体"/>
          <w:color w:val="000000"/>
          <w:highlight w:val="none"/>
        </w:rPr>
        <w:t>自愿组成联合体，参加</w:t>
      </w:r>
      <w:r>
        <w:rPr>
          <w:rFonts w:hint="eastAsia" w:ascii="宋体" w:hAnsi="宋体" w:eastAsia="宋体" w:cs="宋体"/>
          <w:color w:val="000000"/>
          <w:highlight w:val="none"/>
          <w:lang w:eastAsia="zh-CN"/>
        </w:rPr>
        <w:t>盐城金弘项目管理有限公司</w:t>
      </w:r>
      <w:r>
        <w:rPr>
          <w:rFonts w:hint="eastAsia" w:ascii="宋体" w:hAnsi="宋体" w:eastAsia="宋体" w:cs="宋体"/>
          <w:color w:val="000000"/>
          <w:highlight w:val="none"/>
        </w:rPr>
        <w:t>组织的采购编号为</w:t>
      </w:r>
      <w:r>
        <w:rPr>
          <w:rFonts w:hint="eastAsia" w:ascii="宋体" w:hAnsi="宋体" w:eastAsia="宋体" w:cs="宋体"/>
          <w:color w:val="000000"/>
          <w:highlight w:val="none"/>
          <w:u w:val="single"/>
        </w:rPr>
        <w:t>（编号全称），（项目全称）</w:t>
      </w:r>
      <w:r>
        <w:rPr>
          <w:rFonts w:hint="eastAsia" w:ascii="宋体" w:hAnsi="宋体" w:eastAsia="宋体" w:cs="宋体"/>
          <w:color w:val="000000"/>
          <w:highlight w:val="none"/>
        </w:rPr>
        <w:t>项目（分包号：**）的政府采购活动，我联合体指定</w:t>
      </w:r>
      <w:r>
        <w:rPr>
          <w:rFonts w:hint="eastAsia" w:ascii="宋体" w:hAnsi="宋体" w:eastAsia="宋体" w:cs="宋体"/>
          <w:color w:val="000000"/>
          <w:highlight w:val="none"/>
          <w:u w:val="single"/>
        </w:rPr>
        <w:t>（供应商*）</w:t>
      </w:r>
      <w:r>
        <w:rPr>
          <w:rFonts w:hint="eastAsia" w:ascii="宋体" w:hAnsi="宋体" w:eastAsia="宋体" w:cs="宋体"/>
          <w:color w:val="000000"/>
          <w:highlight w:val="none"/>
        </w:rPr>
        <w:t>为牵头单位（牵头单位必须为联合体成员）。</w:t>
      </w:r>
    </w:p>
    <w:p w14:paraId="7B6847FE">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6C606EE6">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3、其中</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（小型、微型企业/残疾人福利性单位/监狱企业全称）为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（小型、微型企业/残疾人福利性单位/监狱企业）企业，且我们约定该公司/单位所承担的合同金额将占本项目合同总金额的</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12E99BED">
      <w:pPr>
        <w:pStyle w:val="12"/>
        <w:spacing w:beforeAutospacing="0" w:afterAutospacing="0" w:line="0" w:lineRule="atLeast"/>
        <w:ind w:firstLine="645"/>
        <w:jc w:val="both"/>
        <w:rPr>
          <w:highlight w:val="none"/>
        </w:rPr>
      </w:pPr>
      <w:r>
        <w:rPr>
          <w:highlight w:val="none"/>
        </w:rPr>
        <w:t> </w:t>
      </w:r>
    </w:p>
    <w:p w14:paraId="5687A49E">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备注：本招标文件中要求加盖CA电子签章的地方，仅需加盖牵头单位的CA电子签章。</w:t>
      </w:r>
    </w:p>
    <w:p w14:paraId="70BE66E0">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                               </w:t>
      </w:r>
    </w:p>
    <w:p w14:paraId="42ECA5D5">
      <w:pPr>
        <w:pStyle w:val="12"/>
        <w:spacing w:beforeAutospacing="0" w:afterAutospacing="0" w:line="0" w:lineRule="atLeast"/>
        <w:ind w:firstLine="645"/>
        <w:jc w:val="right"/>
        <w:rPr>
          <w:highlight w:val="none"/>
        </w:rPr>
      </w:pPr>
      <w:r>
        <w:rPr>
          <w:rFonts w:hint="eastAsia" w:ascii="宋体" w:hAnsi="宋体" w:eastAsia="宋体" w:cs="宋体"/>
          <w:color w:val="000000"/>
          <w:highlight w:val="none"/>
        </w:rPr>
        <w:t xml:space="preserve">联合体中各供应商全称（公章）：     </w:t>
      </w:r>
    </w:p>
    <w:p w14:paraId="6DB982C1">
      <w:pPr>
        <w:pStyle w:val="12"/>
        <w:spacing w:beforeAutospacing="0" w:afterAutospacing="0" w:line="0" w:lineRule="atLeast"/>
        <w:ind w:firstLine="645"/>
        <w:jc w:val="both"/>
        <w:rPr>
          <w:highlight w:val="none"/>
        </w:rPr>
      </w:pPr>
      <w:r>
        <w:rPr>
          <w:rFonts w:hint="eastAsia" w:ascii="宋体" w:hAnsi="宋体" w:eastAsia="宋体" w:cs="宋体"/>
          <w:color w:val="000000"/>
          <w:highlight w:val="none"/>
        </w:rPr>
        <w:t>                                                          日期：</w:t>
      </w:r>
    </w:p>
    <w:p w14:paraId="6BF74951">
      <w:pPr>
        <w:pStyle w:val="12"/>
        <w:spacing w:beforeAutospacing="0" w:afterAutospacing="0" w:line="0" w:lineRule="atLeast"/>
        <w:ind w:firstLine="645"/>
        <w:jc w:val="both"/>
        <w:rPr>
          <w:highlight w:val="none"/>
        </w:rPr>
      </w:pPr>
      <w:r>
        <w:rPr>
          <w:highlight w:val="none"/>
        </w:rPr>
        <w:t> </w:t>
      </w:r>
    </w:p>
    <w:p w14:paraId="6724732B">
      <w:pPr>
        <w:pStyle w:val="12"/>
        <w:spacing w:beforeAutospacing="0" w:afterAutospacing="0" w:line="0" w:lineRule="atLeast"/>
        <w:jc w:val="both"/>
        <w:rPr>
          <w:highlight w:val="none"/>
        </w:rPr>
      </w:pPr>
      <w:r>
        <w:rPr>
          <w:highlight w:val="none"/>
        </w:rPr>
        <w:t> </w:t>
      </w:r>
    </w:p>
    <w:p w14:paraId="5C4F21E6">
      <w:pPr>
        <w:pStyle w:val="12"/>
        <w:spacing w:beforeAutospacing="0" w:afterAutospacing="0" w:line="0" w:lineRule="atLeast"/>
        <w:jc w:val="both"/>
        <w:rPr>
          <w:highlight w:val="none"/>
        </w:rPr>
      </w:pPr>
      <w:r>
        <w:rPr>
          <w:highlight w:val="none"/>
        </w:rPr>
        <w:t> </w:t>
      </w:r>
    </w:p>
    <w:p w14:paraId="50CDF7E7">
      <w:pPr>
        <w:pStyle w:val="12"/>
        <w:spacing w:beforeAutospacing="0" w:afterAutospacing="0" w:line="0" w:lineRule="atLeast"/>
        <w:jc w:val="both"/>
        <w:rPr>
          <w:highlight w:val="none"/>
        </w:rPr>
      </w:pPr>
      <w:r>
        <w:rPr>
          <w:highlight w:val="none"/>
        </w:rPr>
        <w:t> </w:t>
      </w:r>
    </w:p>
    <w:p w14:paraId="28F3C843">
      <w:pPr>
        <w:pStyle w:val="12"/>
        <w:spacing w:beforeAutospacing="0" w:afterAutospacing="0" w:line="0" w:lineRule="atLeast"/>
        <w:jc w:val="both"/>
        <w:rPr>
          <w:highlight w:val="none"/>
        </w:rPr>
      </w:pPr>
      <w:r>
        <w:rPr>
          <w:highlight w:val="none"/>
        </w:rPr>
        <w:t> </w:t>
      </w:r>
    </w:p>
    <w:p w14:paraId="39F7F02B">
      <w:pPr>
        <w:pStyle w:val="12"/>
        <w:spacing w:beforeAutospacing="0" w:afterAutospacing="0" w:line="0" w:lineRule="atLeast"/>
        <w:jc w:val="both"/>
        <w:rPr>
          <w:highlight w:val="none"/>
        </w:rPr>
      </w:pPr>
      <w:r>
        <w:rPr>
          <w:highlight w:val="none"/>
        </w:rPr>
        <w:t> </w:t>
      </w:r>
    </w:p>
    <w:p w14:paraId="4C1A7136">
      <w:pPr>
        <w:pStyle w:val="12"/>
        <w:spacing w:beforeAutospacing="0" w:afterAutospacing="0" w:line="0" w:lineRule="atLeast"/>
        <w:jc w:val="both"/>
        <w:rPr>
          <w:highlight w:val="none"/>
        </w:rPr>
      </w:pPr>
    </w:p>
    <w:p w14:paraId="004BF337">
      <w:pPr>
        <w:pStyle w:val="12"/>
        <w:spacing w:beforeAutospacing="0" w:afterAutospacing="0" w:line="0" w:lineRule="atLeast"/>
        <w:jc w:val="both"/>
        <w:rPr>
          <w:highlight w:val="none"/>
        </w:rPr>
      </w:pPr>
    </w:p>
    <w:p w14:paraId="435058B0">
      <w:pPr>
        <w:pStyle w:val="12"/>
        <w:spacing w:beforeAutospacing="0" w:afterAutospacing="0" w:line="0" w:lineRule="atLeast"/>
        <w:jc w:val="both"/>
        <w:rPr>
          <w:highlight w:val="none"/>
        </w:rPr>
      </w:pPr>
    </w:p>
    <w:p w14:paraId="049EBA9E">
      <w:pPr>
        <w:pStyle w:val="12"/>
        <w:spacing w:beforeAutospacing="0" w:afterAutospacing="0" w:line="0" w:lineRule="atLeast"/>
        <w:jc w:val="both"/>
        <w:rPr>
          <w:highlight w:val="none"/>
        </w:rPr>
      </w:pPr>
    </w:p>
    <w:p w14:paraId="401F9A17">
      <w:pPr>
        <w:pStyle w:val="12"/>
        <w:spacing w:beforeAutospacing="0" w:afterAutospacing="0" w:line="0" w:lineRule="atLeast"/>
        <w:jc w:val="both"/>
        <w:rPr>
          <w:highlight w:val="none"/>
        </w:rPr>
      </w:pPr>
    </w:p>
    <w:p w14:paraId="639CA59D">
      <w:pPr>
        <w:pStyle w:val="12"/>
        <w:spacing w:beforeAutospacing="0" w:afterAutospacing="0" w:line="0" w:lineRule="atLeast"/>
        <w:jc w:val="both"/>
        <w:rPr>
          <w:highlight w:val="none"/>
        </w:rPr>
      </w:pPr>
    </w:p>
    <w:p w14:paraId="7622820F">
      <w:pPr>
        <w:pStyle w:val="12"/>
        <w:spacing w:beforeAutospacing="0" w:afterAutospacing="0" w:line="0" w:lineRule="atLeast"/>
        <w:jc w:val="both"/>
        <w:rPr>
          <w:highlight w:val="none"/>
        </w:rPr>
      </w:pPr>
    </w:p>
    <w:p w14:paraId="3E161E5B">
      <w:pPr>
        <w:pStyle w:val="12"/>
        <w:spacing w:beforeAutospacing="0" w:afterAutospacing="0" w:line="0" w:lineRule="atLeast"/>
        <w:jc w:val="both"/>
        <w:rPr>
          <w:highlight w:val="none"/>
        </w:rPr>
      </w:pPr>
    </w:p>
    <w:p w14:paraId="41FD36C4">
      <w:pPr>
        <w:pStyle w:val="12"/>
        <w:spacing w:beforeAutospacing="0" w:afterAutospacing="0" w:line="0" w:lineRule="atLeast"/>
        <w:jc w:val="both"/>
        <w:rPr>
          <w:highlight w:val="none"/>
        </w:rPr>
      </w:pPr>
    </w:p>
    <w:p w14:paraId="38BC85AD">
      <w:pPr>
        <w:pStyle w:val="12"/>
        <w:spacing w:beforeAutospacing="0" w:afterAutospacing="0" w:line="0" w:lineRule="atLeast"/>
        <w:jc w:val="both"/>
        <w:rPr>
          <w:highlight w:val="none"/>
        </w:rPr>
      </w:pPr>
    </w:p>
    <w:p w14:paraId="66F2B213">
      <w:pPr>
        <w:pStyle w:val="12"/>
        <w:spacing w:beforeAutospacing="0" w:afterAutospacing="0" w:line="0" w:lineRule="atLeast"/>
        <w:jc w:val="both"/>
        <w:rPr>
          <w:highlight w:val="none"/>
        </w:rPr>
      </w:pPr>
    </w:p>
    <w:p w14:paraId="3E32F174">
      <w:pPr>
        <w:pStyle w:val="12"/>
        <w:spacing w:beforeAutospacing="0" w:afterAutospacing="0" w:line="0" w:lineRule="atLeast"/>
        <w:jc w:val="both"/>
        <w:rPr>
          <w:highlight w:val="none"/>
        </w:rPr>
      </w:pPr>
    </w:p>
    <w:p w14:paraId="77B1E1AA">
      <w:pPr>
        <w:pStyle w:val="12"/>
        <w:spacing w:beforeAutospacing="0" w:afterAutospacing="0" w:line="0" w:lineRule="atLeast"/>
        <w:jc w:val="both"/>
        <w:rPr>
          <w:highlight w:val="none"/>
        </w:rPr>
      </w:pPr>
    </w:p>
    <w:p w14:paraId="0CE73FDA">
      <w:pPr>
        <w:pStyle w:val="12"/>
        <w:spacing w:beforeAutospacing="0" w:afterAutospacing="0" w:line="0" w:lineRule="atLeast"/>
        <w:jc w:val="both"/>
        <w:rPr>
          <w:highlight w:val="none"/>
        </w:rPr>
      </w:pPr>
    </w:p>
    <w:p w14:paraId="1827B974">
      <w:pPr>
        <w:pStyle w:val="12"/>
        <w:spacing w:beforeAutospacing="0" w:afterAutospacing="0" w:line="0" w:lineRule="atLeast"/>
        <w:jc w:val="both"/>
        <w:rPr>
          <w:highlight w:val="none"/>
        </w:rPr>
      </w:pPr>
    </w:p>
    <w:p w14:paraId="05C86DA9">
      <w:pPr>
        <w:pStyle w:val="12"/>
        <w:spacing w:beforeAutospacing="0" w:afterAutospacing="0" w:line="0" w:lineRule="atLeast"/>
        <w:jc w:val="both"/>
        <w:rPr>
          <w:highlight w:val="none"/>
        </w:rPr>
      </w:pPr>
    </w:p>
    <w:p w14:paraId="280B3991">
      <w:pPr>
        <w:pStyle w:val="12"/>
        <w:spacing w:beforeAutospacing="0" w:afterAutospacing="0" w:line="0" w:lineRule="atLeast"/>
        <w:jc w:val="both"/>
        <w:rPr>
          <w:highlight w:val="none"/>
        </w:rPr>
      </w:pPr>
    </w:p>
    <w:p w14:paraId="06BEBD45">
      <w:pPr>
        <w:pStyle w:val="12"/>
        <w:spacing w:beforeAutospacing="0" w:afterAutospacing="0" w:line="0" w:lineRule="atLeast"/>
        <w:jc w:val="both"/>
        <w:rPr>
          <w:highlight w:val="none"/>
        </w:rPr>
      </w:pPr>
      <w:r>
        <w:rPr>
          <w:highlight w:val="none"/>
        </w:rPr>
        <w:t> </w:t>
      </w:r>
    </w:p>
    <w:p w14:paraId="21457541">
      <w:pPr>
        <w:pStyle w:val="12"/>
        <w:spacing w:beforeAutospacing="0" w:afterAutospacing="0"/>
        <w:jc w:val="both"/>
        <w:rPr>
          <w:highlight w:val="none"/>
        </w:rPr>
      </w:pPr>
      <w:r>
        <w:rPr>
          <w:highlight w:val="none"/>
        </w:rPr>
        <w:t> </w:t>
      </w:r>
    </w:p>
    <w:p w14:paraId="1A699A8F">
      <w:pPr>
        <w:pStyle w:val="12"/>
        <w:spacing w:beforeAutospacing="0" w:afterAutospacing="0"/>
        <w:jc w:val="center"/>
        <w:rPr>
          <w:highlight w:val="none"/>
        </w:rPr>
      </w:pPr>
      <w:r>
        <w:rPr>
          <w:rFonts w:hint="eastAsia" w:ascii="黑体" w:hAnsi="宋体" w:eastAsia="黑体" w:cs="黑体"/>
          <w:b/>
          <w:color w:val="000000"/>
          <w:sz w:val="32"/>
          <w:szCs w:val="32"/>
          <w:highlight w:val="none"/>
        </w:rPr>
        <w:t>十二、投标分项报价表（分包号：**）</w:t>
      </w:r>
    </w:p>
    <w:tbl>
      <w:tblPr>
        <w:tblStyle w:val="14"/>
        <w:tblW w:w="8518" w:type="dxa"/>
        <w:tblCellSpacing w:w="0" w:type="dxa"/>
        <w:tblInd w:w="10" w:type="dxa"/>
        <w:tblLayout w:type="fixed"/>
        <w:tblCellMar>
          <w:top w:w="0" w:type="dxa"/>
          <w:left w:w="108" w:type="dxa"/>
          <w:bottom w:w="0" w:type="dxa"/>
          <w:right w:w="108" w:type="dxa"/>
        </w:tblCellMar>
      </w:tblPr>
      <w:tblGrid>
        <w:gridCol w:w="924"/>
        <w:gridCol w:w="1217"/>
        <w:gridCol w:w="1205"/>
        <w:gridCol w:w="878"/>
        <w:gridCol w:w="1129"/>
        <w:gridCol w:w="1502"/>
        <w:gridCol w:w="1663"/>
      </w:tblGrid>
      <w:tr w14:paraId="3547E12A">
        <w:tblPrEx>
          <w:tblCellMar>
            <w:top w:w="0" w:type="dxa"/>
            <w:left w:w="108" w:type="dxa"/>
            <w:bottom w:w="0" w:type="dxa"/>
            <w:right w:w="108" w:type="dxa"/>
          </w:tblCellMar>
        </w:tblPrEx>
        <w:trPr>
          <w:trHeight w:val="544" w:hRule="atLeast"/>
          <w:tblCellSpacing w:w="0" w:type="dxa"/>
        </w:trPr>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5DD3C">
            <w:pPr>
              <w:pStyle w:val="12"/>
              <w:spacing w:beforeAutospacing="0" w:afterAutospacing="0" w:line="0" w:lineRule="atLeast"/>
              <w:jc w:val="center"/>
              <w:rPr>
                <w:highlight w:val="none"/>
              </w:rPr>
            </w:pPr>
            <w:r>
              <w:rPr>
                <w:rFonts w:hint="eastAsia" w:ascii="宋体" w:hAnsi="宋体" w:eastAsia="宋体" w:cs="宋体"/>
                <w:color w:val="000000"/>
                <w:highlight w:val="none"/>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7FFC">
            <w:pPr>
              <w:pStyle w:val="12"/>
              <w:spacing w:beforeAutospacing="0" w:afterAutospacing="0" w:line="0" w:lineRule="atLeast"/>
              <w:jc w:val="center"/>
              <w:rPr>
                <w:highlight w:val="none"/>
              </w:rPr>
            </w:pPr>
            <w:r>
              <w:rPr>
                <w:rFonts w:hint="eastAsia" w:ascii="宋体" w:hAnsi="宋体" w:eastAsia="宋体" w:cs="宋体"/>
                <w:color w:val="000000"/>
                <w:highlight w:val="none"/>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C22C">
            <w:pPr>
              <w:pStyle w:val="12"/>
              <w:spacing w:beforeAutospacing="0" w:afterAutospacing="0" w:line="0" w:lineRule="atLeast"/>
              <w:jc w:val="center"/>
              <w:rPr>
                <w:highlight w:val="none"/>
              </w:rPr>
            </w:pPr>
            <w:r>
              <w:rPr>
                <w:rFonts w:hint="eastAsia" w:ascii="宋体" w:hAnsi="宋体" w:eastAsia="宋体" w:cs="宋体"/>
                <w:color w:val="000000"/>
                <w:highlight w:val="none"/>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C856">
            <w:pPr>
              <w:pStyle w:val="12"/>
              <w:spacing w:beforeAutospacing="0" w:afterAutospacing="0" w:line="0" w:lineRule="atLeast"/>
              <w:jc w:val="center"/>
              <w:rPr>
                <w:highlight w:val="none"/>
              </w:rPr>
            </w:pPr>
            <w:r>
              <w:rPr>
                <w:rFonts w:hint="eastAsia" w:ascii="宋体" w:hAnsi="宋体" w:eastAsia="宋体" w:cs="宋体"/>
                <w:color w:val="000000"/>
                <w:highlight w:val="none"/>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F2D">
            <w:pPr>
              <w:pStyle w:val="12"/>
              <w:spacing w:beforeAutospacing="0" w:afterAutospacing="0" w:line="0" w:lineRule="atLeast"/>
              <w:jc w:val="center"/>
              <w:rPr>
                <w:highlight w:val="none"/>
              </w:rPr>
            </w:pPr>
            <w:r>
              <w:rPr>
                <w:rFonts w:hint="eastAsia" w:ascii="宋体" w:hAnsi="宋体" w:eastAsia="宋体" w:cs="宋体"/>
                <w:color w:val="000000"/>
                <w:highlight w:val="none"/>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D84">
            <w:pPr>
              <w:pStyle w:val="12"/>
              <w:spacing w:beforeAutospacing="0" w:afterAutospacing="0" w:line="0" w:lineRule="atLeast"/>
              <w:jc w:val="center"/>
              <w:rPr>
                <w:highlight w:val="none"/>
              </w:rPr>
            </w:pPr>
            <w:r>
              <w:rPr>
                <w:rFonts w:hint="eastAsia" w:ascii="宋体" w:hAnsi="宋体" w:eastAsia="宋体" w:cs="宋体"/>
                <w:color w:val="000000"/>
                <w:highlight w:val="none"/>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4B1">
            <w:pPr>
              <w:pStyle w:val="12"/>
              <w:spacing w:beforeAutospacing="0" w:afterAutospacing="0" w:line="0" w:lineRule="atLeast"/>
              <w:jc w:val="center"/>
              <w:rPr>
                <w:highlight w:val="none"/>
              </w:rPr>
            </w:pPr>
            <w:r>
              <w:rPr>
                <w:rFonts w:hint="eastAsia" w:ascii="宋体" w:hAnsi="宋体" w:eastAsia="宋体" w:cs="宋体"/>
                <w:color w:val="000000"/>
                <w:highlight w:val="none"/>
              </w:rPr>
              <w:t>6</w:t>
            </w:r>
          </w:p>
        </w:tc>
      </w:tr>
      <w:tr w14:paraId="5B6A47F7">
        <w:tblPrEx>
          <w:tblCellMar>
            <w:top w:w="0" w:type="dxa"/>
            <w:left w:w="108" w:type="dxa"/>
            <w:bottom w:w="0" w:type="dxa"/>
            <w:right w:w="108" w:type="dxa"/>
          </w:tblCellMar>
        </w:tblPrEx>
        <w:trPr>
          <w:trHeight w:val="294" w:hRule="atLeast"/>
          <w:tblCellSpacing w:w="0" w:type="dxa"/>
        </w:trPr>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AC64">
            <w:pPr>
              <w:rPr>
                <w:rFonts w:ascii="宋体"/>
                <w:sz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020F">
            <w:pPr>
              <w:pStyle w:val="12"/>
              <w:spacing w:beforeAutospacing="0" w:afterAutospacing="0" w:line="0" w:lineRule="atLeast"/>
              <w:jc w:val="center"/>
              <w:rPr>
                <w:highlight w:val="none"/>
              </w:rPr>
            </w:pPr>
            <w:r>
              <w:rPr>
                <w:rFonts w:hint="eastAsia" w:ascii="宋体" w:hAnsi="宋体" w:eastAsia="宋体" w:cs="宋体"/>
                <w:color w:val="000000"/>
                <w:highlight w:val="none"/>
              </w:rPr>
              <w:t>分项服务名称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3DDE">
            <w:pPr>
              <w:pStyle w:val="12"/>
              <w:spacing w:beforeAutospacing="0" w:afterAutospacing="0" w:line="0" w:lineRule="atLeast"/>
              <w:jc w:val="center"/>
              <w:rPr>
                <w:highlight w:val="none"/>
              </w:rPr>
            </w:pPr>
            <w:r>
              <w:rPr>
                <w:rFonts w:hint="eastAsia" w:ascii="宋体" w:hAnsi="宋体" w:eastAsia="宋体" w:cs="宋体"/>
                <w:color w:val="000000"/>
                <w:highlight w:val="none"/>
              </w:rPr>
              <w:t>交付期</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2E44">
            <w:pPr>
              <w:pStyle w:val="12"/>
              <w:spacing w:beforeAutospacing="0" w:afterAutospacing="0" w:line="0" w:lineRule="atLeast"/>
              <w:jc w:val="center"/>
              <w:rPr>
                <w:highlight w:val="none"/>
              </w:rPr>
            </w:pPr>
            <w:r>
              <w:rPr>
                <w:rFonts w:hint="eastAsia" w:ascii="宋体" w:hAnsi="宋体" w:eastAsia="宋体" w:cs="宋体"/>
                <w:color w:val="000000"/>
                <w:highlight w:val="none"/>
              </w:rPr>
              <w:t>分项单位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57F7">
            <w:pPr>
              <w:pStyle w:val="12"/>
              <w:spacing w:beforeAutospacing="0" w:afterAutospacing="0" w:line="0" w:lineRule="atLeast"/>
              <w:jc w:val="center"/>
              <w:rPr>
                <w:highlight w:val="none"/>
              </w:rPr>
            </w:pPr>
            <w:r>
              <w:rPr>
                <w:rFonts w:hint="eastAsia" w:ascii="宋体" w:hAnsi="宋体" w:eastAsia="宋体" w:cs="宋体"/>
                <w:color w:val="000000"/>
                <w:highlight w:val="none"/>
              </w:rPr>
              <w:t>数量</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1CF">
            <w:pPr>
              <w:pStyle w:val="12"/>
              <w:spacing w:beforeAutospacing="0" w:afterAutospacing="0" w:line="0" w:lineRule="atLeast"/>
              <w:jc w:val="center"/>
              <w:rPr>
                <w:highlight w:val="none"/>
              </w:rPr>
            </w:pPr>
            <w:r>
              <w:rPr>
                <w:rFonts w:hint="eastAsia" w:ascii="宋体" w:hAnsi="宋体" w:eastAsia="宋体" w:cs="宋体"/>
                <w:color w:val="000000"/>
                <w:highlight w:val="none"/>
              </w:rPr>
              <w:t>分项</w:t>
            </w:r>
          </w:p>
          <w:p w14:paraId="6F945E2D">
            <w:pPr>
              <w:pStyle w:val="12"/>
              <w:spacing w:beforeAutospacing="0" w:afterAutospacing="0" w:line="0" w:lineRule="atLeast"/>
              <w:jc w:val="center"/>
              <w:rPr>
                <w:highlight w:val="none"/>
              </w:rPr>
            </w:pPr>
            <w:r>
              <w:rPr>
                <w:rFonts w:hint="eastAsia" w:ascii="宋体" w:hAnsi="宋体" w:eastAsia="宋体" w:cs="宋体"/>
                <w:color w:val="000000"/>
                <w:highlight w:val="none"/>
              </w:rPr>
              <w:t>单价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55E4">
            <w:pPr>
              <w:pStyle w:val="12"/>
              <w:spacing w:beforeAutospacing="0" w:afterAutospacing="0" w:line="0" w:lineRule="atLeast"/>
              <w:jc w:val="center"/>
              <w:rPr>
                <w:highlight w:val="none"/>
              </w:rPr>
            </w:pPr>
            <w:r>
              <w:rPr>
                <w:rFonts w:hint="eastAsia" w:ascii="宋体" w:hAnsi="宋体" w:eastAsia="宋体" w:cs="宋体"/>
                <w:color w:val="000000"/>
                <w:highlight w:val="none"/>
              </w:rPr>
              <w:t>分项</w:t>
            </w:r>
          </w:p>
          <w:p w14:paraId="4E3DD111">
            <w:pPr>
              <w:pStyle w:val="12"/>
              <w:spacing w:beforeAutospacing="0" w:afterAutospacing="0" w:line="0" w:lineRule="atLeast"/>
              <w:jc w:val="center"/>
              <w:rPr>
                <w:highlight w:val="none"/>
              </w:rPr>
            </w:pPr>
            <w:r>
              <w:rPr>
                <w:rFonts w:hint="eastAsia" w:ascii="宋体" w:hAnsi="宋体" w:eastAsia="宋体" w:cs="宋体"/>
                <w:color w:val="000000"/>
                <w:highlight w:val="none"/>
              </w:rPr>
              <w:t>总价</w:t>
            </w:r>
          </w:p>
        </w:tc>
      </w:tr>
      <w:tr w14:paraId="0F976A32">
        <w:tblPrEx>
          <w:tblCellMar>
            <w:top w:w="0" w:type="dxa"/>
            <w:left w:w="108" w:type="dxa"/>
            <w:bottom w:w="0" w:type="dxa"/>
            <w:right w:w="108" w:type="dxa"/>
          </w:tblCellMar>
        </w:tblPrEx>
        <w:trPr>
          <w:trHeight w:val="654" w:hRule="atLeast"/>
          <w:tblCellSpacing w:w="0" w:type="dxa"/>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A91">
            <w:pPr>
              <w:pStyle w:val="12"/>
              <w:spacing w:beforeAutospacing="0" w:afterAutospacing="0" w:line="0" w:lineRule="atLeast"/>
              <w:jc w:val="center"/>
              <w:rPr>
                <w:highlight w:val="none"/>
              </w:rPr>
            </w:pPr>
            <w:r>
              <w:rPr>
                <w:rFonts w:hint="eastAsia" w:ascii="宋体" w:hAnsi="宋体" w:eastAsia="宋体" w:cs="宋体"/>
                <w:color w:val="000000"/>
                <w:highlight w:val="none"/>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D26B">
            <w:pPr>
              <w:pStyle w:val="12"/>
              <w:spacing w:beforeAutospacing="0" w:afterAutospacing="0" w:line="0" w:lineRule="atLeast"/>
              <w:jc w:val="center"/>
              <w:rPr>
                <w:highlight w:val="none"/>
              </w:rPr>
            </w:pPr>
            <w:r>
              <w:rPr>
                <w:highlight w:val="none"/>
              </w:rPr>
              <w:t>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EC93">
            <w:pPr>
              <w:pStyle w:val="12"/>
              <w:spacing w:beforeAutospacing="0" w:afterAutospacing="0" w:line="0" w:lineRule="atLeast"/>
              <w:jc w:val="center"/>
              <w:rPr>
                <w:highlight w:val="none"/>
              </w:rPr>
            </w:pPr>
            <w:r>
              <w:rPr>
                <w:highlight w:val="none"/>
              </w:rPr>
              <w:t>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4FF2">
            <w:pPr>
              <w:pStyle w:val="12"/>
              <w:spacing w:beforeAutospacing="0" w:afterAutospacing="0" w:line="0" w:lineRule="atLeast"/>
              <w:jc w:val="center"/>
              <w:rPr>
                <w:highlight w:val="none"/>
              </w:rPr>
            </w:pPr>
            <w:r>
              <w:rPr>
                <w:highlight w:val="none"/>
              </w:rPr>
              <w:t>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CBA">
            <w:pPr>
              <w:pStyle w:val="12"/>
              <w:spacing w:beforeAutospacing="0" w:afterAutospacing="0" w:line="0" w:lineRule="atLeast"/>
              <w:jc w:val="center"/>
              <w:rPr>
                <w:highlight w:val="none"/>
              </w:rPr>
            </w:pPr>
            <w:r>
              <w:rPr>
                <w:highlight w:val="none"/>
              </w:rPr>
              <w:t>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4FED">
            <w:pPr>
              <w:pStyle w:val="12"/>
              <w:spacing w:beforeAutospacing="0" w:afterAutospacing="0" w:line="0" w:lineRule="atLeast"/>
              <w:jc w:val="center"/>
              <w:rPr>
                <w:highlight w:val="none"/>
              </w:rPr>
            </w:pPr>
            <w:r>
              <w:rPr>
                <w:highlight w:val="none"/>
              </w:rPr>
              <w:t>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4A3">
            <w:pPr>
              <w:pStyle w:val="12"/>
              <w:spacing w:beforeAutospacing="0" w:afterAutospacing="0" w:line="0" w:lineRule="atLeast"/>
              <w:jc w:val="center"/>
              <w:rPr>
                <w:highlight w:val="none"/>
              </w:rPr>
            </w:pPr>
            <w:r>
              <w:rPr>
                <w:highlight w:val="none"/>
              </w:rPr>
              <w:t> </w:t>
            </w:r>
          </w:p>
        </w:tc>
      </w:tr>
      <w:tr w14:paraId="4EF45665">
        <w:tblPrEx>
          <w:tblCellMar>
            <w:top w:w="0" w:type="dxa"/>
            <w:left w:w="108" w:type="dxa"/>
            <w:bottom w:w="0" w:type="dxa"/>
            <w:right w:w="108" w:type="dxa"/>
          </w:tblCellMar>
        </w:tblPrEx>
        <w:trPr>
          <w:trHeight w:val="654" w:hRule="atLeast"/>
          <w:tblCellSpacing w:w="0" w:type="dxa"/>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AFA">
            <w:pPr>
              <w:pStyle w:val="12"/>
              <w:spacing w:beforeAutospacing="0" w:afterAutospacing="0" w:line="0" w:lineRule="atLeast"/>
              <w:jc w:val="center"/>
              <w:rPr>
                <w:highlight w:val="none"/>
              </w:rPr>
            </w:pPr>
            <w:r>
              <w:rPr>
                <w:rFonts w:hint="eastAsia" w:ascii="宋体" w:hAnsi="宋体" w:eastAsia="宋体" w:cs="宋体"/>
                <w:color w:val="000000"/>
                <w:highlight w:val="none"/>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20AD">
            <w:pPr>
              <w:pStyle w:val="12"/>
              <w:spacing w:beforeAutospacing="0" w:afterAutospacing="0" w:line="0" w:lineRule="atLeast"/>
              <w:jc w:val="center"/>
              <w:rPr>
                <w:highlight w:val="none"/>
              </w:rPr>
            </w:pPr>
            <w:r>
              <w:rPr>
                <w:highlight w:val="none"/>
              </w:rPr>
              <w:t>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10D">
            <w:pPr>
              <w:pStyle w:val="12"/>
              <w:spacing w:beforeAutospacing="0" w:afterAutospacing="0" w:line="0" w:lineRule="atLeast"/>
              <w:jc w:val="center"/>
              <w:rPr>
                <w:highlight w:val="none"/>
              </w:rPr>
            </w:pPr>
            <w:r>
              <w:rPr>
                <w:highlight w:val="none"/>
              </w:rPr>
              <w:t>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9FEF">
            <w:pPr>
              <w:pStyle w:val="12"/>
              <w:spacing w:beforeAutospacing="0" w:afterAutospacing="0" w:line="0" w:lineRule="atLeast"/>
              <w:jc w:val="center"/>
              <w:rPr>
                <w:highlight w:val="none"/>
              </w:rPr>
            </w:pPr>
            <w:r>
              <w:rPr>
                <w:highlight w:val="none"/>
              </w:rPr>
              <w:t>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C09">
            <w:pPr>
              <w:pStyle w:val="12"/>
              <w:spacing w:beforeAutospacing="0" w:afterAutospacing="0" w:line="0" w:lineRule="atLeast"/>
              <w:jc w:val="center"/>
              <w:rPr>
                <w:highlight w:val="none"/>
              </w:rPr>
            </w:pPr>
            <w:r>
              <w:rPr>
                <w:highlight w:val="none"/>
              </w:rPr>
              <w:t>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4A5">
            <w:pPr>
              <w:pStyle w:val="12"/>
              <w:spacing w:beforeAutospacing="0" w:afterAutospacing="0" w:line="0" w:lineRule="atLeast"/>
              <w:jc w:val="center"/>
              <w:rPr>
                <w:highlight w:val="none"/>
              </w:rPr>
            </w:pPr>
            <w:r>
              <w:rPr>
                <w:highlight w:val="none"/>
              </w:rPr>
              <w:t>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A88C">
            <w:pPr>
              <w:pStyle w:val="12"/>
              <w:spacing w:beforeAutospacing="0" w:afterAutospacing="0" w:line="0" w:lineRule="atLeast"/>
              <w:jc w:val="center"/>
              <w:rPr>
                <w:highlight w:val="none"/>
              </w:rPr>
            </w:pPr>
            <w:r>
              <w:rPr>
                <w:highlight w:val="none"/>
              </w:rPr>
              <w:t> </w:t>
            </w:r>
          </w:p>
        </w:tc>
      </w:tr>
      <w:tr w14:paraId="792C5905">
        <w:tblPrEx>
          <w:tblCellMar>
            <w:top w:w="0" w:type="dxa"/>
            <w:left w:w="108" w:type="dxa"/>
            <w:bottom w:w="0" w:type="dxa"/>
            <w:right w:w="108" w:type="dxa"/>
          </w:tblCellMar>
        </w:tblPrEx>
        <w:trPr>
          <w:trHeight w:val="654" w:hRule="atLeast"/>
          <w:tblCellSpacing w:w="0" w:type="dxa"/>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8C0">
            <w:pPr>
              <w:pStyle w:val="12"/>
              <w:spacing w:beforeAutospacing="0" w:afterAutospacing="0" w:line="0" w:lineRule="atLeast"/>
              <w:jc w:val="center"/>
              <w:rPr>
                <w:highlight w:val="none"/>
              </w:rPr>
            </w:pPr>
            <w:r>
              <w:rPr>
                <w:rFonts w:hint="eastAsia" w:ascii="宋体" w:hAnsi="宋体" w:eastAsia="宋体" w:cs="宋体"/>
                <w:color w:val="000000"/>
                <w:highlight w:val="none"/>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F49">
            <w:pPr>
              <w:pStyle w:val="12"/>
              <w:spacing w:beforeAutospacing="0" w:afterAutospacing="0" w:line="0" w:lineRule="atLeast"/>
              <w:jc w:val="center"/>
              <w:rPr>
                <w:highlight w:val="none"/>
              </w:rPr>
            </w:pPr>
            <w:r>
              <w:rPr>
                <w:highlight w:val="none"/>
              </w:rPr>
              <w:t>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B684">
            <w:pPr>
              <w:pStyle w:val="12"/>
              <w:spacing w:beforeAutospacing="0" w:afterAutospacing="0" w:line="0" w:lineRule="atLeast"/>
              <w:jc w:val="center"/>
              <w:rPr>
                <w:highlight w:val="none"/>
              </w:rPr>
            </w:pPr>
            <w:r>
              <w:rPr>
                <w:highlight w:val="none"/>
              </w:rPr>
              <w:t>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6A1">
            <w:pPr>
              <w:pStyle w:val="12"/>
              <w:spacing w:beforeAutospacing="0" w:afterAutospacing="0" w:line="0" w:lineRule="atLeast"/>
              <w:jc w:val="center"/>
              <w:rPr>
                <w:highlight w:val="none"/>
              </w:rPr>
            </w:pPr>
            <w:r>
              <w:rPr>
                <w:highlight w:val="none"/>
              </w:rPr>
              <w:t>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7EE">
            <w:pPr>
              <w:pStyle w:val="12"/>
              <w:spacing w:beforeAutospacing="0" w:afterAutospacing="0" w:line="0" w:lineRule="atLeast"/>
              <w:jc w:val="center"/>
              <w:rPr>
                <w:highlight w:val="none"/>
              </w:rPr>
            </w:pPr>
            <w:r>
              <w:rPr>
                <w:highlight w:val="none"/>
              </w:rPr>
              <w:t>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2207">
            <w:pPr>
              <w:pStyle w:val="12"/>
              <w:spacing w:beforeAutospacing="0" w:afterAutospacing="0" w:line="0" w:lineRule="atLeast"/>
              <w:jc w:val="center"/>
              <w:rPr>
                <w:highlight w:val="none"/>
              </w:rPr>
            </w:pPr>
            <w:r>
              <w:rPr>
                <w:highlight w:val="none"/>
              </w:rPr>
              <w:t>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229">
            <w:pPr>
              <w:pStyle w:val="12"/>
              <w:spacing w:beforeAutospacing="0" w:afterAutospacing="0" w:line="0" w:lineRule="atLeast"/>
              <w:jc w:val="center"/>
              <w:rPr>
                <w:highlight w:val="none"/>
              </w:rPr>
            </w:pPr>
            <w:r>
              <w:rPr>
                <w:highlight w:val="none"/>
              </w:rPr>
              <w:t> </w:t>
            </w:r>
          </w:p>
        </w:tc>
      </w:tr>
      <w:tr w14:paraId="4159D891">
        <w:tblPrEx>
          <w:tblCellMar>
            <w:top w:w="0" w:type="dxa"/>
            <w:left w:w="108" w:type="dxa"/>
            <w:bottom w:w="0" w:type="dxa"/>
            <w:right w:w="108" w:type="dxa"/>
          </w:tblCellMar>
        </w:tblPrEx>
        <w:trPr>
          <w:trHeight w:val="654" w:hRule="atLeast"/>
          <w:tblCellSpacing w:w="0" w:type="dxa"/>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FBC9">
            <w:pPr>
              <w:pStyle w:val="12"/>
              <w:spacing w:beforeAutospacing="0" w:afterAutospacing="0" w:line="0" w:lineRule="atLeast"/>
              <w:jc w:val="center"/>
              <w:rPr>
                <w:highlight w:val="none"/>
              </w:rPr>
            </w:pPr>
            <w:r>
              <w:rPr>
                <w:rFonts w:hint="eastAsia" w:ascii="宋体" w:hAnsi="宋体" w:eastAsia="宋体" w:cs="宋体"/>
                <w:color w:val="000000"/>
                <w:highlight w:val="none"/>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DB5">
            <w:pPr>
              <w:pStyle w:val="12"/>
              <w:spacing w:beforeAutospacing="0" w:afterAutospacing="0" w:line="0" w:lineRule="atLeast"/>
              <w:jc w:val="center"/>
              <w:rPr>
                <w:highlight w:val="none"/>
              </w:rPr>
            </w:pPr>
            <w:r>
              <w:rPr>
                <w:rFonts w:hint="eastAsia" w:ascii="宋体" w:hAnsi="宋体" w:eastAsia="宋体" w:cs="宋体"/>
                <w:color w:val="000000"/>
                <w:highlight w:val="none"/>
              </w:rPr>
              <w:t>……</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530">
            <w:pPr>
              <w:pStyle w:val="12"/>
              <w:spacing w:beforeAutospacing="0" w:afterAutospacing="0" w:line="0" w:lineRule="atLeast"/>
              <w:jc w:val="center"/>
              <w:rPr>
                <w:highlight w:val="none"/>
              </w:rPr>
            </w:pPr>
            <w:r>
              <w:rPr>
                <w:highlight w:val="none"/>
              </w:rPr>
              <w:t>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6953">
            <w:pPr>
              <w:pStyle w:val="12"/>
              <w:spacing w:beforeAutospacing="0" w:afterAutospacing="0" w:line="0" w:lineRule="atLeast"/>
              <w:jc w:val="center"/>
              <w:rPr>
                <w:highlight w:val="none"/>
              </w:rPr>
            </w:pPr>
            <w:r>
              <w:rPr>
                <w:highlight w:val="none"/>
              </w:rPr>
              <w:t> </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D46E">
            <w:pPr>
              <w:pStyle w:val="12"/>
              <w:spacing w:beforeAutospacing="0" w:afterAutospacing="0" w:line="0" w:lineRule="atLeast"/>
              <w:jc w:val="center"/>
              <w:rPr>
                <w:highlight w:val="none"/>
              </w:rPr>
            </w:pPr>
            <w:r>
              <w:rPr>
                <w:highlight w:val="none"/>
              </w:rPr>
              <w:t> </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932">
            <w:pPr>
              <w:pStyle w:val="12"/>
              <w:spacing w:beforeAutospacing="0" w:afterAutospacing="0" w:line="0" w:lineRule="atLeast"/>
              <w:jc w:val="center"/>
              <w:rPr>
                <w:highlight w:val="none"/>
              </w:rPr>
            </w:pPr>
            <w:r>
              <w:rPr>
                <w:highlight w:val="none"/>
              </w:rPr>
              <w:t> </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1F5C">
            <w:pPr>
              <w:pStyle w:val="12"/>
              <w:spacing w:beforeAutospacing="0" w:afterAutospacing="0" w:line="0" w:lineRule="atLeast"/>
              <w:jc w:val="center"/>
              <w:rPr>
                <w:highlight w:val="none"/>
              </w:rPr>
            </w:pPr>
            <w:r>
              <w:rPr>
                <w:highlight w:val="none"/>
              </w:rPr>
              <w:t> </w:t>
            </w:r>
          </w:p>
        </w:tc>
      </w:tr>
      <w:tr w14:paraId="318BB0BA">
        <w:tblPrEx>
          <w:tblCellMar>
            <w:top w:w="0" w:type="dxa"/>
            <w:left w:w="108" w:type="dxa"/>
            <w:bottom w:w="0" w:type="dxa"/>
            <w:right w:w="108" w:type="dxa"/>
          </w:tblCellMar>
        </w:tblPrEx>
        <w:trPr>
          <w:trHeight w:val="487" w:hRule="atLeast"/>
          <w:tblCellSpacing w:w="0" w:type="dxa"/>
        </w:trPr>
        <w:tc>
          <w:tcPr>
            <w:tcW w:w="68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7F2308">
            <w:pPr>
              <w:pStyle w:val="12"/>
              <w:spacing w:beforeAutospacing="0" w:afterAutospacing="0" w:line="0" w:lineRule="atLeast"/>
              <w:jc w:val="center"/>
              <w:rPr>
                <w:highlight w:val="none"/>
              </w:rPr>
            </w:pPr>
            <w:r>
              <w:rPr>
                <w:rFonts w:hint="eastAsia" w:ascii="宋体" w:hAnsi="宋体" w:eastAsia="宋体" w:cs="宋体"/>
                <w:color w:val="000000"/>
                <w:highlight w:val="none"/>
              </w:rPr>
              <w:t>投标总报价（人民币：元）</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3F0">
            <w:pPr>
              <w:pStyle w:val="12"/>
              <w:spacing w:beforeAutospacing="0" w:afterAutospacing="0" w:line="0" w:lineRule="atLeast"/>
              <w:jc w:val="both"/>
              <w:rPr>
                <w:highlight w:val="none"/>
              </w:rPr>
            </w:pPr>
            <w:r>
              <w:rPr>
                <w:highlight w:val="none"/>
              </w:rPr>
              <w:t> </w:t>
            </w:r>
          </w:p>
        </w:tc>
      </w:tr>
    </w:tbl>
    <w:p w14:paraId="13515AD0">
      <w:pPr>
        <w:pStyle w:val="12"/>
        <w:spacing w:beforeAutospacing="0" w:afterAutospacing="0"/>
        <w:jc w:val="both"/>
        <w:rPr>
          <w:highlight w:val="none"/>
        </w:rPr>
      </w:pPr>
      <w:r>
        <w:rPr>
          <w:rFonts w:hint="eastAsia" w:ascii="宋体" w:hAnsi="宋体" w:eastAsia="宋体" w:cs="宋体"/>
          <w:color w:val="000000"/>
          <w:highlight w:val="none"/>
        </w:rPr>
        <w:t>备注：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2. “投标分项报价表”中“投标总报价”数额应当与“开标一览表”中“投标总报价”数额一致。</w:t>
      </w:r>
    </w:p>
    <w:p w14:paraId="0F7CD765">
      <w:pPr>
        <w:pStyle w:val="12"/>
        <w:spacing w:beforeAutospacing="0" w:afterAutospacing="0"/>
        <w:jc w:val="center"/>
        <w:rPr>
          <w:highlight w:val="none"/>
        </w:rPr>
      </w:pPr>
      <w:r>
        <w:rPr>
          <w:highlight w:val="none"/>
        </w:rPr>
        <w:t> </w:t>
      </w:r>
    </w:p>
    <w:p w14:paraId="23DBFB89">
      <w:pPr>
        <w:pStyle w:val="12"/>
        <w:spacing w:beforeAutospacing="0" w:afterAutospacing="0"/>
        <w:jc w:val="center"/>
        <w:rPr>
          <w:highlight w:val="none"/>
        </w:rPr>
      </w:pPr>
      <w:r>
        <w:rPr>
          <w:highlight w:val="none"/>
        </w:rPr>
        <w:t> </w:t>
      </w:r>
    </w:p>
    <w:p w14:paraId="7222DE1E">
      <w:pPr>
        <w:pStyle w:val="12"/>
        <w:spacing w:beforeAutospacing="0" w:afterAutospacing="0"/>
        <w:jc w:val="center"/>
        <w:rPr>
          <w:highlight w:val="none"/>
        </w:rPr>
      </w:pPr>
      <w:r>
        <w:rPr>
          <w:highlight w:val="none"/>
        </w:rPr>
        <w:t> </w:t>
      </w:r>
    </w:p>
    <w:p w14:paraId="5AD5D5BF">
      <w:pPr>
        <w:pStyle w:val="12"/>
        <w:spacing w:beforeAutospacing="0" w:afterAutospacing="0"/>
        <w:jc w:val="center"/>
        <w:rPr>
          <w:highlight w:val="none"/>
        </w:rPr>
      </w:pPr>
      <w:r>
        <w:rPr>
          <w:highlight w:val="none"/>
        </w:rPr>
        <w:t> </w:t>
      </w:r>
    </w:p>
    <w:p w14:paraId="414DFA04">
      <w:pPr>
        <w:pStyle w:val="12"/>
        <w:spacing w:beforeAutospacing="0" w:afterAutospacing="0"/>
        <w:jc w:val="center"/>
        <w:rPr>
          <w:highlight w:val="none"/>
        </w:rPr>
      </w:pPr>
      <w:r>
        <w:rPr>
          <w:highlight w:val="none"/>
        </w:rPr>
        <w:t> </w:t>
      </w:r>
    </w:p>
    <w:p w14:paraId="1DA700AD">
      <w:pPr>
        <w:pStyle w:val="12"/>
        <w:spacing w:beforeAutospacing="0" w:afterAutospacing="0"/>
        <w:jc w:val="center"/>
        <w:rPr>
          <w:highlight w:val="none"/>
        </w:rPr>
      </w:pPr>
    </w:p>
    <w:p w14:paraId="73CC0474">
      <w:pPr>
        <w:pStyle w:val="12"/>
        <w:spacing w:beforeAutospacing="0" w:afterAutospacing="0"/>
        <w:jc w:val="center"/>
        <w:rPr>
          <w:highlight w:val="none"/>
        </w:rPr>
      </w:pPr>
    </w:p>
    <w:p w14:paraId="7F7E4755">
      <w:pPr>
        <w:pStyle w:val="12"/>
        <w:spacing w:beforeAutospacing="0" w:afterAutospacing="0"/>
        <w:jc w:val="center"/>
        <w:rPr>
          <w:highlight w:val="none"/>
        </w:rPr>
      </w:pPr>
    </w:p>
    <w:p w14:paraId="4056E78A">
      <w:pPr>
        <w:pStyle w:val="12"/>
        <w:spacing w:beforeAutospacing="0" w:afterAutospacing="0"/>
        <w:jc w:val="center"/>
        <w:rPr>
          <w:highlight w:val="none"/>
        </w:rPr>
      </w:pPr>
    </w:p>
    <w:p w14:paraId="5F7F6CDD">
      <w:pPr>
        <w:pStyle w:val="12"/>
        <w:spacing w:beforeAutospacing="0" w:afterAutospacing="0"/>
        <w:jc w:val="center"/>
        <w:rPr>
          <w:highlight w:val="none"/>
        </w:rPr>
      </w:pPr>
    </w:p>
    <w:p w14:paraId="2B5A09D0">
      <w:pPr>
        <w:pStyle w:val="12"/>
        <w:spacing w:beforeAutospacing="0" w:afterAutospacing="0"/>
        <w:jc w:val="center"/>
        <w:rPr>
          <w:highlight w:val="none"/>
        </w:rPr>
      </w:pPr>
    </w:p>
    <w:p w14:paraId="769F95B9">
      <w:pPr>
        <w:pStyle w:val="12"/>
        <w:spacing w:beforeAutospacing="0" w:afterAutospacing="0"/>
        <w:jc w:val="center"/>
        <w:rPr>
          <w:highlight w:val="none"/>
        </w:rPr>
      </w:pPr>
    </w:p>
    <w:p w14:paraId="6B81FED1">
      <w:pPr>
        <w:pStyle w:val="12"/>
        <w:spacing w:beforeAutospacing="0" w:afterAutospacing="0"/>
        <w:jc w:val="center"/>
        <w:rPr>
          <w:highlight w:val="none"/>
        </w:rPr>
      </w:pPr>
    </w:p>
    <w:p w14:paraId="21985FE1">
      <w:pPr>
        <w:pStyle w:val="12"/>
        <w:spacing w:beforeAutospacing="0" w:afterAutospacing="0"/>
        <w:jc w:val="center"/>
        <w:rPr>
          <w:highlight w:val="none"/>
        </w:rPr>
      </w:pPr>
    </w:p>
    <w:p w14:paraId="2CD6CC58">
      <w:pPr>
        <w:pStyle w:val="12"/>
        <w:spacing w:beforeAutospacing="0" w:afterAutospacing="0"/>
        <w:jc w:val="center"/>
        <w:rPr>
          <w:highlight w:val="none"/>
        </w:rPr>
      </w:pPr>
      <w:r>
        <w:rPr>
          <w:highlight w:val="none"/>
        </w:rPr>
        <w:t> </w:t>
      </w:r>
    </w:p>
    <w:p w14:paraId="6DF2017E">
      <w:pPr>
        <w:pStyle w:val="12"/>
        <w:spacing w:beforeAutospacing="0" w:afterAutospacing="0"/>
        <w:jc w:val="center"/>
        <w:rPr>
          <w:highlight w:val="none"/>
        </w:rPr>
      </w:pPr>
      <w:r>
        <w:rPr>
          <w:highlight w:val="none"/>
        </w:rPr>
        <w:t> </w:t>
      </w:r>
    </w:p>
    <w:p w14:paraId="24001C25">
      <w:pPr>
        <w:pStyle w:val="12"/>
        <w:spacing w:beforeAutospacing="0" w:afterAutospacing="0"/>
        <w:jc w:val="center"/>
        <w:rPr>
          <w:highlight w:val="none"/>
        </w:rPr>
      </w:pPr>
      <w:r>
        <w:rPr>
          <w:highlight w:val="none"/>
        </w:rPr>
        <w:br w:type="textWrapping"/>
      </w:r>
      <w:r>
        <w:rPr>
          <w:highlight w:val="none"/>
        </w:rPr>
        <w:br w:type="textWrapping"/>
      </w:r>
      <w:r>
        <w:rPr>
          <w:highlight w:val="none"/>
        </w:rPr>
        <w:br w:type="textWrapping"/>
      </w:r>
      <w:r>
        <w:rPr>
          <w:highlight w:val="none"/>
        </w:rPr>
        <w:t> </w:t>
      </w:r>
    </w:p>
    <w:p w14:paraId="5A6A2726">
      <w:pPr>
        <w:pStyle w:val="12"/>
        <w:spacing w:beforeAutospacing="0" w:afterAutospacing="0"/>
        <w:jc w:val="center"/>
        <w:rPr>
          <w:highlight w:val="none"/>
        </w:rPr>
      </w:pPr>
      <w:r>
        <w:rPr>
          <w:highlight w:val="none"/>
        </w:rPr>
        <w:t> </w:t>
      </w:r>
    </w:p>
    <w:p w14:paraId="76739D19">
      <w:pPr>
        <w:pStyle w:val="12"/>
        <w:spacing w:beforeAutospacing="0" w:afterAutospacing="0"/>
        <w:jc w:val="center"/>
        <w:rPr>
          <w:highlight w:val="none"/>
        </w:rPr>
      </w:pPr>
      <w:r>
        <w:rPr>
          <w:highlight w:val="none"/>
        </w:rPr>
        <w:t> </w:t>
      </w:r>
    </w:p>
    <w:p w14:paraId="06B2B4FD">
      <w:pPr>
        <w:pStyle w:val="12"/>
        <w:spacing w:beforeAutospacing="0" w:afterAutospacing="0"/>
        <w:jc w:val="center"/>
        <w:rPr>
          <w:highlight w:val="none"/>
        </w:rPr>
      </w:pPr>
    </w:p>
    <w:p w14:paraId="4B06CCE1">
      <w:pPr>
        <w:pStyle w:val="12"/>
        <w:spacing w:beforeAutospacing="0" w:afterAutospacing="0"/>
        <w:jc w:val="center"/>
        <w:rPr>
          <w:highlight w:val="none"/>
        </w:rPr>
      </w:pPr>
      <w:r>
        <w:rPr>
          <w:rFonts w:hint="eastAsia" w:ascii="黑体" w:hAnsi="宋体" w:eastAsia="黑体" w:cs="黑体"/>
          <w:b/>
          <w:color w:val="000000"/>
          <w:sz w:val="32"/>
          <w:szCs w:val="32"/>
          <w:highlight w:val="none"/>
        </w:rPr>
        <w:t>十三、技术要求响应及偏离表（分包号：**）</w:t>
      </w:r>
    </w:p>
    <w:tbl>
      <w:tblPr>
        <w:tblStyle w:val="14"/>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33B1A2A4">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A9C3">
            <w:pPr>
              <w:pStyle w:val="12"/>
              <w:spacing w:beforeAutospacing="0" w:afterAutospacing="0"/>
              <w:jc w:val="center"/>
              <w:rPr>
                <w:highlight w:val="none"/>
              </w:rPr>
            </w:pPr>
            <w:r>
              <w:rPr>
                <w:rFonts w:hint="eastAsia" w:ascii="宋体" w:hAnsi="宋体" w:eastAsia="宋体" w:cs="宋体"/>
                <w:color w:val="000000"/>
                <w:highlight w:val="none"/>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F65">
            <w:pPr>
              <w:pStyle w:val="12"/>
              <w:spacing w:beforeAutospacing="0" w:afterAutospacing="0"/>
              <w:jc w:val="center"/>
              <w:rPr>
                <w:highlight w:val="none"/>
              </w:rPr>
            </w:pPr>
            <w:r>
              <w:rPr>
                <w:rFonts w:hint="eastAsia" w:ascii="宋体" w:hAnsi="宋体" w:eastAsia="宋体" w:cs="宋体"/>
                <w:color w:val="000000"/>
                <w:highlight w:val="none"/>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9F6E">
            <w:pPr>
              <w:pStyle w:val="12"/>
              <w:spacing w:beforeAutospacing="0" w:afterAutospacing="0"/>
              <w:jc w:val="center"/>
              <w:rPr>
                <w:highlight w:val="none"/>
              </w:rPr>
            </w:pPr>
            <w:r>
              <w:rPr>
                <w:rFonts w:hint="eastAsia" w:ascii="宋体" w:hAnsi="宋体" w:eastAsia="宋体" w:cs="宋体"/>
                <w:color w:val="000000"/>
                <w:highlight w:val="none"/>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BE27">
            <w:pPr>
              <w:pStyle w:val="12"/>
              <w:spacing w:beforeAutospacing="0" w:afterAutospacing="0"/>
              <w:jc w:val="center"/>
              <w:rPr>
                <w:highlight w:val="none"/>
              </w:rPr>
            </w:pPr>
            <w:r>
              <w:rPr>
                <w:rFonts w:hint="eastAsia" w:ascii="宋体" w:hAnsi="宋体" w:eastAsia="宋体" w:cs="宋体"/>
                <w:color w:val="000000"/>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DB3A">
            <w:pPr>
              <w:pStyle w:val="12"/>
              <w:spacing w:beforeAutospacing="0" w:afterAutospacing="0"/>
              <w:jc w:val="center"/>
              <w:rPr>
                <w:highlight w:val="none"/>
              </w:rPr>
            </w:pPr>
            <w:r>
              <w:rPr>
                <w:rFonts w:hint="eastAsia" w:ascii="宋体" w:hAnsi="宋体" w:eastAsia="宋体" w:cs="宋体"/>
                <w:color w:val="000000"/>
                <w:highlight w:val="none"/>
              </w:rPr>
              <w:t>证明</w:t>
            </w:r>
          </w:p>
          <w:p w14:paraId="102A312A">
            <w:pPr>
              <w:pStyle w:val="12"/>
              <w:spacing w:beforeAutospacing="0" w:afterAutospacing="0"/>
              <w:jc w:val="center"/>
              <w:rPr>
                <w:highlight w:val="none"/>
              </w:rPr>
            </w:pPr>
            <w:r>
              <w:rPr>
                <w:rFonts w:hint="eastAsia" w:ascii="宋体" w:hAnsi="宋体" w:eastAsia="宋体" w:cs="宋体"/>
                <w:color w:val="000000"/>
                <w:highlight w:val="none"/>
              </w:rPr>
              <w:t>材料</w:t>
            </w:r>
          </w:p>
        </w:tc>
      </w:tr>
      <w:tr w14:paraId="30FB025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974">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B4F">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81EE">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8F3">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1805">
            <w:pPr>
              <w:pStyle w:val="12"/>
              <w:spacing w:beforeAutospacing="0" w:afterAutospacing="0"/>
              <w:jc w:val="center"/>
              <w:rPr>
                <w:highlight w:val="none"/>
              </w:rPr>
            </w:pPr>
            <w:r>
              <w:rPr>
                <w:highlight w:val="none"/>
              </w:rPr>
              <w:t> </w:t>
            </w:r>
          </w:p>
        </w:tc>
      </w:tr>
      <w:tr w14:paraId="736FBFF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037A">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FCE">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9AC7">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E06A">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119">
            <w:pPr>
              <w:pStyle w:val="12"/>
              <w:spacing w:beforeAutospacing="0" w:afterAutospacing="0"/>
              <w:jc w:val="center"/>
              <w:rPr>
                <w:highlight w:val="none"/>
              </w:rPr>
            </w:pPr>
            <w:r>
              <w:rPr>
                <w:highlight w:val="none"/>
              </w:rPr>
              <w:t> </w:t>
            </w:r>
          </w:p>
        </w:tc>
      </w:tr>
      <w:tr w14:paraId="69CDD91B">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358">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D4D">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06A">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7B2A">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3C5">
            <w:pPr>
              <w:pStyle w:val="12"/>
              <w:spacing w:beforeAutospacing="0" w:afterAutospacing="0"/>
              <w:jc w:val="center"/>
              <w:rPr>
                <w:highlight w:val="none"/>
              </w:rPr>
            </w:pPr>
            <w:r>
              <w:rPr>
                <w:highlight w:val="none"/>
              </w:rPr>
              <w:t> </w:t>
            </w:r>
          </w:p>
        </w:tc>
      </w:tr>
      <w:tr w14:paraId="49209CA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5085">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F366">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6D09">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55A">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4662">
            <w:pPr>
              <w:pStyle w:val="12"/>
              <w:spacing w:beforeAutospacing="0" w:afterAutospacing="0"/>
              <w:jc w:val="center"/>
              <w:rPr>
                <w:highlight w:val="none"/>
              </w:rPr>
            </w:pPr>
            <w:r>
              <w:rPr>
                <w:highlight w:val="none"/>
              </w:rPr>
              <w:t> </w:t>
            </w:r>
          </w:p>
        </w:tc>
      </w:tr>
      <w:tr w14:paraId="41CC94E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513">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AAAB">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EEA">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161">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0747">
            <w:pPr>
              <w:pStyle w:val="12"/>
              <w:spacing w:beforeAutospacing="0" w:afterAutospacing="0"/>
              <w:jc w:val="center"/>
              <w:rPr>
                <w:highlight w:val="none"/>
              </w:rPr>
            </w:pPr>
            <w:r>
              <w:rPr>
                <w:highlight w:val="none"/>
              </w:rPr>
              <w:t> </w:t>
            </w:r>
          </w:p>
        </w:tc>
      </w:tr>
      <w:tr w14:paraId="2372D9AA">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37E2">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457">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A6D1">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888D">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C542">
            <w:pPr>
              <w:pStyle w:val="12"/>
              <w:spacing w:beforeAutospacing="0" w:afterAutospacing="0"/>
              <w:jc w:val="center"/>
              <w:rPr>
                <w:highlight w:val="none"/>
              </w:rPr>
            </w:pPr>
            <w:r>
              <w:rPr>
                <w:highlight w:val="none"/>
              </w:rPr>
              <w:t> </w:t>
            </w:r>
          </w:p>
        </w:tc>
      </w:tr>
      <w:tr w14:paraId="5B125CE6">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FDA8">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C942">
            <w:pPr>
              <w:pStyle w:val="12"/>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857">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C0B">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E2E">
            <w:pPr>
              <w:pStyle w:val="12"/>
              <w:spacing w:beforeAutospacing="0" w:afterAutospacing="0"/>
              <w:jc w:val="center"/>
              <w:rPr>
                <w:highlight w:val="none"/>
              </w:rPr>
            </w:pPr>
            <w:r>
              <w:rPr>
                <w:highlight w:val="none"/>
              </w:rPr>
              <w:t> </w:t>
            </w:r>
          </w:p>
        </w:tc>
      </w:tr>
      <w:tr w14:paraId="1056CAA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161">
            <w:pPr>
              <w:pStyle w:val="12"/>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B73E">
            <w:pPr>
              <w:pStyle w:val="12"/>
              <w:spacing w:beforeAutospacing="0" w:afterAutospacing="0"/>
              <w:jc w:val="center"/>
              <w:rPr>
                <w:highlight w:val="none"/>
              </w:rPr>
            </w:pPr>
            <w:r>
              <w:rPr>
                <w:rFonts w:hint="eastAsia" w:ascii="宋体" w:hAnsi="宋体" w:eastAsia="宋体" w:cs="宋体"/>
                <w:color w:val="000000"/>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BF72">
            <w:pPr>
              <w:pStyle w:val="12"/>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BD9">
            <w:pPr>
              <w:pStyle w:val="12"/>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218B">
            <w:pPr>
              <w:pStyle w:val="12"/>
              <w:spacing w:beforeAutospacing="0" w:afterAutospacing="0"/>
              <w:jc w:val="center"/>
              <w:rPr>
                <w:highlight w:val="none"/>
              </w:rPr>
            </w:pPr>
            <w:r>
              <w:rPr>
                <w:highlight w:val="none"/>
              </w:rPr>
              <w:t> </w:t>
            </w:r>
          </w:p>
        </w:tc>
      </w:tr>
    </w:tbl>
    <w:p w14:paraId="10A944F1">
      <w:pPr>
        <w:pStyle w:val="12"/>
        <w:spacing w:beforeAutospacing="0" w:afterAutospacing="0"/>
        <w:jc w:val="both"/>
        <w:rPr>
          <w:highlight w:val="none"/>
        </w:rPr>
      </w:pPr>
      <w:r>
        <w:rPr>
          <w:rFonts w:hint="eastAsia" w:ascii="宋体" w:hAnsi="宋体" w:eastAsia="宋体" w:cs="宋体"/>
          <w:color w:val="000000"/>
          <w:highlight w:val="none"/>
        </w:rPr>
        <w:t>注： 行数不够，可自行添加。</w:t>
      </w:r>
    </w:p>
    <w:p w14:paraId="05D670C6">
      <w:pPr>
        <w:pStyle w:val="12"/>
        <w:spacing w:beforeAutospacing="0" w:afterAutospacing="0"/>
        <w:jc w:val="center"/>
        <w:rPr>
          <w:highlight w:val="none"/>
        </w:rPr>
      </w:pPr>
      <w:r>
        <w:rPr>
          <w:highlight w:val="none"/>
        </w:rPr>
        <w:t> </w:t>
      </w:r>
    </w:p>
    <w:p w14:paraId="77146AD6">
      <w:pPr>
        <w:pStyle w:val="12"/>
        <w:spacing w:beforeAutospacing="0" w:afterAutospacing="0"/>
        <w:jc w:val="center"/>
        <w:rPr>
          <w:highlight w:val="none"/>
        </w:rPr>
      </w:pPr>
      <w:r>
        <w:rPr>
          <w:highlight w:val="none"/>
        </w:rPr>
        <w:t> </w:t>
      </w:r>
    </w:p>
    <w:p w14:paraId="5B23EF25">
      <w:pPr>
        <w:pStyle w:val="12"/>
        <w:spacing w:beforeAutospacing="0" w:afterAutospacing="0"/>
        <w:jc w:val="center"/>
        <w:rPr>
          <w:highlight w:val="none"/>
        </w:rPr>
      </w:pPr>
      <w:r>
        <w:rPr>
          <w:highlight w:val="none"/>
        </w:rPr>
        <w:t> </w:t>
      </w:r>
    </w:p>
    <w:p w14:paraId="29DE44B5">
      <w:pPr>
        <w:pStyle w:val="12"/>
        <w:spacing w:beforeAutospacing="0" w:afterAutospacing="0"/>
        <w:jc w:val="center"/>
        <w:rPr>
          <w:highlight w:val="none"/>
        </w:rPr>
      </w:pPr>
      <w:r>
        <w:rPr>
          <w:highlight w:val="none"/>
        </w:rPr>
        <w:t> </w:t>
      </w:r>
    </w:p>
    <w:p w14:paraId="5B3958CB">
      <w:pPr>
        <w:pStyle w:val="12"/>
        <w:spacing w:beforeAutospacing="0" w:afterAutospacing="0"/>
        <w:jc w:val="both"/>
        <w:rPr>
          <w:highlight w:val="none"/>
        </w:rPr>
      </w:pPr>
      <w:r>
        <w:rPr>
          <w:highlight w:val="none"/>
        </w:rPr>
        <w:t> </w:t>
      </w:r>
    </w:p>
    <w:p w14:paraId="223F324A">
      <w:pPr>
        <w:pStyle w:val="12"/>
        <w:spacing w:beforeAutospacing="0" w:afterAutospacing="0"/>
        <w:jc w:val="both"/>
        <w:rPr>
          <w:highlight w:val="none"/>
        </w:rPr>
      </w:pPr>
      <w:r>
        <w:rPr>
          <w:highlight w:val="none"/>
        </w:rPr>
        <w:t> </w:t>
      </w:r>
    </w:p>
    <w:p w14:paraId="618E49A8">
      <w:pPr>
        <w:pStyle w:val="12"/>
        <w:spacing w:beforeAutospacing="0" w:afterAutospacing="0"/>
        <w:jc w:val="both"/>
        <w:rPr>
          <w:highlight w:val="none"/>
        </w:rPr>
      </w:pPr>
      <w:r>
        <w:rPr>
          <w:highlight w:val="none"/>
        </w:rPr>
        <w:t> </w:t>
      </w:r>
    </w:p>
    <w:p w14:paraId="4AB35191">
      <w:pPr>
        <w:pStyle w:val="12"/>
        <w:spacing w:beforeAutospacing="0" w:afterAutospacing="0"/>
        <w:jc w:val="both"/>
        <w:rPr>
          <w:highlight w:val="none"/>
        </w:rPr>
      </w:pPr>
      <w:r>
        <w:rPr>
          <w:highlight w:val="none"/>
        </w:rPr>
        <w:t> </w:t>
      </w:r>
    </w:p>
    <w:p w14:paraId="510CD7B1">
      <w:pPr>
        <w:pStyle w:val="12"/>
        <w:spacing w:beforeAutospacing="0" w:afterAutospacing="0"/>
        <w:jc w:val="both"/>
        <w:rPr>
          <w:highlight w:val="none"/>
        </w:rPr>
      </w:pPr>
    </w:p>
    <w:p w14:paraId="5E172AFD">
      <w:pPr>
        <w:pStyle w:val="12"/>
        <w:spacing w:beforeAutospacing="0" w:afterAutospacing="0"/>
        <w:jc w:val="both"/>
        <w:rPr>
          <w:highlight w:val="none"/>
        </w:rPr>
      </w:pPr>
    </w:p>
    <w:p w14:paraId="262C12C5">
      <w:pPr>
        <w:pStyle w:val="12"/>
        <w:spacing w:beforeAutospacing="0" w:afterAutospacing="0"/>
        <w:jc w:val="both"/>
        <w:rPr>
          <w:highlight w:val="none"/>
        </w:rPr>
      </w:pPr>
    </w:p>
    <w:p w14:paraId="5864B9AF">
      <w:pPr>
        <w:pStyle w:val="12"/>
        <w:spacing w:beforeAutospacing="0" w:afterAutospacing="0"/>
        <w:jc w:val="both"/>
        <w:rPr>
          <w:highlight w:val="none"/>
        </w:rPr>
      </w:pPr>
    </w:p>
    <w:p w14:paraId="19A42049">
      <w:pPr>
        <w:pStyle w:val="12"/>
        <w:spacing w:beforeAutospacing="0" w:afterAutospacing="0"/>
        <w:jc w:val="both"/>
        <w:rPr>
          <w:highlight w:val="none"/>
        </w:rPr>
      </w:pPr>
    </w:p>
    <w:p w14:paraId="3401EC4E">
      <w:pPr>
        <w:pStyle w:val="12"/>
        <w:spacing w:beforeAutospacing="0" w:afterAutospacing="0"/>
        <w:jc w:val="both"/>
        <w:rPr>
          <w:highlight w:val="none"/>
        </w:rPr>
      </w:pPr>
    </w:p>
    <w:p w14:paraId="503716A5">
      <w:pPr>
        <w:pStyle w:val="12"/>
        <w:spacing w:beforeAutospacing="0" w:afterAutospacing="0"/>
        <w:jc w:val="both"/>
        <w:rPr>
          <w:highlight w:val="none"/>
        </w:rPr>
      </w:pPr>
    </w:p>
    <w:p w14:paraId="2738CA08">
      <w:pPr>
        <w:pStyle w:val="12"/>
        <w:spacing w:beforeAutospacing="0" w:afterAutospacing="0"/>
        <w:jc w:val="both"/>
        <w:rPr>
          <w:highlight w:val="none"/>
        </w:rPr>
      </w:pPr>
    </w:p>
    <w:p w14:paraId="6B67029C">
      <w:pPr>
        <w:pStyle w:val="12"/>
        <w:spacing w:beforeAutospacing="0" w:afterAutospacing="0"/>
        <w:jc w:val="both"/>
        <w:rPr>
          <w:highlight w:val="none"/>
        </w:rPr>
      </w:pPr>
    </w:p>
    <w:p w14:paraId="35AE1E12">
      <w:pPr>
        <w:pStyle w:val="12"/>
        <w:spacing w:beforeAutospacing="0" w:afterAutospacing="0"/>
        <w:jc w:val="both"/>
        <w:rPr>
          <w:highlight w:val="none"/>
        </w:rPr>
      </w:pPr>
    </w:p>
    <w:p w14:paraId="1CC3CE68">
      <w:pPr>
        <w:pStyle w:val="12"/>
        <w:spacing w:beforeAutospacing="0" w:afterAutospacing="0"/>
        <w:jc w:val="both"/>
        <w:rPr>
          <w:highlight w:val="none"/>
        </w:rPr>
      </w:pPr>
    </w:p>
    <w:p w14:paraId="018D8DEA">
      <w:pPr>
        <w:pStyle w:val="12"/>
        <w:spacing w:beforeAutospacing="0" w:afterAutospacing="0"/>
        <w:jc w:val="both"/>
        <w:rPr>
          <w:highlight w:val="none"/>
        </w:rPr>
      </w:pPr>
    </w:p>
    <w:p w14:paraId="2793AE3B">
      <w:pPr>
        <w:pStyle w:val="12"/>
        <w:spacing w:beforeAutospacing="0" w:afterAutospacing="0"/>
        <w:jc w:val="both"/>
        <w:rPr>
          <w:highlight w:val="none"/>
        </w:rPr>
      </w:pPr>
    </w:p>
    <w:p w14:paraId="616A2D5E">
      <w:pPr>
        <w:pStyle w:val="12"/>
        <w:spacing w:beforeAutospacing="0" w:afterAutospacing="0"/>
        <w:jc w:val="both"/>
        <w:rPr>
          <w:highlight w:val="none"/>
        </w:rPr>
      </w:pPr>
      <w:r>
        <w:rPr>
          <w:highlight w:val="none"/>
        </w:rPr>
        <w:t> </w:t>
      </w:r>
    </w:p>
    <w:p w14:paraId="3055D609">
      <w:pPr>
        <w:pStyle w:val="12"/>
        <w:spacing w:beforeAutospacing="0" w:afterAutospacing="0"/>
        <w:jc w:val="both"/>
        <w:rPr>
          <w:highlight w:val="none"/>
        </w:rPr>
      </w:pPr>
      <w:r>
        <w:rPr>
          <w:highlight w:val="none"/>
        </w:rPr>
        <w:t> </w:t>
      </w:r>
    </w:p>
    <w:p w14:paraId="641790C6">
      <w:pPr>
        <w:pStyle w:val="12"/>
        <w:spacing w:beforeAutospacing="0" w:afterAutospacing="0"/>
        <w:jc w:val="both"/>
        <w:rPr>
          <w:highlight w:val="none"/>
        </w:rPr>
      </w:pPr>
      <w:r>
        <w:rPr>
          <w:highlight w:val="none"/>
        </w:rPr>
        <w:t> </w:t>
      </w:r>
    </w:p>
    <w:p w14:paraId="0FBA89A0">
      <w:pPr>
        <w:pStyle w:val="12"/>
        <w:spacing w:beforeAutospacing="0" w:afterAutospacing="0"/>
        <w:jc w:val="center"/>
        <w:rPr>
          <w:highlight w:val="none"/>
        </w:rPr>
      </w:pPr>
      <w:bookmarkStart w:id="237" w:name="_Hlt26955054"/>
      <w:r>
        <w:rPr>
          <w:rFonts w:hint="eastAsia" w:ascii="黑体" w:hAnsi="宋体" w:eastAsia="黑体" w:cs="黑体"/>
          <w:b/>
          <w:color w:val="000000"/>
          <w:sz w:val="32"/>
          <w:szCs w:val="32"/>
          <w:highlight w:val="none"/>
        </w:rPr>
        <w:t>十四、商务要求响应及偏离表（分包号：**）</w:t>
      </w:r>
    </w:p>
    <w:tbl>
      <w:tblPr>
        <w:tblStyle w:val="14"/>
        <w:tblW w:w="8520" w:type="dxa"/>
        <w:tblCellSpacing w:w="0" w:type="dxa"/>
        <w:tblInd w:w="10" w:type="dxa"/>
        <w:tblLayout w:type="fixed"/>
        <w:tblCellMar>
          <w:top w:w="0" w:type="dxa"/>
          <w:left w:w="108" w:type="dxa"/>
          <w:bottom w:w="0" w:type="dxa"/>
          <w:right w:w="108" w:type="dxa"/>
        </w:tblCellMar>
      </w:tblPr>
      <w:tblGrid>
        <w:gridCol w:w="661"/>
        <w:gridCol w:w="2469"/>
        <w:gridCol w:w="2645"/>
        <w:gridCol w:w="1244"/>
        <w:gridCol w:w="1501"/>
      </w:tblGrid>
      <w:tr w14:paraId="70C1F34A">
        <w:tblPrEx>
          <w:tblCellMar>
            <w:top w:w="0" w:type="dxa"/>
            <w:left w:w="108" w:type="dxa"/>
            <w:bottom w:w="0" w:type="dxa"/>
            <w:right w:w="108" w:type="dxa"/>
          </w:tblCellMar>
        </w:tblPrEx>
        <w:trPr>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3502">
            <w:pPr>
              <w:pStyle w:val="12"/>
              <w:spacing w:beforeAutospacing="0" w:afterAutospacing="0"/>
              <w:jc w:val="center"/>
              <w:rPr>
                <w:highlight w:val="none"/>
              </w:rPr>
            </w:pPr>
            <w:bookmarkStart w:id="238" w:name="_Hlt26955056"/>
            <w:bookmarkStart w:id="239" w:name="_Hlt26609391"/>
            <w:bookmarkStart w:id="240" w:name="_Hlt26671343"/>
            <w:bookmarkStart w:id="241" w:name="_Hlt24879081"/>
            <w:bookmarkStart w:id="242" w:name="_Hlt26955064"/>
            <w:bookmarkStart w:id="243" w:name="_Hlt26671372"/>
            <w:bookmarkStart w:id="244" w:name="_Hlt26782999"/>
            <w:bookmarkStart w:id="245" w:name="_Hlt26580838"/>
            <w:r>
              <w:rPr>
                <w:rFonts w:hint="eastAsia" w:ascii="宋体" w:hAnsi="宋体" w:eastAsia="宋体" w:cs="宋体"/>
                <w:color w:val="000000"/>
                <w:highlight w:val="none"/>
              </w:rPr>
              <w:t>序号</w:t>
            </w:r>
          </w:p>
          <w:bookmarkEnd w:id="238"/>
          <w:bookmarkEnd w:id="239"/>
          <w:bookmarkEnd w:id="240"/>
          <w:bookmarkEnd w:id="241"/>
          <w:bookmarkEnd w:id="242"/>
          <w:bookmarkEnd w:id="243"/>
          <w:bookmarkEnd w:id="244"/>
          <w:bookmarkEnd w:id="245"/>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8D19">
            <w:pPr>
              <w:pStyle w:val="12"/>
              <w:spacing w:beforeAutospacing="0" w:afterAutospacing="0"/>
              <w:jc w:val="center"/>
              <w:rPr>
                <w:highlight w:val="none"/>
              </w:rPr>
            </w:pPr>
            <w:r>
              <w:rPr>
                <w:rFonts w:hint="eastAsia" w:ascii="宋体" w:hAnsi="宋体" w:eastAsia="宋体" w:cs="宋体"/>
                <w:color w:val="000000"/>
                <w:highlight w:val="none"/>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A5E">
            <w:pPr>
              <w:pStyle w:val="12"/>
              <w:spacing w:beforeAutospacing="0" w:afterAutospacing="0"/>
              <w:jc w:val="center"/>
              <w:rPr>
                <w:highlight w:val="none"/>
              </w:rPr>
            </w:pPr>
            <w:r>
              <w:rPr>
                <w:rFonts w:hint="eastAsia" w:ascii="宋体" w:hAnsi="宋体" w:eastAsia="宋体" w:cs="宋体"/>
                <w:color w:val="000000"/>
                <w:highlight w:val="none"/>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FD89">
            <w:pPr>
              <w:pStyle w:val="12"/>
              <w:spacing w:beforeAutospacing="0" w:afterAutospacing="0"/>
              <w:jc w:val="center"/>
              <w:rPr>
                <w:highlight w:val="none"/>
              </w:rPr>
            </w:pPr>
            <w:r>
              <w:rPr>
                <w:rFonts w:hint="eastAsia" w:ascii="宋体" w:hAnsi="宋体" w:eastAsia="宋体" w:cs="宋体"/>
                <w:color w:val="000000"/>
                <w:highlight w:val="none"/>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7F76">
            <w:pPr>
              <w:pStyle w:val="12"/>
              <w:spacing w:beforeAutospacing="0" w:afterAutospacing="0"/>
              <w:jc w:val="center"/>
              <w:rPr>
                <w:highlight w:val="none"/>
              </w:rPr>
            </w:pPr>
            <w:r>
              <w:rPr>
                <w:rFonts w:hint="eastAsia" w:ascii="宋体" w:hAnsi="宋体" w:eastAsia="宋体" w:cs="宋体"/>
                <w:color w:val="000000"/>
                <w:highlight w:val="none"/>
              </w:rPr>
              <w:t>证明</w:t>
            </w:r>
          </w:p>
          <w:p w14:paraId="2666DB88">
            <w:pPr>
              <w:pStyle w:val="12"/>
              <w:spacing w:beforeAutospacing="0" w:afterAutospacing="0"/>
              <w:jc w:val="center"/>
              <w:rPr>
                <w:highlight w:val="none"/>
              </w:rPr>
            </w:pPr>
            <w:r>
              <w:rPr>
                <w:rFonts w:hint="eastAsia" w:ascii="宋体" w:hAnsi="宋体" w:eastAsia="宋体" w:cs="宋体"/>
                <w:color w:val="000000"/>
                <w:highlight w:val="none"/>
              </w:rPr>
              <w:t>材料</w:t>
            </w:r>
          </w:p>
        </w:tc>
      </w:tr>
      <w:tr w14:paraId="4C63A60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952">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6780">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8B6">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DED5">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247">
            <w:pPr>
              <w:pStyle w:val="12"/>
              <w:spacing w:beforeAutospacing="0" w:afterAutospacing="0"/>
              <w:jc w:val="center"/>
              <w:rPr>
                <w:highlight w:val="none"/>
              </w:rPr>
            </w:pPr>
            <w:r>
              <w:rPr>
                <w:highlight w:val="none"/>
              </w:rPr>
              <w:t> </w:t>
            </w:r>
          </w:p>
        </w:tc>
      </w:tr>
      <w:tr w14:paraId="1E61B86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5C32">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A199">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D99C">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872A">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03CB">
            <w:pPr>
              <w:pStyle w:val="12"/>
              <w:spacing w:beforeAutospacing="0" w:afterAutospacing="0"/>
              <w:jc w:val="center"/>
              <w:rPr>
                <w:highlight w:val="none"/>
              </w:rPr>
            </w:pPr>
            <w:r>
              <w:rPr>
                <w:highlight w:val="none"/>
              </w:rPr>
              <w:t> </w:t>
            </w:r>
          </w:p>
        </w:tc>
      </w:tr>
      <w:tr w14:paraId="3DED62E5">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3F6C">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877">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194">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4CD5">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985">
            <w:pPr>
              <w:pStyle w:val="12"/>
              <w:spacing w:beforeAutospacing="0" w:afterAutospacing="0"/>
              <w:jc w:val="center"/>
              <w:rPr>
                <w:highlight w:val="none"/>
              </w:rPr>
            </w:pPr>
            <w:r>
              <w:rPr>
                <w:highlight w:val="none"/>
              </w:rPr>
              <w:t> </w:t>
            </w:r>
          </w:p>
        </w:tc>
      </w:tr>
      <w:tr w14:paraId="3FE8E89B">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00D5">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5293">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E9A4">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721C">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D2C3">
            <w:pPr>
              <w:pStyle w:val="12"/>
              <w:spacing w:beforeAutospacing="0" w:afterAutospacing="0"/>
              <w:jc w:val="center"/>
              <w:rPr>
                <w:highlight w:val="none"/>
              </w:rPr>
            </w:pPr>
            <w:r>
              <w:rPr>
                <w:highlight w:val="none"/>
              </w:rPr>
              <w:t> </w:t>
            </w:r>
          </w:p>
        </w:tc>
      </w:tr>
      <w:tr w14:paraId="35EC48A0">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B273">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ADED">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3AE1">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69D1">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920">
            <w:pPr>
              <w:pStyle w:val="12"/>
              <w:spacing w:beforeAutospacing="0" w:afterAutospacing="0"/>
              <w:jc w:val="center"/>
              <w:rPr>
                <w:highlight w:val="none"/>
              </w:rPr>
            </w:pPr>
            <w:r>
              <w:rPr>
                <w:highlight w:val="none"/>
              </w:rPr>
              <w:t> </w:t>
            </w:r>
          </w:p>
        </w:tc>
      </w:tr>
      <w:tr w14:paraId="2F3DA402">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5512">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6C4">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C0D6">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F40">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3EE">
            <w:pPr>
              <w:pStyle w:val="12"/>
              <w:spacing w:beforeAutospacing="0" w:afterAutospacing="0"/>
              <w:jc w:val="center"/>
              <w:rPr>
                <w:highlight w:val="none"/>
              </w:rPr>
            </w:pPr>
            <w:r>
              <w:rPr>
                <w:highlight w:val="none"/>
              </w:rPr>
              <w:t> </w:t>
            </w:r>
          </w:p>
        </w:tc>
      </w:tr>
      <w:tr w14:paraId="39C04A45">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375C">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6A7">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3EA">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A8C3">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8838">
            <w:pPr>
              <w:pStyle w:val="12"/>
              <w:spacing w:beforeAutospacing="0" w:afterAutospacing="0"/>
              <w:jc w:val="center"/>
              <w:rPr>
                <w:highlight w:val="none"/>
              </w:rPr>
            </w:pPr>
            <w:r>
              <w:rPr>
                <w:highlight w:val="none"/>
              </w:rPr>
              <w:t> </w:t>
            </w:r>
          </w:p>
        </w:tc>
      </w:tr>
      <w:tr w14:paraId="2224012A">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F663">
            <w:pPr>
              <w:pStyle w:val="12"/>
              <w:spacing w:beforeAutospacing="0" w:afterAutospacing="0"/>
              <w:jc w:val="center"/>
              <w:rPr>
                <w:highlight w:val="none"/>
              </w:rPr>
            </w:pPr>
            <w:r>
              <w:rPr>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C61A">
            <w:pPr>
              <w:pStyle w:val="12"/>
              <w:spacing w:beforeAutospacing="0" w:afterAutospacing="0"/>
              <w:jc w:val="center"/>
              <w:rPr>
                <w:highlight w:val="none"/>
              </w:rPr>
            </w:pPr>
            <w:r>
              <w:rPr>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DA0B">
            <w:pPr>
              <w:pStyle w:val="12"/>
              <w:spacing w:beforeAutospacing="0" w:afterAutospacing="0"/>
              <w:jc w:val="center"/>
              <w:rPr>
                <w:highlight w:val="none"/>
              </w:rPr>
            </w:pPr>
            <w:r>
              <w:rPr>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E98">
            <w:pPr>
              <w:pStyle w:val="12"/>
              <w:spacing w:beforeAutospacing="0" w:afterAutospacing="0"/>
              <w:jc w:val="center"/>
              <w:rPr>
                <w:highlight w:val="none"/>
              </w:rPr>
            </w:pPr>
            <w:r>
              <w:rPr>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5BF9">
            <w:pPr>
              <w:pStyle w:val="12"/>
              <w:spacing w:beforeAutospacing="0" w:afterAutospacing="0"/>
              <w:jc w:val="center"/>
              <w:rPr>
                <w:highlight w:val="none"/>
              </w:rPr>
            </w:pPr>
            <w:r>
              <w:rPr>
                <w:highlight w:val="none"/>
              </w:rPr>
              <w:t> </w:t>
            </w:r>
          </w:p>
        </w:tc>
      </w:tr>
    </w:tbl>
    <w:p w14:paraId="558339CB">
      <w:pPr>
        <w:pStyle w:val="12"/>
        <w:spacing w:beforeAutospacing="0" w:afterAutospacing="0"/>
        <w:jc w:val="both"/>
        <w:rPr>
          <w:highlight w:val="none"/>
        </w:rPr>
      </w:pPr>
      <w:r>
        <w:rPr>
          <w:rFonts w:hint="eastAsia" w:ascii="宋体" w:hAnsi="宋体" w:eastAsia="宋体" w:cs="宋体"/>
          <w:color w:val="000000"/>
          <w:highlight w:val="none"/>
        </w:rPr>
        <w:t>注： 行数不够，可自行添加。</w:t>
      </w:r>
    </w:p>
    <w:p w14:paraId="7CF40015">
      <w:pPr>
        <w:pStyle w:val="12"/>
        <w:spacing w:beforeAutospacing="0" w:afterAutospacing="0" w:line="480" w:lineRule="auto"/>
        <w:jc w:val="both"/>
        <w:rPr>
          <w:highlight w:val="none"/>
        </w:rPr>
      </w:pPr>
      <w:r>
        <w:rPr>
          <w:highlight w:val="none"/>
        </w:rPr>
        <w:t> </w:t>
      </w:r>
    </w:p>
    <w:p w14:paraId="0A236323">
      <w:pPr>
        <w:pStyle w:val="12"/>
        <w:spacing w:beforeAutospacing="0" w:afterAutospacing="0" w:line="480" w:lineRule="auto"/>
        <w:jc w:val="both"/>
        <w:rPr>
          <w:highlight w:val="none"/>
        </w:rPr>
      </w:pPr>
      <w:r>
        <w:rPr>
          <w:highlight w:val="none"/>
        </w:rPr>
        <w:t> </w:t>
      </w:r>
    </w:p>
    <w:p w14:paraId="2F85A18C">
      <w:pPr>
        <w:pStyle w:val="12"/>
        <w:spacing w:beforeAutospacing="0" w:afterAutospacing="0"/>
        <w:jc w:val="center"/>
        <w:rPr>
          <w:highlight w:val="none"/>
        </w:rPr>
      </w:pPr>
      <w:bookmarkStart w:id="246" w:name="_Toc462564146"/>
      <w:bookmarkStart w:id="247" w:name="_Hlt26671374"/>
      <w:bookmarkStart w:id="248" w:name="_Hlt26955066"/>
      <w:bookmarkStart w:id="249" w:name="_格式2__法定代表人授权书"/>
      <w:bookmarkStart w:id="250" w:name="_Hlt26609389"/>
      <w:r>
        <w:rPr>
          <w:highlight w:val="none"/>
        </w:rPr>
        <w:t> </w:t>
      </w:r>
    </w:p>
    <w:p w14:paraId="74E75443">
      <w:pPr>
        <w:pStyle w:val="12"/>
        <w:spacing w:beforeAutospacing="0" w:afterAutospacing="0"/>
        <w:jc w:val="both"/>
        <w:rPr>
          <w:highlight w:val="none"/>
        </w:rPr>
      </w:pPr>
      <w:r>
        <w:rPr>
          <w:highlight w:val="none"/>
        </w:rPr>
        <w:t> </w:t>
      </w:r>
    </w:p>
    <w:p w14:paraId="7A7D4EF6">
      <w:pPr>
        <w:pStyle w:val="12"/>
        <w:spacing w:beforeAutospacing="0" w:afterAutospacing="0"/>
        <w:jc w:val="both"/>
        <w:rPr>
          <w:highlight w:val="none"/>
        </w:rPr>
      </w:pPr>
      <w:r>
        <w:rPr>
          <w:highlight w:val="none"/>
        </w:rPr>
        <w:t> </w:t>
      </w:r>
    </w:p>
    <w:p w14:paraId="41212568">
      <w:pPr>
        <w:pStyle w:val="12"/>
        <w:spacing w:beforeAutospacing="0" w:afterAutospacing="0"/>
        <w:jc w:val="both"/>
        <w:rPr>
          <w:highlight w:val="none"/>
        </w:rPr>
      </w:pPr>
    </w:p>
    <w:p w14:paraId="16D65D83">
      <w:pPr>
        <w:pStyle w:val="12"/>
        <w:spacing w:beforeAutospacing="0" w:afterAutospacing="0"/>
        <w:jc w:val="both"/>
        <w:rPr>
          <w:highlight w:val="none"/>
        </w:rPr>
      </w:pPr>
    </w:p>
    <w:p w14:paraId="005AC6C0">
      <w:pPr>
        <w:pStyle w:val="12"/>
        <w:spacing w:beforeAutospacing="0" w:afterAutospacing="0"/>
        <w:jc w:val="both"/>
        <w:rPr>
          <w:highlight w:val="none"/>
        </w:rPr>
      </w:pPr>
    </w:p>
    <w:p w14:paraId="7AE467D4">
      <w:pPr>
        <w:pStyle w:val="12"/>
        <w:spacing w:beforeAutospacing="0" w:afterAutospacing="0"/>
        <w:jc w:val="both"/>
        <w:rPr>
          <w:highlight w:val="none"/>
        </w:rPr>
      </w:pPr>
    </w:p>
    <w:p w14:paraId="2B42C017">
      <w:pPr>
        <w:pStyle w:val="12"/>
        <w:spacing w:beforeAutospacing="0" w:afterAutospacing="0"/>
        <w:jc w:val="both"/>
        <w:rPr>
          <w:highlight w:val="none"/>
        </w:rPr>
      </w:pPr>
    </w:p>
    <w:p w14:paraId="73875E76">
      <w:pPr>
        <w:pStyle w:val="12"/>
        <w:spacing w:beforeAutospacing="0" w:afterAutospacing="0"/>
        <w:jc w:val="both"/>
        <w:rPr>
          <w:highlight w:val="none"/>
        </w:rPr>
      </w:pPr>
    </w:p>
    <w:p w14:paraId="06AE0866">
      <w:pPr>
        <w:pStyle w:val="12"/>
        <w:spacing w:beforeAutospacing="0" w:afterAutospacing="0"/>
        <w:jc w:val="both"/>
        <w:rPr>
          <w:highlight w:val="none"/>
        </w:rPr>
      </w:pPr>
    </w:p>
    <w:p w14:paraId="1533BD3A">
      <w:pPr>
        <w:pStyle w:val="12"/>
        <w:spacing w:beforeAutospacing="0" w:afterAutospacing="0"/>
        <w:jc w:val="both"/>
        <w:rPr>
          <w:highlight w:val="none"/>
        </w:rPr>
      </w:pPr>
    </w:p>
    <w:p w14:paraId="6D7B81F5">
      <w:pPr>
        <w:pStyle w:val="12"/>
        <w:spacing w:beforeAutospacing="0" w:afterAutospacing="0"/>
        <w:jc w:val="both"/>
        <w:rPr>
          <w:highlight w:val="none"/>
        </w:rPr>
      </w:pPr>
    </w:p>
    <w:p w14:paraId="76DE4081">
      <w:pPr>
        <w:pStyle w:val="12"/>
        <w:spacing w:beforeAutospacing="0" w:afterAutospacing="0"/>
        <w:jc w:val="both"/>
        <w:rPr>
          <w:highlight w:val="none"/>
        </w:rPr>
      </w:pPr>
    </w:p>
    <w:p w14:paraId="78D2E2E6">
      <w:pPr>
        <w:pStyle w:val="12"/>
        <w:spacing w:beforeAutospacing="0" w:afterAutospacing="0"/>
        <w:jc w:val="both"/>
        <w:rPr>
          <w:highlight w:val="none"/>
        </w:rPr>
      </w:pPr>
    </w:p>
    <w:p w14:paraId="5D14323D">
      <w:pPr>
        <w:pStyle w:val="12"/>
        <w:spacing w:beforeAutospacing="0" w:afterAutospacing="0"/>
        <w:jc w:val="both"/>
        <w:rPr>
          <w:highlight w:val="none"/>
        </w:rPr>
      </w:pPr>
    </w:p>
    <w:p w14:paraId="702ED79A">
      <w:pPr>
        <w:pStyle w:val="12"/>
        <w:spacing w:beforeAutospacing="0" w:afterAutospacing="0"/>
        <w:jc w:val="both"/>
        <w:rPr>
          <w:highlight w:val="none"/>
        </w:rPr>
      </w:pPr>
    </w:p>
    <w:p w14:paraId="169EC315">
      <w:pPr>
        <w:pStyle w:val="12"/>
        <w:spacing w:beforeAutospacing="0" w:afterAutospacing="0"/>
        <w:jc w:val="both"/>
        <w:rPr>
          <w:highlight w:val="none"/>
        </w:rPr>
      </w:pPr>
    </w:p>
    <w:p w14:paraId="34A3258E">
      <w:pPr>
        <w:pStyle w:val="12"/>
        <w:spacing w:beforeAutospacing="0" w:afterAutospacing="0"/>
        <w:jc w:val="both"/>
        <w:rPr>
          <w:highlight w:val="none"/>
        </w:rPr>
      </w:pPr>
    </w:p>
    <w:p w14:paraId="2DCF6DDF">
      <w:pPr>
        <w:pStyle w:val="12"/>
        <w:spacing w:beforeAutospacing="0" w:afterAutospacing="0"/>
        <w:jc w:val="center"/>
        <w:rPr>
          <w:highlight w:val="none"/>
        </w:rPr>
      </w:pPr>
      <w:r>
        <w:rPr>
          <w:rFonts w:hint="eastAsia" w:ascii="黑体" w:hAnsi="宋体" w:eastAsia="黑体" w:cs="黑体"/>
          <w:b/>
          <w:i/>
          <w:color w:val="000000"/>
          <w:sz w:val="32"/>
          <w:szCs w:val="32"/>
          <w:highlight w:val="none"/>
          <w:u w:val="single"/>
        </w:rPr>
        <w:t>十五、开标一览表</w:t>
      </w:r>
    </w:p>
    <w:p w14:paraId="4EBAB745">
      <w:pPr>
        <w:pStyle w:val="12"/>
        <w:spacing w:beforeAutospacing="0" w:afterAutospacing="0"/>
        <w:ind w:firstLine="480"/>
        <w:jc w:val="both"/>
        <w:rPr>
          <w:highlight w:val="none"/>
        </w:rPr>
      </w:pPr>
      <w:r>
        <w:rPr>
          <w:rFonts w:hint="eastAsia" w:ascii="宋体" w:hAnsi="宋体" w:eastAsia="宋体" w:cs="宋体"/>
          <w:color w:val="000000"/>
          <w:highlight w:val="none"/>
        </w:rPr>
        <w:t>投标人全称（加盖CA电子签章）：</w:t>
      </w:r>
    </w:p>
    <w:p w14:paraId="0D0E103B">
      <w:pPr>
        <w:pStyle w:val="12"/>
        <w:spacing w:beforeAutospacing="0" w:afterAutospacing="0"/>
        <w:ind w:firstLine="480"/>
        <w:jc w:val="both"/>
        <w:rPr>
          <w:highlight w:val="none"/>
        </w:rPr>
      </w:pPr>
      <w:r>
        <w:rPr>
          <w:rFonts w:hint="eastAsia" w:ascii="宋体" w:hAnsi="宋体" w:eastAsia="宋体" w:cs="宋体"/>
          <w:color w:val="000000"/>
          <w:highlight w:val="none"/>
        </w:rPr>
        <w:t>项目名称：</w:t>
      </w:r>
    </w:p>
    <w:p w14:paraId="30E515A0">
      <w:pPr>
        <w:pStyle w:val="12"/>
        <w:spacing w:beforeAutospacing="0" w:afterAutospacing="0"/>
        <w:ind w:firstLine="480"/>
        <w:jc w:val="both"/>
        <w:rPr>
          <w:highlight w:val="none"/>
        </w:rPr>
      </w:pPr>
      <w:r>
        <w:rPr>
          <w:rFonts w:hint="eastAsia" w:ascii="宋体" w:hAnsi="宋体" w:eastAsia="宋体" w:cs="宋体"/>
          <w:color w:val="000000"/>
          <w:highlight w:val="none"/>
        </w:rPr>
        <w:t>招标编号：                                   分包号：</w:t>
      </w:r>
    </w:p>
    <w:tbl>
      <w:tblPr>
        <w:tblStyle w:val="14"/>
        <w:tblW w:w="8206" w:type="dxa"/>
        <w:tblCellSpacing w:w="0" w:type="dxa"/>
        <w:tblInd w:w="118" w:type="dxa"/>
        <w:tblLayout w:type="fixed"/>
        <w:tblCellMar>
          <w:top w:w="0" w:type="dxa"/>
          <w:left w:w="108" w:type="dxa"/>
          <w:bottom w:w="0" w:type="dxa"/>
          <w:right w:w="108" w:type="dxa"/>
        </w:tblCellMar>
      </w:tblPr>
      <w:tblGrid>
        <w:gridCol w:w="8206"/>
      </w:tblGrid>
      <w:tr w14:paraId="47201305">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D7A5">
            <w:pPr>
              <w:pStyle w:val="12"/>
              <w:spacing w:beforeAutospacing="0" w:afterAutospacing="0"/>
              <w:jc w:val="both"/>
              <w:rPr>
                <w:highlight w:val="none"/>
              </w:rPr>
            </w:pPr>
            <w:r>
              <w:rPr>
                <w:rFonts w:hint="eastAsia" w:ascii="宋体" w:hAnsi="宋体" w:eastAsia="宋体" w:cs="宋体"/>
                <w:color w:val="000000"/>
                <w:highlight w:val="none"/>
              </w:rPr>
              <w:t>                      投标总报价</w:t>
            </w:r>
          </w:p>
        </w:tc>
      </w:tr>
      <w:tr w14:paraId="334E39D3">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6647">
            <w:pPr>
              <w:pStyle w:val="12"/>
              <w:spacing w:beforeAutospacing="0" w:afterAutospacing="0" w:line="0" w:lineRule="atLeast"/>
              <w:rPr>
                <w:highlight w:val="none"/>
              </w:rPr>
            </w:pPr>
            <w:r>
              <w:rPr>
                <w:rFonts w:hint="eastAsia" w:ascii="宋体" w:hAnsi="宋体" w:eastAsia="宋体" w:cs="宋体"/>
                <w:color w:val="000000"/>
                <w:highlight w:val="none"/>
              </w:rPr>
              <w:t>小写：                             （人民币：元）</w:t>
            </w:r>
          </w:p>
        </w:tc>
      </w:tr>
    </w:tbl>
    <w:p w14:paraId="797C4D41">
      <w:pPr>
        <w:pStyle w:val="12"/>
        <w:spacing w:beforeAutospacing="0" w:afterAutospacing="0"/>
        <w:jc w:val="both"/>
        <w:rPr>
          <w:highlight w:val="none"/>
        </w:rPr>
      </w:pPr>
      <w:r>
        <w:rPr>
          <w:highlight w:val="none"/>
        </w:rPr>
        <w:t> </w:t>
      </w:r>
    </w:p>
    <w:p w14:paraId="3C7A35B7">
      <w:pPr>
        <w:pStyle w:val="12"/>
        <w:spacing w:beforeAutospacing="0" w:afterAutospacing="0"/>
        <w:ind w:firstLine="480"/>
        <w:jc w:val="both"/>
        <w:rPr>
          <w:highlight w:val="none"/>
        </w:rPr>
      </w:pPr>
      <w:r>
        <w:rPr>
          <w:rFonts w:hint="eastAsia" w:ascii="宋体" w:hAnsi="宋体" w:eastAsia="宋体" w:cs="宋体"/>
          <w:color w:val="000000"/>
          <w:highlight w:val="none"/>
        </w:rPr>
        <w:t xml:space="preserve">                                              日期：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w:t>
      </w:r>
    </w:p>
    <w:p w14:paraId="6BAE37F2">
      <w:pPr>
        <w:pStyle w:val="12"/>
        <w:spacing w:beforeAutospacing="0" w:afterAutospacing="0"/>
        <w:ind w:firstLine="480"/>
        <w:jc w:val="both"/>
        <w:rPr>
          <w:highlight w:val="none"/>
        </w:rPr>
      </w:pPr>
      <w:r>
        <w:rPr>
          <w:highlight w:val="none"/>
        </w:rPr>
        <w:t> </w:t>
      </w:r>
    </w:p>
    <w:p w14:paraId="4438F107">
      <w:pPr>
        <w:widowControl/>
        <w:spacing w:before="50" w:after="50"/>
        <w:jc w:val="center"/>
        <w:rPr>
          <w:highlight w:val="none"/>
        </w:rPr>
      </w:pPr>
    </w:p>
    <w:p w14:paraId="1F72FD4A">
      <w:pPr>
        <w:widowControl/>
        <w:spacing w:before="50" w:after="50"/>
        <w:jc w:val="center"/>
        <w:rPr>
          <w:highlight w:val="none"/>
        </w:rPr>
      </w:pPr>
    </w:p>
    <w:p w14:paraId="1AE2DAB6">
      <w:pPr>
        <w:widowControl/>
        <w:spacing w:before="50" w:after="50"/>
        <w:jc w:val="center"/>
        <w:rPr>
          <w:highlight w:val="none"/>
        </w:rPr>
      </w:pPr>
    </w:p>
    <w:p w14:paraId="7F47FDDC">
      <w:pPr>
        <w:widowControl/>
        <w:spacing w:before="50" w:after="50"/>
        <w:jc w:val="center"/>
        <w:rPr>
          <w:highlight w:val="none"/>
        </w:rPr>
      </w:pPr>
    </w:p>
    <w:p w14:paraId="6745574F">
      <w:pPr>
        <w:widowControl/>
        <w:spacing w:before="50" w:after="50"/>
        <w:jc w:val="center"/>
        <w:rPr>
          <w:highlight w:val="none"/>
        </w:rPr>
      </w:pPr>
    </w:p>
    <w:p w14:paraId="47302C50">
      <w:pPr>
        <w:widowControl/>
        <w:spacing w:before="50" w:after="50"/>
        <w:jc w:val="center"/>
        <w:rPr>
          <w:rFonts w:ascii="宋体" w:hAnsi="宋体" w:eastAsia="宋体" w:cs="宋体"/>
          <w:sz w:val="24"/>
          <w:highlight w:val="none"/>
        </w:rPr>
      </w:pPr>
      <w:r>
        <w:rPr>
          <w:rFonts w:hint="eastAsia" w:ascii="宋体" w:hAnsi="宋体" w:eastAsia="宋体" w:cs="宋体"/>
          <w:color w:val="000000"/>
          <w:sz w:val="32"/>
          <w:szCs w:val="32"/>
          <w:highlight w:val="none"/>
        </w:rPr>
        <w:t>十六、技术方案、服务承诺、培训承诺等</w:t>
      </w:r>
    </w:p>
    <w:p w14:paraId="5B43CA59">
      <w:pPr>
        <w:pStyle w:val="12"/>
        <w:tabs>
          <w:tab w:val="left" w:pos="2160"/>
        </w:tabs>
        <w:spacing w:beforeAutospacing="0" w:afterAutospacing="0"/>
        <w:jc w:val="both"/>
        <w:rPr>
          <w:highlight w:val="none"/>
        </w:rPr>
      </w:pPr>
    </w:p>
    <w:p w14:paraId="39F2DD97">
      <w:pPr>
        <w:widowControl/>
        <w:spacing w:line="499" w:lineRule="atLeast"/>
        <w:ind w:firstLine="1600"/>
        <w:rPr>
          <w:rFonts w:ascii="宋体" w:hAnsi="宋体" w:eastAsia="宋体" w:cs="宋体"/>
          <w:color w:val="000000"/>
          <w:sz w:val="32"/>
          <w:szCs w:val="32"/>
          <w:highlight w:val="none"/>
        </w:rPr>
      </w:pPr>
    </w:p>
    <w:p w14:paraId="2D222859">
      <w:pPr>
        <w:widowControl/>
        <w:spacing w:line="499" w:lineRule="atLeast"/>
        <w:ind w:firstLine="1600"/>
        <w:rPr>
          <w:rFonts w:ascii="宋体" w:hAnsi="宋体" w:eastAsia="宋体" w:cs="宋体"/>
          <w:color w:val="000000"/>
          <w:sz w:val="32"/>
          <w:szCs w:val="32"/>
          <w:highlight w:val="none"/>
        </w:rPr>
      </w:pPr>
    </w:p>
    <w:p w14:paraId="58FD1CA1">
      <w:pPr>
        <w:widowControl/>
        <w:spacing w:line="499" w:lineRule="atLeast"/>
        <w:ind w:firstLine="1600"/>
        <w:rPr>
          <w:rFonts w:ascii="宋体" w:hAnsi="宋体" w:eastAsia="宋体" w:cs="宋体"/>
          <w:color w:val="000000"/>
          <w:sz w:val="32"/>
          <w:szCs w:val="32"/>
          <w:highlight w:val="none"/>
        </w:rPr>
      </w:pPr>
    </w:p>
    <w:p w14:paraId="6600AA42">
      <w:pPr>
        <w:widowControl/>
        <w:spacing w:line="499" w:lineRule="atLeast"/>
        <w:ind w:firstLine="1600"/>
        <w:rPr>
          <w:rFonts w:ascii="宋体" w:hAnsi="宋体" w:eastAsia="宋体" w:cs="宋体"/>
          <w:color w:val="000000"/>
          <w:sz w:val="32"/>
          <w:szCs w:val="32"/>
          <w:highlight w:val="none"/>
        </w:rPr>
      </w:pPr>
    </w:p>
    <w:p w14:paraId="177D29E6">
      <w:pPr>
        <w:widowControl/>
        <w:spacing w:line="499" w:lineRule="atLeast"/>
        <w:ind w:firstLine="1600"/>
        <w:rPr>
          <w:rFonts w:ascii="宋体" w:hAnsi="宋体" w:eastAsia="宋体" w:cs="宋体"/>
          <w:color w:val="000000"/>
          <w:sz w:val="32"/>
          <w:szCs w:val="32"/>
          <w:highlight w:val="none"/>
        </w:rPr>
      </w:pPr>
    </w:p>
    <w:p w14:paraId="75B88ABF">
      <w:pPr>
        <w:widowControl/>
        <w:spacing w:line="499" w:lineRule="atLeast"/>
        <w:ind w:firstLine="1600"/>
        <w:rPr>
          <w:rFonts w:ascii="宋体" w:hAnsi="宋体" w:eastAsia="宋体" w:cs="宋体"/>
          <w:color w:val="000000"/>
          <w:sz w:val="32"/>
          <w:szCs w:val="32"/>
          <w:highlight w:val="none"/>
        </w:rPr>
      </w:pPr>
    </w:p>
    <w:p w14:paraId="3F882C23">
      <w:pPr>
        <w:widowControl/>
        <w:spacing w:line="499" w:lineRule="atLeast"/>
        <w:ind w:firstLine="1600"/>
        <w:rPr>
          <w:rFonts w:ascii="宋体" w:hAnsi="宋体" w:eastAsia="宋体" w:cs="宋体"/>
          <w:color w:val="000000"/>
          <w:sz w:val="32"/>
          <w:szCs w:val="32"/>
          <w:highlight w:val="none"/>
        </w:rPr>
      </w:pPr>
    </w:p>
    <w:p w14:paraId="49027EBE">
      <w:pPr>
        <w:widowControl/>
        <w:spacing w:line="499" w:lineRule="atLeast"/>
        <w:ind w:firstLine="1600"/>
        <w:rPr>
          <w:rFonts w:ascii="宋体" w:hAnsi="宋体" w:eastAsia="宋体" w:cs="宋体"/>
          <w:color w:val="000000"/>
          <w:sz w:val="32"/>
          <w:szCs w:val="32"/>
          <w:highlight w:val="none"/>
        </w:rPr>
      </w:pPr>
    </w:p>
    <w:p w14:paraId="154C16B8">
      <w:pPr>
        <w:widowControl/>
        <w:spacing w:line="499" w:lineRule="atLeast"/>
        <w:ind w:firstLine="1600"/>
        <w:rPr>
          <w:rFonts w:ascii="宋体" w:hAnsi="宋体" w:eastAsia="宋体" w:cs="宋体"/>
          <w:color w:val="000000"/>
          <w:sz w:val="32"/>
          <w:szCs w:val="32"/>
          <w:highlight w:val="none"/>
        </w:rPr>
      </w:pPr>
    </w:p>
    <w:p w14:paraId="08BED6F8">
      <w:pPr>
        <w:widowControl/>
        <w:spacing w:line="499" w:lineRule="atLeast"/>
        <w:ind w:firstLine="1600"/>
        <w:rPr>
          <w:rFonts w:ascii="宋体" w:hAnsi="宋体" w:eastAsia="宋体" w:cs="宋体"/>
          <w:color w:val="000000"/>
          <w:sz w:val="32"/>
          <w:szCs w:val="32"/>
          <w:highlight w:val="none"/>
        </w:rPr>
      </w:pPr>
    </w:p>
    <w:p w14:paraId="5C51BF87">
      <w:pPr>
        <w:widowControl/>
        <w:spacing w:line="499" w:lineRule="atLeast"/>
        <w:ind w:firstLine="1600"/>
        <w:rPr>
          <w:rFonts w:ascii="宋体" w:hAnsi="宋体" w:eastAsia="宋体" w:cs="宋体"/>
          <w:sz w:val="24"/>
          <w:highlight w:val="none"/>
        </w:rPr>
      </w:pPr>
      <w:r>
        <w:rPr>
          <w:rFonts w:hint="eastAsia" w:ascii="宋体" w:hAnsi="宋体" w:eastAsia="宋体" w:cs="宋体"/>
          <w:color w:val="000000"/>
          <w:sz w:val="32"/>
          <w:szCs w:val="32"/>
          <w:highlight w:val="none"/>
        </w:rPr>
        <w:t>十七、盐城市政府采购事前信用承诺书</w:t>
      </w:r>
    </w:p>
    <w:p w14:paraId="33569BD8">
      <w:pPr>
        <w:widowControl/>
        <w:spacing w:line="499" w:lineRule="atLeast"/>
        <w:ind w:firstLine="640"/>
        <w:jc w:val="left"/>
        <w:rPr>
          <w:rFonts w:ascii="宋体" w:hAnsi="宋体" w:eastAsia="宋体" w:cs="宋体"/>
          <w:sz w:val="24"/>
          <w:highlight w:val="none"/>
        </w:rPr>
      </w:pPr>
      <w:r>
        <w:rPr>
          <w:rFonts w:hint="eastAsia" w:ascii="宋体" w:hAnsi="宋体" w:eastAsia="宋体" w:cs="宋体"/>
          <w:color w:val="000000"/>
          <w:sz w:val="32"/>
          <w:szCs w:val="32"/>
          <w:highlight w:val="none"/>
        </w:rPr>
        <w:t> </w:t>
      </w:r>
    </w:p>
    <w:p w14:paraId="3AB26A1F">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为营造我市公开、公平、公正、诚实守信的政府采购交易环境，树立诚信守法的投标人形象，本人代表本单位作出以下承诺：</w:t>
      </w:r>
    </w:p>
    <w:p w14:paraId="5F21646B">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D925AD0">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1AE3F88C">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xml:space="preserve">   （三）严格依照国家和省、市关于政府采购的法律、法规、规章、规范性文件，参加政府采购投标活动；积极履行社会责任，促进廉政建设； </w:t>
      </w:r>
    </w:p>
    <w:p w14:paraId="27423DF0">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（四）严格遵守即时信息公示规定，及时维护和更新维护和更新盐城市政府采购网中与本单位相关的信息；</w:t>
      </w:r>
    </w:p>
    <w:p w14:paraId="6E8D9AA3">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6F34E86A">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（六）自觉接受政府、行业组织、社会公众、新闻舆论的监督；</w:t>
      </w:r>
    </w:p>
    <w:p w14:paraId="15DC11E6">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7C166734">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（八）本人已认真阅读了上述承诺，并向本单位员工作了宣传教育。</w:t>
      </w:r>
    </w:p>
    <w:p w14:paraId="70A145F6">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法定代表人签名：</w:t>
      </w:r>
    </w:p>
    <w:p w14:paraId="7BFDE8B4">
      <w:pPr>
        <w:widowControl/>
        <w:spacing w:line="499" w:lineRule="atLeast"/>
        <w:jc w:val="center"/>
        <w:rPr>
          <w:rFonts w:ascii="宋体" w:hAnsi="宋体" w:eastAsia="宋体" w:cs="宋体"/>
          <w:sz w:val="24"/>
          <w:highlight w:val="none"/>
        </w:rPr>
      </w:pPr>
      <w:r>
        <w:rPr>
          <w:rFonts w:hint="eastAsia" w:ascii="宋体" w:hAnsi="宋体" w:eastAsia="宋体" w:cs="宋体"/>
          <w:color w:val="000000"/>
          <w:sz w:val="24"/>
          <w:highlight w:val="none"/>
        </w:rPr>
        <w:t>                   单位名称（盖章）：</w:t>
      </w:r>
    </w:p>
    <w:p w14:paraId="5573C19B">
      <w:pPr>
        <w:widowControl/>
        <w:spacing w:line="499" w:lineRule="atLeast"/>
        <w:jc w:val="center"/>
        <w:rPr>
          <w:rFonts w:ascii="宋体" w:hAnsi="宋体" w:eastAsia="宋体" w:cs="宋体"/>
          <w:sz w:val="24"/>
          <w:highlight w:val="none"/>
        </w:rPr>
      </w:pPr>
      <w:r>
        <w:rPr>
          <w:rFonts w:hint="eastAsia" w:ascii="宋体" w:hAnsi="宋体" w:eastAsia="宋体" w:cs="宋体"/>
          <w:color w:val="000000"/>
          <w:sz w:val="24"/>
          <w:highlight w:val="none"/>
        </w:rPr>
        <w:t>                      年月日</w:t>
      </w:r>
    </w:p>
    <w:p w14:paraId="681FD959">
      <w:pPr>
        <w:pStyle w:val="12"/>
        <w:spacing w:beforeAutospacing="0" w:afterAutospacing="0"/>
        <w:jc w:val="center"/>
        <w:rPr>
          <w:highlight w:val="none"/>
        </w:rPr>
      </w:pPr>
    </w:p>
    <w:bookmarkEnd w:id="31"/>
    <w:bookmarkEnd w:id="48"/>
    <w:bookmarkEnd w:id="93"/>
    <w:bookmarkEnd w:id="94"/>
    <w:bookmarkEnd w:id="95"/>
    <w:bookmarkEnd w:id="98"/>
    <w:bookmarkEnd w:id="99"/>
    <w:bookmarkEnd w:id="100"/>
    <w:bookmarkEnd w:id="101"/>
    <w:bookmarkEnd w:id="102"/>
    <w:bookmarkEnd w:id="103"/>
    <w:bookmarkEnd w:id="104"/>
    <w:bookmarkEnd w:id="105"/>
    <w:bookmarkEnd w:id="106"/>
    <w:bookmarkEnd w:id="107"/>
    <w:bookmarkEnd w:id="108"/>
    <w:bookmarkEnd w:id="109"/>
    <w:bookmarkEnd w:id="110"/>
    <w:bookmarkEnd w:id="115"/>
    <w:bookmarkEnd w:id="116"/>
    <w:bookmarkEnd w:id="117"/>
    <w:bookmarkEnd w:id="122"/>
    <w:bookmarkEnd w:id="123"/>
    <w:bookmarkEnd w:id="130"/>
    <w:bookmarkEnd w:id="185"/>
    <w:bookmarkEnd w:id="227"/>
    <w:bookmarkEnd w:id="231"/>
    <w:bookmarkEnd w:id="232"/>
    <w:bookmarkEnd w:id="234"/>
    <w:bookmarkEnd w:id="235"/>
    <w:bookmarkEnd w:id="236"/>
    <w:bookmarkEnd w:id="237"/>
    <w:bookmarkEnd w:id="246"/>
    <w:bookmarkEnd w:id="247"/>
    <w:bookmarkEnd w:id="248"/>
    <w:bookmarkEnd w:id="249"/>
    <w:bookmarkEnd w:id="250"/>
    <w:p w14:paraId="66824721">
      <w:pPr>
        <w:rPr>
          <w:highlight w:val="none"/>
        </w:rPr>
      </w:pPr>
    </w:p>
    <w:p w14:paraId="2ADD6FEF">
      <w:pPr>
        <w:pStyle w:val="12"/>
        <w:spacing w:beforeAutospacing="0" w:afterAutospacing="0"/>
        <w:jc w:val="center"/>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质疑函范本</w:t>
      </w:r>
    </w:p>
    <w:p w14:paraId="5E81FF8C">
      <w:pPr>
        <w:pStyle w:val="12"/>
        <w:spacing w:before="290"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一、质疑供应商基本信息</w:t>
      </w:r>
    </w:p>
    <w:p w14:paraId="330BF632">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质疑供应商：</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135A9FEE">
      <w:pPr>
        <w:pStyle w:val="12"/>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地址：</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w:t>
      </w:r>
    </w:p>
    <w:p w14:paraId="0E5C61DC">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邮编：</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77AF809E">
      <w:pPr>
        <w:pStyle w:val="12"/>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联系人：</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68AF1B9D">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联系电话：</w:t>
      </w:r>
      <w:r>
        <w:rPr>
          <w:rFonts w:hint="eastAsia" w:ascii="宋体" w:hAnsi="宋体" w:eastAsia="宋体" w:cs="宋体"/>
          <w:color w:val="000000"/>
          <w:highlight w:val="none"/>
          <w:u w:val="single"/>
        </w:rPr>
        <w:t xml:space="preserve">                                           </w:t>
      </w:r>
    </w:p>
    <w:p w14:paraId="7841A5C8">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授权代表：</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78AAE688">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联系电话：</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1E2ECDB7">
      <w:pPr>
        <w:pStyle w:val="12"/>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地址： </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1F79796D">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邮编：</w:t>
      </w:r>
      <w:r>
        <w:rPr>
          <w:rFonts w:hint="eastAsia" w:ascii="宋体" w:hAnsi="宋体" w:eastAsia="宋体" w:cs="宋体"/>
          <w:color w:val="000000"/>
          <w:highlight w:val="none"/>
          <w:u w:val="single"/>
        </w:rPr>
        <w:t xml:space="preserve">                                </w:t>
      </w:r>
    </w:p>
    <w:p w14:paraId="56613917">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二、质疑项目基本情况</w:t>
      </w:r>
    </w:p>
    <w:p w14:paraId="29979406">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质疑项目的名称：</w:t>
      </w:r>
      <w:r>
        <w:rPr>
          <w:rFonts w:hint="eastAsia" w:ascii="宋体" w:hAnsi="宋体" w:eastAsia="宋体" w:cs="宋体"/>
          <w:color w:val="000000"/>
          <w:highlight w:val="none"/>
          <w:u w:val="single"/>
        </w:rPr>
        <w:t xml:space="preserve">                            </w:t>
      </w:r>
    </w:p>
    <w:p w14:paraId="0397BE46">
      <w:pPr>
        <w:pStyle w:val="12"/>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质疑项目的编号：</w:t>
      </w:r>
      <w:r>
        <w:rPr>
          <w:rFonts w:hint="eastAsia" w:ascii="宋体" w:hAnsi="宋体" w:eastAsia="宋体" w:cs="宋体"/>
          <w:color w:val="000000"/>
          <w:highlight w:val="none"/>
          <w:u w:val="single"/>
        </w:rPr>
        <w:t xml:space="preserve">                          </w:t>
      </w:r>
    </w:p>
    <w:p w14:paraId="7A4A40D7">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包号：</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0970CC8E">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采购人名称：</w:t>
      </w:r>
      <w:r>
        <w:rPr>
          <w:rFonts w:hint="eastAsia" w:ascii="宋体" w:hAnsi="宋体" w:eastAsia="宋体" w:cs="宋体"/>
          <w:color w:val="000000"/>
          <w:highlight w:val="none"/>
          <w:u w:val="single"/>
        </w:rPr>
        <w:t xml:space="preserve">                            </w:t>
      </w:r>
    </w:p>
    <w:p w14:paraId="1D5C8522">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采购文件获取日期：</w:t>
      </w:r>
      <w:r>
        <w:rPr>
          <w:rFonts w:hint="eastAsia" w:ascii="宋体" w:hAnsi="宋体" w:eastAsia="宋体" w:cs="宋体"/>
          <w:color w:val="000000"/>
          <w:highlight w:val="none"/>
          <w:u w:val="single"/>
        </w:rPr>
        <w:t xml:space="preserve">                             </w:t>
      </w:r>
    </w:p>
    <w:p w14:paraId="2348ECEC">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三、质疑事项具体内容</w:t>
      </w:r>
    </w:p>
    <w:p w14:paraId="341A2BA9">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质疑事项1：</w:t>
      </w:r>
      <w:r>
        <w:rPr>
          <w:rFonts w:hint="eastAsia" w:ascii="宋体" w:hAnsi="宋体" w:eastAsia="宋体" w:cs="宋体"/>
          <w:color w:val="000000"/>
          <w:highlight w:val="none"/>
          <w:u w:val="single"/>
        </w:rPr>
        <w:t xml:space="preserve">                             </w:t>
      </w:r>
    </w:p>
    <w:p w14:paraId="4DC919AC">
      <w:pPr>
        <w:pStyle w:val="12"/>
        <w:spacing w:beforeAutospacing="0" w:afterAutospacing="0" w:line="360" w:lineRule="auto"/>
        <w:rPr>
          <w:rFonts w:ascii="宋体" w:hAnsi="宋体" w:eastAsia="宋体" w:cs="宋体"/>
          <w:highlight w:val="none"/>
        </w:rPr>
      </w:pPr>
      <w:r>
        <w:rPr>
          <w:rFonts w:hint="eastAsia" w:ascii="宋体" w:hAnsi="宋体" w:eastAsia="宋体" w:cs="宋体"/>
          <w:color w:val="000000"/>
          <w:highlight w:val="none"/>
        </w:rPr>
        <w:t>事实依据：</w:t>
      </w:r>
      <w:r>
        <w:rPr>
          <w:rFonts w:hint="eastAsia" w:ascii="宋体" w:hAnsi="宋体" w:eastAsia="宋体" w:cs="宋体"/>
          <w:color w:val="000000"/>
          <w:highlight w:val="none"/>
          <w:u w:val="single"/>
        </w:rPr>
        <w:t xml:space="preserve">                                                   </w:t>
      </w:r>
    </w:p>
    <w:p w14:paraId="1B63C958">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法律依据：</w:t>
      </w:r>
      <w:r>
        <w:rPr>
          <w:rFonts w:hint="eastAsia" w:ascii="宋体" w:hAnsi="宋体" w:eastAsia="宋体" w:cs="宋体"/>
          <w:color w:val="000000"/>
          <w:highlight w:val="none"/>
          <w:u w:val="single"/>
        </w:rPr>
        <w:t xml:space="preserve">                                                    </w:t>
      </w:r>
    </w:p>
    <w:p w14:paraId="5B678B61">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质疑事项2</w:t>
      </w:r>
    </w:p>
    <w:p w14:paraId="70F6DAD1">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w:t>
      </w:r>
    </w:p>
    <w:p w14:paraId="45B07646">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四、与质疑事项相关的质疑请求</w:t>
      </w:r>
    </w:p>
    <w:p w14:paraId="7F808E85">
      <w:pPr>
        <w:pStyle w:val="12"/>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请求：</w:t>
      </w:r>
      <w:r>
        <w:rPr>
          <w:rFonts w:hint="eastAsia" w:ascii="宋体" w:hAnsi="宋体" w:eastAsia="宋体" w:cs="宋体"/>
          <w:color w:val="000000"/>
          <w:highlight w:val="none"/>
          <w:u w:val="single"/>
        </w:rPr>
        <w:t xml:space="preserve">                                                          </w:t>
      </w:r>
    </w:p>
    <w:p w14:paraId="40050A41">
      <w:pPr>
        <w:pStyle w:val="12"/>
        <w:spacing w:beforeAutospacing="0" w:afterAutospacing="0"/>
        <w:jc w:val="both"/>
        <w:rPr>
          <w:rFonts w:ascii="宋体" w:hAnsi="宋体" w:eastAsia="宋体" w:cs="宋体"/>
          <w:highlight w:val="none"/>
        </w:rPr>
      </w:pPr>
      <w:r>
        <w:rPr>
          <w:rFonts w:hint="eastAsia" w:ascii="宋体" w:hAnsi="宋体" w:eastAsia="宋体" w:cs="宋体"/>
          <w:color w:val="000000"/>
          <w:highlight w:val="none"/>
        </w:rPr>
        <w:t xml:space="preserve">签字(签章)：                 公章：               日期：    </w:t>
      </w:r>
    </w:p>
    <w:p w14:paraId="11825512">
      <w:pPr>
        <w:pStyle w:val="12"/>
        <w:spacing w:beforeAutospacing="0" w:afterAutospacing="0" w:line="0" w:lineRule="atLeast"/>
        <w:jc w:val="both"/>
        <w:rPr>
          <w:rFonts w:ascii="宋体" w:hAnsi="宋体" w:eastAsia="宋体" w:cs="宋体"/>
          <w:highlight w:val="none"/>
        </w:rPr>
      </w:pPr>
      <w:r>
        <w:rPr>
          <w:rFonts w:hint="eastAsia" w:ascii="宋体" w:hAnsi="宋体" w:eastAsia="宋体" w:cs="宋体"/>
          <w:b/>
          <w:color w:val="000000"/>
          <w:highlight w:val="none"/>
        </w:rPr>
        <w:t>质疑函制作说明：</w:t>
      </w:r>
    </w:p>
    <w:p w14:paraId="34088468">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1.供应商提出质疑时，应提交质疑函和必要的证明材料。</w:t>
      </w:r>
    </w:p>
    <w:p w14:paraId="70C13375">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AF101E">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3.质疑供应商若对项目的某一分包进行质疑，质疑函中应列明具体分包号。</w:t>
      </w:r>
    </w:p>
    <w:p w14:paraId="03E27C35">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4.质疑函的质疑事项应具体、明确，并有必要的事实依据和法律依据。</w:t>
      </w:r>
    </w:p>
    <w:p w14:paraId="5AC2D3E3">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5.质疑函的质疑请求应与质疑事项相关。</w:t>
      </w:r>
    </w:p>
    <w:p w14:paraId="61A83DDE">
      <w:pPr>
        <w:pStyle w:val="12"/>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6.质疑供应商为自然人的，质疑函应由本人签字；质疑供应商为法人或者其他组织的，质疑函应由法定代表人、主要负责人，或者其授权代表签字或者盖章，并加盖公章。</w:t>
      </w:r>
    </w:p>
    <w:p w14:paraId="7B64E593">
      <w:pPr>
        <w:pStyle w:val="12"/>
        <w:spacing w:beforeAutospacing="0" w:afterAutospacing="0"/>
        <w:ind w:firstLine="420"/>
        <w:jc w:val="both"/>
        <w:rPr>
          <w:rFonts w:ascii="宋体" w:hAnsi="宋体" w:eastAsia="宋体" w:cs="宋体"/>
          <w:highlight w:val="none"/>
        </w:rPr>
      </w:pPr>
      <w:r>
        <w:rPr>
          <w:rFonts w:hint="eastAsia" w:ascii="宋体" w:hAnsi="宋体" w:eastAsia="宋体" w:cs="宋体"/>
          <w:highlight w:val="none"/>
        </w:rPr>
        <w:t> </w:t>
      </w:r>
    </w:p>
    <w:p w14:paraId="21C2DE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Unicode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9897A"/>
    <w:multiLevelType w:val="multilevel"/>
    <w:tmpl w:val="84A9897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FBE3CAB"/>
    <w:multiLevelType w:val="multilevel"/>
    <w:tmpl w:val="AFBE3CA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129E532"/>
    <w:multiLevelType w:val="multilevel"/>
    <w:tmpl w:val="E129E53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3)"/>
      <w:lvlJc w:val="left"/>
      <w:pPr>
        <w:ind w:left="709" w:hanging="709"/>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E2EC5676"/>
    <w:multiLevelType w:val="multilevel"/>
    <w:tmpl w:val="E2EC567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3)"/>
      <w:lvlJc w:val="left"/>
      <w:pPr>
        <w:ind w:left="1276" w:hanging="709"/>
      </w:pPr>
      <w:rPr>
        <w:rFonts w:hint="default"/>
        <w:b w:val="0"/>
        <w:bCs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F6E7802E"/>
    <w:multiLevelType w:val="multilevel"/>
    <w:tmpl w:val="F6E7802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3)"/>
      <w:lvlJc w:val="left"/>
      <w:pPr>
        <w:ind w:left="709" w:hanging="709"/>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5F11D31"/>
    <w:multiLevelType w:val="multilevel"/>
    <w:tmpl w:val="05F11D3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77410E8"/>
    <w:multiLevelType w:val="multilevel"/>
    <w:tmpl w:val="077410E8"/>
    <w:lvl w:ilvl="0" w:tentative="0">
      <w:start w:val="1"/>
      <w:numFmt w:val="decimal"/>
      <w:suff w:val="space"/>
      <w:lvlText w:val="(%1)"/>
      <w:lvlJc w:val="left"/>
      <w:pPr>
        <w:ind w:left="0" w:firstLine="48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091C27DD"/>
    <w:multiLevelType w:val="multilevel"/>
    <w:tmpl w:val="091C27DD"/>
    <w:lvl w:ilvl="0" w:tentative="0">
      <w:start w:val="1"/>
      <w:numFmt w:val="decimal"/>
      <w:lvlText w:val="（%1）"/>
      <w:lvlJc w:val="left"/>
      <w:pPr>
        <w:ind w:left="420" w:hanging="420"/>
      </w:pPr>
      <w:rPr>
        <w:rFonts w:hint="default" w:ascii="Times New Roman" w:hAnsi="Times New Roman"/>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8">
    <w:nsid w:val="0FD509EF"/>
    <w:multiLevelType w:val="multilevel"/>
    <w:tmpl w:val="0FD509EF"/>
    <w:lvl w:ilvl="0" w:tentative="0">
      <w:start w:val="1"/>
      <w:numFmt w:val="decimal"/>
      <w:lvlText w:val="%1"/>
      <w:lvlJc w:val="left"/>
      <w:pPr>
        <w:ind w:left="425" w:hanging="425"/>
      </w:pPr>
      <w:rPr>
        <w:rFonts w:hint="eastAsia"/>
      </w:rPr>
    </w:lvl>
    <w:lvl w:ilvl="1" w:tentative="0">
      <w:start w:val="1"/>
      <w:numFmt w:val="decimal"/>
      <w:pStyle w:val="20"/>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170" w:hanging="170"/>
      </w:pPr>
      <w:rPr>
        <w:rFonts w:hint="eastAsia"/>
      </w:rPr>
    </w:lvl>
  </w:abstractNum>
  <w:abstractNum w:abstractNumId="9">
    <w:nsid w:val="10914534"/>
    <w:multiLevelType w:val="multilevel"/>
    <w:tmpl w:val="1091453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6267550"/>
    <w:multiLevelType w:val="multilevel"/>
    <w:tmpl w:val="1626755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74736DA"/>
    <w:multiLevelType w:val="multilevel"/>
    <w:tmpl w:val="174736D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1C5C2251"/>
    <w:multiLevelType w:val="multilevel"/>
    <w:tmpl w:val="1C5C2251"/>
    <w:lvl w:ilvl="0" w:tentative="0">
      <w:start w:val="1"/>
      <w:numFmt w:val="decimal"/>
      <w:lvlText w:val="（%1）"/>
      <w:lvlJc w:val="left"/>
      <w:pPr>
        <w:ind w:left="987" w:hanging="420"/>
      </w:pPr>
      <w:rPr>
        <w:rFonts w:hint="eastAsia"/>
      </w:rPr>
    </w:lvl>
    <w:lvl w:ilvl="1" w:tentative="0">
      <w:start w:val="1"/>
      <w:numFmt w:val="decimal"/>
      <w:lvlText w:val="(%2)"/>
      <w:lvlJc w:val="left"/>
      <w:pPr>
        <w:ind w:left="1740" w:hanging="84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C911AB3"/>
    <w:multiLevelType w:val="multilevel"/>
    <w:tmpl w:val="1C911AB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1F3C7215"/>
    <w:multiLevelType w:val="multilevel"/>
    <w:tmpl w:val="1F3C7215"/>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15">
    <w:nsid w:val="20F475CC"/>
    <w:multiLevelType w:val="multilevel"/>
    <w:tmpl w:val="20F475CC"/>
    <w:lvl w:ilvl="0" w:tentative="0">
      <w:start w:val="1"/>
      <w:numFmt w:val="decimal"/>
      <w:lvlText w:val="（%1）"/>
      <w:lvlJc w:val="left"/>
      <w:pPr>
        <w:ind w:left="420" w:hanging="420"/>
      </w:pPr>
      <w:rPr>
        <w:rFonts w:hint="default" w:ascii="Times New Roman" w:hAnsi="Times New Roman"/>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16">
    <w:nsid w:val="24B26ABA"/>
    <w:multiLevelType w:val="multilevel"/>
    <w:tmpl w:val="24B26AB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250D13A9"/>
    <w:multiLevelType w:val="multilevel"/>
    <w:tmpl w:val="250D13A9"/>
    <w:lvl w:ilvl="0" w:tentative="0">
      <w:start w:val="1"/>
      <w:numFmt w:val="decimal"/>
      <w:lvlText w:val="（%1）"/>
      <w:lvlJc w:val="left"/>
      <w:pPr>
        <w:ind w:left="420" w:hanging="420"/>
      </w:pPr>
      <w:rPr>
        <w:rFonts w:hint="default" w:ascii="Times New Roman" w:hAnsi="Times New Roman"/>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18">
    <w:nsid w:val="26FC3F7A"/>
    <w:multiLevelType w:val="multilevel"/>
    <w:tmpl w:val="26FC3F7A"/>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ascii="宋体" w:hAnsi="宋体" w:eastAsia="宋体"/>
      </w:rPr>
    </w:lvl>
    <w:lvl w:ilvl="2" w:tentative="0">
      <w:start w:val="1"/>
      <w:numFmt w:val="decimal"/>
      <w:suff w:val="space"/>
      <w:lvlText w:val="(%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19">
    <w:nsid w:val="29C24402"/>
    <w:multiLevelType w:val="multilevel"/>
    <w:tmpl w:val="29C2440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lang w:val="en-US"/>
      </w:rPr>
    </w:lvl>
    <w:lvl w:ilvl="2" w:tentative="0">
      <w:start w:val="1"/>
      <w:numFmt w:val="decimal"/>
      <w:lvlText w:val="%1.%2.%3."/>
      <w:lvlJc w:val="left"/>
      <w:pPr>
        <w:ind w:left="709" w:hanging="709"/>
      </w:pPr>
      <w:rPr>
        <w:rFonts w:hint="eastAsia"/>
      </w:rPr>
    </w:lvl>
    <w:lvl w:ilvl="3" w:tentative="0">
      <w:start w:val="1"/>
      <w:numFmt w:val="decimal"/>
      <w:lvlText w:val="%1.2.2.%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32897268"/>
    <w:multiLevelType w:val="multilevel"/>
    <w:tmpl w:val="32897268"/>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eastAsia="宋体" w:cs="Times New Roman"/>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21">
    <w:nsid w:val="33C42853"/>
    <w:multiLevelType w:val="multilevel"/>
    <w:tmpl w:val="33C4285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3998382F"/>
    <w:multiLevelType w:val="multilevel"/>
    <w:tmpl w:val="3998382F"/>
    <w:lvl w:ilvl="0" w:tentative="0">
      <w:start w:val="1"/>
      <w:numFmt w:val="chineseCountingThousand"/>
      <w:pStyle w:val="4"/>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3D040829"/>
    <w:multiLevelType w:val="multilevel"/>
    <w:tmpl w:val="3D04082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3E05074E"/>
    <w:multiLevelType w:val="multilevel"/>
    <w:tmpl w:val="3E05074E"/>
    <w:lvl w:ilvl="0" w:tentative="0">
      <w:start w:val="1"/>
      <w:numFmt w:val="decimal"/>
      <w:lvlText w:val="（%1）"/>
      <w:lvlJc w:val="left"/>
      <w:pPr>
        <w:ind w:left="900" w:hanging="420"/>
      </w:pPr>
      <w:rPr>
        <w:rFonts w:hint="default" w:ascii="Times New Roman" w:hAnsi="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40901D81"/>
    <w:multiLevelType w:val="multilevel"/>
    <w:tmpl w:val="40901D81"/>
    <w:lvl w:ilvl="0" w:tentative="0">
      <w:start w:val="1"/>
      <w:numFmt w:val="decimal"/>
      <w:lvlText w:val="（%1）"/>
      <w:lvlJc w:val="left"/>
      <w:pPr>
        <w:ind w:left="420" w:hanging="420"/>
      </w:pPr>
      <w:rPr>
        <w:rFonts w:hint="default" w:ascii="Times New Roman" w:hAnsi="Times New Roman"/>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26">
    <w:nsid w:val="41453B2C"/>
    <w:multiLevelType w:val="multilevel"/>
    <w:tmpl w:val="41453B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220631C"/>
    <w:multiLevelType w:val="singleLevel"/>
    <w:tmpl w:val="4220631C"/>
    <w:lvl w:ilvl="0" w:tentative="0">
      <w:start w:val="3"/>
      <w:numFmt w:val="decimal"/>
      <w:lvlText w:val="%1."/>
      <w:lvlJc w:val="left"/>
      <w:pPr>
        <w:tabs>
          <w:tab w:val="left" w:pos="312"/>
        </w:tabs>
      </w:pPr>
    </w:lvl>
  </w:abstractNum>
  <w:abstractNum w:abstractNumId="28">
    <w:nsid w:val="436E131C"/>
    <w:multiLevelType w:val="multilevel"/>
    <w:tmpl w:val="436E131C"/>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9">
    <w:nsid w:val="44E831BE"/>
    <w:multiLevelType w:val="multilevel"/>
    <w:tmpl w:val="44E831BE"/>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1265" w:hanging="420"/>
      </w:pPr>
      <w:rPr>
        <w:rFonts w:hint="default" w:ascii="Times New Roman" w:hAnsi="Times New Roman" w:cs="Times New Roman"/>
      </w:rPr>
    </w:lvl>
    <w:lvl w:ilvl="2" w:tentative="0">
      <w:start w:val="1"/>
      <w:numFmt w:val="lowerRoman"/>
      <w:lvlText w:val="%3."/>
      <w:lvlJc w:val="right"/>
      <w:pPr>
        <w:ind w:left="1685" w:hanging="420"/>
      </w:pPr>
      <w:rPr>
        <w:rFonts w:hint="default" w:ascii="Times New Roman" w:hAnsi="Times New Roman" w:cs="Times New Roman"/>
      </w:rPr>
    </w:lvl>
    <w:lvl w:ilvl="3" w:tentative="0">
      <w:start w:val="1"/>
      <w:numFmt w:val="decimal"/>
      <w:lvlText w:val="%4."/>
      <w:lvlJc w:val="left"/>
      <w:pPr>
        <w:ind w:left="2105" w:hanging="420"/>
      </w:pPr>
      <w:rPr>
        <w:rFonts w:hint="default" w:ascii="Times New Roman" w:hAnsi="Times New Roman" w:cs="Times New Roman"/>
      </w:rPr>
    </w:lvl>
    <w:lvl w:ilvl="4" w:tentative="0">
      <w:start w:val="1"/>
      <w:numFmt w:val="lowerLetter"/>
      <w:lvlText w:val="%5)"/>
      <w:lvlJc w:val="left"/>
      <w:pPr>
        <w:ind w:left="2525" w:hanging="420"/>
      </w:pPr>
      <w:rPr>
        <w:rFonts w:hint="default" w:ascii="Times New Roman" w:hAnsi="Times New Roman" w:cs="Times New Roman"/>
      </w:rPr>
    </w:lvl>
    <w:lvl w:ilvl="5" w:tentative="0">
      <w:start w:val="1"/>
      <w:numFmt w:val="lowerRoman"/>
      <w:lvlText w:val="%6."/>
      <w:lvlJc w:val="right"/>
      <w:pPr>
        <w:ind w:left="2945" w:hanging="420"/>
      </w:pPr>
      <w:rPr>
        <w:rFonts w:hint="default" w:ascii="Times New Roman" w:hAnsi="Times New Roman" w:cs="Times New Roman"/>
      </w:rPr>
    </w:lvl>
    <w:lvl w:ilvl="6" w:tentative="0">
      <w:start w:val="1"/>
      <w:numFmt w:val="decimal"/>
      <w:lvlText w:val="%7."/>
      <w:lvlJc w:val="left"/>
      <w:pPr>
        <w:ind w:left="3365" w:hanging="420"/>
      </w:pPr>
      <w:rPr>
        <w:rFonts w:hint="default" w:ascii="Times New Roman" w:hAnsi="Times New Roman" w:cs="Times New Roman"/>
      </w:rPr>
    </w:lvl>
    <w:lvl w:ilvl="7" w:tentative="0">
      <w:start w:val="1"/>
      <w:numFmt w:val="lowerLetter"/>
      <w:lvlText w:val="%8)"/>
      <w:lvlJc w:val="left"/>
      <w:pPr>
        <w:ind w:left="3785" w:hanging="420"/>
      </w:pPr>
      <w:rPr>
        <w:rFonts w:hint="default" w:ascii="Times New Roman" w:hAnsi="Times New Roman" w:cs="Times New Roman"/>
      </w:rPr>
    </w:lvl>
    <w:lvl w:ilvl="8" w:tentative="0">
      <w:start w:val="1"/>
      <w:numFmt w:val="lowerRoman"/>
      <w:lvlText w:val="%9."/>
      <w:lvlJc w:val="right"/>
      <w:pPr>
        <w:ind w:left="4205" w:hanging="420"/>
      </w:pPr>
      <w:rPr>
        <w:rFonts w:hint="default" w:ascii="Times New Roman" w:hAnsi="Times New Roman" w:cs="Times New Roman"/>
      </w:rPr>
    </w:lvl>
  </w:abstractNum>
  <w:abstractNum w:abstractNumId="30">
    <w:nsid w:val="45870810"/>
    <w:multiLevelType w:val="multilevel"/>
    <w:tmpl w:val="45870810"/>
    <w:lvl w:ilvl="0" w:tentative="0">
      <w:start w:val="1"/>
      <w:numFmt w:val="decimal"/>
      <w:lvlText w:val="（%1）"/>
      <w:lvlJc w:val="left"/>
      <w:pPr>
        <w:ind w:left="987" w:hanging="420"/>
      </w:pPr>
    </w:lvl>
    <w:lvl w:ilvl="1" w:tentative="0">
      <w:start w:val="1"/>
      <w:numFmt w:val="decimal"/>
      <w:lvlText w:val="(%2)"/>
      <w:lvlJc w:val="left"/>
      <w:pPr>
        <w:ind w:left="1740" w:hanging="84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51FC97D8"/>
    <w:multiLevelType w:val="singleLevel"/>
    <w:tmpl w:val="51FC97D8"/>
    <w:lvl w:ilvl="0" w:tentative="0">
      <w:start w:val="5"/>
      <w:numFmt w:val="decimal"/>
      <w:suff w:val="nothing"/>
      <w:lvlText w:val="%1、"/>
      <w:lvlJc w:val="left"/>
    </w:lvl>
  </w:abstractNum>
  <w:abstractNum w:abstractNumId="32">
    <w:nsid w:val="56320151"/>
    <w:multiLevelType w:val="multilevel"/>
    <w:tmpl w:val="56320151"/>
    <w:lvl w:ilvl="0" w:tentative="0">
      <w:start w:val="1"/>
      <w:numFmt w:val="decimal"/>
      <w:lvlText w:val="（%1）"/>
      <w:lvlJc w:val="left"/>
      <w:pPr>
        <w:ind w:left="420" w:hanging="420"/>
      </w:pPr>
      <w:rPr>
        <w:rFonts w:hint="default" w:ascii="Times New Roman" w:hAnsi="Times New Roman"/>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33">
    <w:nsid w:val="5758175F"/>
    <w:multiLevelType w:val="multilevel"/>
    <w:tmpl w:val="5758175F"/>
    <w:lvl w:ilvl="0" w:tentative="0">
      <w:start w:val="1"/>
      <w:numFmt w:val="decimal"/>
      <w:lvlText w:val="(%1)"/>
      <w:lvlJc w:val="left"/>
      <w:pPr>
        <w:ind w:left="0" w:firstLine="480"/>
      </w:pPr>
      <w:rPr>
        <w:rFonts w:hint="default"/>
      </w:rPr>
    </w:lvl>
    <w:lvl w:ilvl="1" w:tentative="0">
      <w:start w:val="1"/>
      <w:numFmt w:val="lowerLetter"/>
      <w:lvlText w:val="%2)"/>
      <w:lvlJc w:val="left"/>
      <w:pPr>
        <w:ind w:left="1320" w:hanging="420"/>
      </w:pPr>
      <w:rPr>
        <w:rFonts w:hint="eastAsia" w:ascii="宋体" w:hAnsi="宋体" w:eastAsia="宋体"/>
      </w:rPr>
    </w:lvl>
    <w:lvl w:ilvl="2" w:tentative="0">
      <w:start w:val="1"/>
      <w:numFmt w:val="lowerRoman"/>
      <w:lvlText w:val="%3."/>
      <w:lvlJc w:val="right"/>
      <w:pPr>
        <w:ind w:left="1740" w:hanging="420"/>
      </w:pPr>
      <w:rPr>
        <w:rFonts w:hint="eastAsia" w:ascii="宋体" w:hAnsi="宋体" w:eastAsia="宋体"/>
      </w:rPr>
    </w:lvl>
    <w:lvl w:ilvl="3" w:tentative="0">
      <w:start w:val="1"/>
      <w:numFmt w:val="decimal"/>
      <w:lvlText w:val="%4."/>
      <w:lvlJc w:val="left"/>
      <w:pPr>
        <w:ind w:left="2160" w:hanging="420"/>
      </w:pPr>
      <w:rPr>
        <w:rFonts w:hint="eastAsia" w:ascii="宋体" w:hAnsi="宋体" w:eastAsia="宋体"/>
      </w:rPr>
    </w:lvl>
    <w:lvl w:ilvl="4" w:tentative="0">
      <w:start w:val="1"/>
      <w:numFmt w:val="lowerLetter"/>
      <w:lvlText w:val="%5)"/>
      <w:lvlJc w:val="left"/>
      <w:pPr>
        <w:ind w:left="2580" w:hanging="420"/>
      </w:pPr>
      <w:rPr>
        <w:rFonts w:hint="eastAsia" w:ascii="宋体" w:hAnsi="宋体" w:eastAsia="宋体"/>
      </w:rPr>
    </w:lvl>
    <w:lvl w:ilvl="5" w:tentative="0">
      <w:start w:val="1"/>
      <w:numFmt w:val="lowerRoman"/>
      <w:lvlText w:val="%6."/>
      <w:lvlJc w:val="right"/>
      <w:pPr>
        <w:ind w:left="3000" w:hanging="420"/>
      </w:pPr>
      <w:rPr>
        <w:rFonts w:hint="eastAsia" w:ascii="宋体" w:hAnsi="宋体" w:eastAsia="宋体"/>
      </w:rPr>
    </w:lvl>
    <w:lvl w:ilvl="6" w:tentative="0">
      <w:start w:val="1"/>
      <w:numFmt w:val="decimal"/>
      <w:lvlText w:val="%7."/>
      <w:lvlJc w:val="left"/>
      <w:pPr>
        <w:ind w:left="3420" w:hanging="420"/>
      </w:pPr>
      <w:rPr>
        <w:rFonts w:hint="eastAsia" w:ascii="宋体" w:hAnsi="宋体" w:eastAsia="宋体"/>
      </w:rPr>
    </w:lvl>
    <w:lvl w:ilvl="7" w:tentative="0">
      <w:start w:val="1"/>
      <w:numFmt w:val="lowerLetter"/>
      <w:lvlText w:val="%8)"/>
      <w:lvlJc w:val="left"/>
      <w:pPr>
        <w:ind w:left="3840" w:hanging="420"/>
      </w:pPr>
      <w:rPr>
        <w:rFonts w:hint="eastAsia" w:ascii="宋体" w:hAnsi="宋体" w:eastAsia="宋体"/>
      </w:rPr>
    </w:lvl>
    <w:lvl w:ilvl="8" w:tentative="0">
      <w:start w:val="1"/>
      <w:numFmt w:val="lowerRoman"/>
      <w:lvlText w:val="%9."/>
      <w:lvlJc w:val="right"/>
      <w:pPr>
        <w:ind w:left="4260" w:hanging="420"/>
      </w:pPr>
      <w:rPr>
        <w:rFonts w:hint="eastAsia" w:ascii="宋体" w:hAnsi="宋体" w:eastAsia="宋体"/>
      </w:rPr>
    </w:lvl>
  </w:abstractNum>
  <w:abstractNum w:abstractNumId="34">
    <w:nsid w:val="5A32B28A"/>
    <w:multiLevelType w:val="singleLevel"/>
    <w:tmpl w:val="5A32B28A"/>
    <w:lvl w:ilvl="0" w:tentative="0">
      <w:start w:val="1"/>
      <w:numFmt w:val="decimal"/>
      <w:suff w:val="nothing"/>
      <w:lvlText w:val="%1、"/>
      <w:lvlJc w:val="left"/>
    </w:lvl>
  </w:abstractNum>
  <w:abstractNum w:abstractNumId="35">
    <w:nsid w:val="5A7B68D0"/>
    <w:multiLevelType w:val="multilevel"/>
    <w:tmpl w:val="5A7B68D0"/>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6">
    <w:nsid w:val="5AA36C44"/>
    <w:multiLevelType w:val="multilevel"/>
    <w:tmpl w:val="5AA36C4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602E086C"/>
    <w:multiLevelType w:val="multilevel"/>
    <w:tmpl w:val="602E086C"/>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3)"/>
      <w:lvlJc w:val="left"/>
      <w:pPr>
        <w:ind w:left="709" w:hanging="709"/>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603924D2"/>
    <w:multiLevelType w:val="multilevel"/>
    <w:tmpl w:val="603924D2"/>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66290C55"/>
    <w:multiLevelType w:val="multilevel"/>
    <w:tmpl w:val="66290C55"/>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ascii="宋体" w:hAnsi="宋体" w:eastAsia="宋体"/>
      </w:rPr>
    </w:lvl>
    <w:lvl w:ilvl="2" w:tentative="0">
      <w:start w:val="1"/>
      <w:numFmt w:val="decimal"/>
      <w:suff w:val="space"/>
      <w:lvlText w:val="(%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40">
    <w:nsid w:val="6971AB14"/>
    <w:multiLevelType w:val="singleLevel"/>
    <w:tmpl w:val="6971AB14"/>
    <w:lvl w:ilvl="0" w:tentative="0">
      <w:start w:val="1"/>
      <w:numFmt w:val="decimal"/>
      <w:lvlText w:val="%1."/>
      <w:lvlJc w:val="left"/>
      <w:pPr>
        <w:ind w:left="425" w:hanging="425"/>
      </w:pPr>
      <w:rPr>
        <w:rFonts w:hint="default"/>
      </w:rPr>
    </w:lvl>
  </w:abstractNum>
  <w:abstractNum w:abstractNumId="41">
    <w:nsid w:val="6CDD1A32"/>
    <w:multiLevelType w:val="multilevel"/>
    <w:tmpl w:val="6CDD1A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0205150"/>
    <w:multiLevelType w:val="multilevel"/>
    <w:tmpl w:val="70205150"/>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43">
    <w:nsid w:val="75910118"/>
    <w:multiLevelType w:val="multilevel"/>
    <w:tmpl w:val="7591011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2"/>
  </w:num>
  <w:num w:numId="2">
    <w:abstractNumId w:val="8"/>
  </w:num>
  <w:num w:numId="3">
    <w:abstractNumId w:val="27"/>
  </w:num>
  <w:num w:numId="4">
    <w:abstractNumId w:val="31"/>
  </w:num>
  <w:num w:numId="5">
    <w:abstractNumId w:val="34"/>
  </w:num>
  <w:num w:numId="6">
    <w:abstractNumId w:val="41"/>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
  </w:num>
  <w:num w:numId="12">
    <w:abstractNumId w:val="3"/>
  </w:num>
  <w:num w:numId="13">
    <w:abstractNumId w:val="37"/>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lvlOverride w:ilvl="0">
      <w:lvl w:ilvl="0" w:tentative="1">
        <w:start w:val="1"/>
        <w:numFmt w:val="decimal"/>
        <w:suff w:val="space"/>
        <w:lvlText w:val="(%1)"/>
        <w:lvlJc w:val="left"/>
        <w:pPr>
          <w:ind w:left="0" w:firstLine="480"/>
        </w:pPr>
        <w:rPr>
          <w:rFonts w:hint="default"/>
        </w:rPr>
      </w:lvl>
    </w:lvlOverride>
    <w:lvlOverride w:ilvl="1">
      <w:lvl w:ilvl="1" w:tentative="1">
        <w:start w:val="1"/>
        <w:numFmt w:val="lowerLetter"/>
        <w:lvlText w:val="%2)"/>
        <w:lvlJc w:val="left"/>
        <w:pPr>
          <w:ind w:left="1320" w:hanging="420"/>
        </w:pPr>
        <w:rPr>
          <w:rFonts w:hint="eastAsia" w:ascii="宋体" w:hAnsi="宋体" w:eastAsia="宋体"/>
        </w:rPr>
      </w:lvl>
    </w:lvlOverride>
    <w:lvlOverride w:ilvl="2">
      <w:lvl w:ilvl="2" w:tentative="1">
        <w:start w:val="1"/>
        <w:numFmt w:val="lowerRoman"/>
        <w:lvlText w:val="%3."/>
        <w:lvlJc w:val="right"/>
        <w:pPr>
          <w:ind w:left="1740" w:hanging="420"/>
        </w:pPr>
        <w:rPr>
          <w:rFonts w:hint="eastAsia" w:ascii="宋体" w:hAnsi="宋体" w:eastAsia="宋体"/>
        </w:rPr>
      </w:lvl>
    </w:lvlOverride>
    <w:lvlOverride w:ilvl="3">
      <w:lvl w:ilvl="3" w:tentative="1">
        <w:start w:val="1"/>
        <w:numFmt w:val="decimal"/>
        <w:lvlText w:val="%4."/>
        <w:lvlJc w:val="left"/>
        <w:pPr>
          <w:ind w:left="2160" w:hanging="420"/>
        </w:pPr>
        <w:rPr>
          <w:rFonts w:hint="eastAsia" w:ascii="宋体" w:hAnsi="宋体" w:eastAsia="宋体"/>
        </w:rPr>
      </w:lvl>
    </w:lvlOverride>
    <w:lvlOverride w:ilvl="4">
      <w:lvl w:ilvl="4" w:tentative="1">
        <w:start w:val="1"/>
        <w:numFmt w:val="lowerLetter"/>
        <w:lvlText w:val="%5)"/>
        <w:lvlJc w:val="left"/>
        <w:pPr>
          <w:ind w:left="2580" w:hanging="420"/>
        </w:pPr>
        <w:rPr>
          <w:rFonts w:hint="eastAsia" w:ascii="宋体" w:hAnsi="宋体" w:eastAsia="宋体"/>
        </w:rPr>
      </w:lvl>
    </w:lvlOverride>
    <w:lvlOverride w:ilvl="5">
      <w:lvl w:ilvl="5" w:tentative="1">
        <w:start w:val="1"/>
        <w:numFmt w:val="lowerRoman"/>
        <w:lvlText w:val="%6."/>
        <w:lvlJc w:val="right"/>
        <w:pPr>
          <w:ind w:left="3000" w:hanging="420"/>
        </w:pPr>
        <w:rPr>
          <w:rFonts w:hint="eastAsia" w:ascii="宋体" w:hAnsi="宋体" w:eastAsia="宋体"/>
        </w:rPr>
      </w:lvl>
    </w:lvlOverride>
    <w:lvlOverride w:ilvl="6">
      <w:lvl w:ilvl="6" w:tentative="1">
        <w:start w:val="1"/>
        <w:numFmt w:val="decimal"/>
        <w:lvlText w:val="%7."/>
        <w:lvlJc w:val="left"/>
        <w:pPr>
          <w:ind w:left="3420" w:hanging="420"/>
        </w:pPr>
        <w:rPr>
          <w:rFonts w:hint="eastAsia" w:ascii="宋体" w:hAnsi="宋体" w:eastAsia="宋体"/>
        </w:rPr>
      </w:lvl>
    </w:lvlOverride>
    <w:lvlOverride w:ilvl="7">
      <w:lvl w:ilvl="7" w:tentative="1">
        <w:start w:val="1"/>
        <w:numFmt w:val="lowerLetter"/>
        <w:lvlText w:val="%8)"/>
        <w:lvlJc w:val="left"/>
        <w:pPr>
          <w:ind w:left="3840" w:hanging="420"/>
        </w:pPr>
        <w:rPr>
          <w:rFonts w:hint="eastAsia" w:ascii="宋体" w:hAnsi="宋体" w:eastAsia="宋体"/>
        </w:rPr>
      </w:lvl>
    </w:lvlOverride>
    <w:lvlOverride w:ilvl="8">
      <w:lvl w:ilvl="8" w:tentative="1">
        <w:start w:val="1"/>
        <w:numFmt w:val="lowerRoman"/>
        <w:lvlText w:val="%9."/>
        <w:lvlJc w:val="right"/>
        <w:pPr>
          <w:ind w:left="4260" w:hanging="420"/>
        </w:pPr>
        <w:rPr>
          <w:rFonts w:hint="eastAsia" w:ascii="宋体" w:hAnsi="宋体" w:eastAsia="宋体"/>
        </w:rPr>
      </w:lvl>
    </w:lvlOverride>
  </w:num>
  <w:num w:numId="19">
    <w:abstractNumId w:val="6"/>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0"/>
  </w:num>
  <w:num w:numId="29">
    <w:abstractNumId w:val="30"/>
  </w:num>
  <w:num w:numId="30">
    <w:abstractNumId w:val="40"/>
  </w:num>
  <w:num w:numId="31">
    <w:abstractNumId w:val="25"/>
  </w:num>
  <w:num w:numId="32">
    <w:abstractNumId w:val="24"/>
  </w:num>
  <w:num w:numId="33">
    <w:abstractNumId w:val="15"/>
  </w:num>
  <w:num w:numId="34">
    <w:abstractNumId w:val="7"/>
  </w:num>
  <w:num w:numId="35">
    <w:abstractNumId w:val="32"/>
  </w:num>
  <w:num w:numId="36">
    <w:abstractNumId w:val="17"/>
  </w:num>
  <w:num w:numId="37">
    <w:abstractNumId w:val="10"/>
  </w:num>
  <w:num w:numId="38">
    <w:abstractNumId w:val="23"/>
  </w:num>
  <w:num w:numId="39">
    <w:abstractNumId w:val="12"/>
  </w:num>
  <w:num w:numId="40">
    <w:abstractNumId w:val="38"/>
  </w:num>
  <w:num w:numId="41">
    <w:abstractNumId w:val="9"/>
  </w:num>
  <w:num w:numId="42">
    <w:abstractNumId w:val="16"/>
  </w:num>
  <w:num w:numId="43">
    <w:abstractNumId w:val="5"/>
  </w:num>
  <w:num w:numId="44">
    <w:abstractNumId w:val="2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jAyMTkwZmNhZDU1OGNjODgzMDE4YzlhNzBlZTEifQ=="/>
  </w:docVars>
  <w:rsids>
    <w:rsidRoot w:val="00172A27"/>
    <w:rsid w:val="00075369"/>
    <w:rsid w:val="00077137"/>
    <w:rsid w:val="00093DD2"/>
    <w:rsid w:val="00100CC0"/>
    <w:rsid w:val="00131CB1"/>
    <w:rsid w:val="00172A27"/>
    <w:rsid w:val="00177F0B"/>
    <w:rsid w:val="001A3225"/>
    <w:rsid w:val="001F4115"/>
    <w:rsid w:val="00215AA4"/>
    <w:rsid w:val="00251125"/>
    <w:rsid w:val="002E61F3"/>
    <w:rsid w:val="002F12F8"/>
    <w:rsid w:val="00393EF5"/>
    <w:rsid w:val="003C1A89"/>
    <w:rsid w:val="003C6894"/>
    <w:rsid w:val="0043276E"/>
    <w:rsid w:val="004529E6"/>
    <w:rsid w:val="00455E51"/>
    <w:rsid w:val="004670D5"/>
    <w:rsid w:val="00474047"/>
    <w:rsid w:val="00491F6E"/>
    <w:rsid w:val="004D3110"/>
    <w:rsid w:val="00502ACB"/>
    <w:rsid w:val="00520AC5"/>
    <w:rsid w:val="00552DFB"/>
    <w:rsid w:val="005E57E9"/>
    <w:rsid w:val="006932C0"/>
    <w:rsid w:val="006B6F15"/>
    <w:rsid w:val="007871B9"/>
    <w:rsid w:val="007A220C"/>
    <w:rsid w:val="007A7B98"/>
    <w:rsid w:val="007B1CF4"/>
    <w:rsid w:val="00817A96"/>
    <w:rsid w:val="0088127E"/>
    <w:rsid w:val="008B090D"/>
    <w:rsid w:val="008E4636"/>
    <w:rsid w:val="00935693"/>
    <w:rsid w:val="00A4304F"/>
    <w:rsid w:val="00A62079"/>
    <w:rsid w:val="00A70028"/>
    <w:rsid w:val="00A80AB0"/>
    <w:rsid w:val="00AA2A8E"/>
    <w:rsid w:val="00B07FD4"/>
    <w:rsid w:val="00B454C4"/>
    <w:rsid w:val="00BE692E"/>
    <w:rsid w:val="00BE787D"/>
    <w:rsid w:val="00C30C78"/>
    <w:rsid w:val="00C36D58"/>
    <w:rsid w:val="00C83D22"/>
    <w:rsid w:val="00C86C58"/>
    <w:rsid w:val="00CB578B"/>
    <w:rsid w:val="00D1282F"/>
    <w:rsid w:val="00D550E3"/>
    <w:rsid w:val="00D63F4B"/>
    <w:rsid w:val="00D93FCD"/>
    <w:rsid w:val="00E57898"/>
    <w:rsid w:val="00E6087B"/>
    <w:rsid w:val="00F130C8"/>
    <w:rsid w:val="00F264FD"/>
    <w:rsid w:val="00F33192"/>
    <w:rsid w:val="00F50207"/>
    <w:rsid w:val="00F8669E"/>
    <w:rsid w:val="00F957B2"/>
    <w:rsid w:val="00FC6132"/>
    <w:rsid w:val="00FE3C91"/>
    <w:rsid w:val="014036E0"/>
    <w:rsid w:val="01416DF2"/>
    <w:rsid w:val="015C3D17"/>
    <w:rsid w:val="01C209CB"/>
    <w:rsid w:val="02851591"/>
    <w:rsid w:val="02BD5381"/>
    <w:rsid w:val="02D505AD"/>
    <w:rsid w:val="03365B5E"/>
    <w:rsid w:val="034E4AD1"/>
    <w:rsid w:val="037E0789"/>
    <w:rsid w:val="03913FFC"/>
    <w:rsid w:val="04CF1FA6"/>
    <w:rsid w:val="056E5657"/>
    <w:rsid w:val="05AD05DE"/>
    <w:rsid w:val="05BD3D79"/>
    <w:rsid w:val="0621639E"/>
    <w:rsid w:val="062C42CE"/>
    <w:rsid w:val="06867FD2"/>
    <w:rsid w:val="068A6E34"/>
    <w:rsid w:val="06B12B65"/>
    <w:rsid w:val="06BD3726"/>
    <w:rsid w:val="073B7D67"/>
    <w:rsid w:val="07887E6F"/>
    <w:rsid w:val="07994E3B"/>
    <w:rsid w:val="07A02A3F"/>
    <w:rsid w:val="07A40F48"/>
    <w:rsid w:val="07F651C7"/>
    <w:rsid w:val="080A468F"/>
    <w:rsid w:val="0854758E"/>
    <w:rsid w:val="08992D34"/>
    <w:rsid w:val="08C86899"/>
    <w:rsid w:val="09132265"/>
    <w:rsid w:val="09D92A42"/>
    <w:rsid w:val="09FE79EC"/>
    <w:rsid w:val="0AB319EF"/>
    <w:rsid w:val="0ABC363A"/>
    <w:rsid w:val="0AD8294B"/>
    <w:rsid w:val="0B4B3B00"/>
    <w:rsid w:val="0B8A23C1"/>
    <w:rsid w:val="0BAE3813"/>
    <w:rsid w:val="0BFF003E"/>
    <w:rsid w:val="0C9413AC"/>
    <w:rsid w:val="0CFF0F1B"/>
    <w:rsid w:val="0D4D2FC1"/>
    <w:rsid w:val="0E0362D5"/>
    <w:rsid w:val="0E966A8C"/>
    <w:rsid w:val="0EB36461"/>
    <w:rsid w:val="0EE61CD2"/>
    <w:rsid w:val="0F0A004B"/>
    <w:rsid w:val="0F655282"/>
    <w:rsid w:val="0F6D24BC"/>
    <w:rsid w:val="0F7D537E"/>
    <w:rsid w:val="0FE97C61"/>
    <w:rsid w:val="10007707"/>
    <w:rsid w:val="11072A94"/>
    <w:rsid w:val="11AB711C"/>
    <w:rsid w:val="11EB7CC0"/>
    <w:rsid w:val="12F015A0"/>
    <w:rsid w:val="132711CC"/>
    <w:rsid w:val="13D157F4"/>
    <w:rsid w:val="143E4A1F"/>
    <w:rsid w:val="14477BA7"/>
    <w:rsid w:val="14480DBC"/>
    <w:rsid w:val="157923E7"/>
    <w:rsid w:val="162C6AF9"/>
    <w:rsid w:val="169263C8"/>
    <w:rsid w:val="16A61788"/>
    <w:rsid w:val="16AF4856"/>
    <w:rsid w:val="16FC471D"/>
    <w:rsid w:val="170045BA"/>
    <w:rsid w:val="172672BF"/>
    <w:rsid w:val="174D6D27"/>
    <w:rsid w:val="17666D47"/>
    <w:rsid w:val="176F0FD8"/>
    <w:rsid w:val="17732C32"/>
    <w:rsid w:val="18BC4109"/>
    <w:rsid w:val="18D23988"/>
    <w:rsid w:val="193260E4"/>
    <w:rsid w:val="19835197"/>
    <w:rsid w:val="1A1C3150"/>
    <w:rsid w:val="1A4F2C83"/>
    <w:rsid w:val="1AD2708F"/>
    <w:rsid w:val="1AD75285"/>
    <w:rsid w:val="1AE6196C"/>
    <w:rsid w:val="1B193AF0"/>
    <w:rsid w:val="1B5508A0"/>
    <w:rsid w:val="1B5F5046"/>
    <w:rsid w:val="1B9509DF"/>
    <w:rsid w:val="1BA002D8"/>
    <w:rsid w:val="1C493F61"/>
    <w:rsid w:val="1CAC4347"/>
    <w:rsid w:val="1D1C1092"/>
    <w:rsid w:val="1D605A5A"/>
    <w:rsid w:val="1D812873"/>
    <w:rsid w:val="1DE2466D"/>
    <w:rsid w:val="1DFD1285"/>
    <w:rsid w:val="1E4E1D03"/>
    <w:rsid w:val="1EC70509"/>
    <w:rsid w:val="1EE6018D"/>
    <w:rsid w:val="1F4A0271"/>
    <w:rsid w:val="1FC7762D"/>
    <w:rsid w:val="2000702C"/>
    <w:rsid w:val="205C376D"/>
    <w:rsid w:val="20677E3C"/>
    <w:rsid w:val="20733730"/>
    <w:rsid w:val="208C7BE8"/>
    <w:rsid w:val="209429D0"/>
    <w:rsid w:val="20A83FAF"/>
    <w:rsid w:val="20CE42A1"/>
    <w:rsid w:val="215025DE"/>
    <w:rsid w:val="21CC717D"/>
    <w:rsid w:val="22424AA4"/>
    <w:rsid w:val="228C104B"/>
    <w:rsid w:val="22934188"/>
    <w:rsid w:val="22F62B8A"/>
    <w:rsid w:val="23151041"/>
    <w:rsid w:val="23254D08"/>
    <w:rsid w:val="23534E2B"/>
    <w:rsid w:val="242C02D7"/>
    <w:rsid w:val="24533DC2"/>
    <w:rsid w:val="2532334D"/>
    <w:rsid w:val="26750FF7"/>
    <w:rsid w:val="27194423"/>
    <w:rsid w:val="27206206"/>
    <w:rsid w:val="27290FC5"/>
    <w:rsid w:val="280F2F92"/>
    <w:rsid w:val="28FE41FC"/>
    <w:rsid w:val="29345C52"/>
    <w:rsid w:val="2996274E"/>
    <w:rsid w:val="29BD7D3C"/>
    <w:rsid w:val="2A4648B7"/>
    <w:rsid w:val="2A9A62D0"/>
    <w:rsid w:val="2B005440"/>
    <w:rsid w:val="2BCA6741"/>
    <w:rsid w:val="2C03574A"/>
    <w:rsid w:val="2C0A4EA8"/>
    <w:rsid w:val="2C7B3B05"/>
    <w:rsid w:val="2CC277F5"/>
    <w:rsid w:val="2CEA709A"/>
    <w:rsid w:val="2D39592C"/>
    <w:rsid w:val="2E5E7AF7"/>
    <w:rsid w:val="2E9F2106"/>
    <w:rsid w:val="2EE73822"/>
    <w:rsid w:val="2FA80D19"/>
    <w:rsid w:val="2FAD4FD9"/>
    <w:rsid w:val="2FB346FB"/>
    <w:rsid w:val="2FFA5778"/>
    <w:rsid w:val="30495C84"/>
    <w:rsid w:val="30650005"/>
    <w:rsid w:val="310333AD"/>
    <w:rsid w:val="3126266B"/>
    <w:rsid w:val="31522189"/>
    <w:rsid w:val="318E0F10"/>
    <w:rsid w:val="31DB0550"/>
    <w:rsid w:val="32531113"/>
    <w:rsid w:val="325E1086"/>
    <w:rsid w:val="329E6CD8"/>
    <w:rsid w:val="32AE0B6A"/>
    <w:rsid w:val="33440753"/>
    <w:rsid w:val="334B4AB3"/>
    <w:rsid w:val="33773E42"/>
    <w:rsid w:val="34E14EA2"/>
    <w:rsid w:val="34E346A0"/>
    <w:rsid w:val="359B1151"/>
    <w:rsid w:val="35AD49A2"/>
    <w:rsid w:val="35BC534C"/>
    <w:rsid w:val="36172BC3"/>
    <w:rsid w:val="36721EAF"/>
    <w:rsid w:val="36CC7C95"/>
    <w:rsid w:val="36EB650A"/>
    <w:rsid w:val="378133A9"/>
    <w:rsid w:val="383A233E"/>
    <w:rsid w:val="39101F1B"/>
    <w:rsid w:val="392D7EB3"/>
    <w:rsid w:val="39720FC7"/>
    <w:rsid w:val="39987E7E"/>
    <w:rsid w:val="39A84137"/>
    <w:rsid w:val="39CD52E9"/>
    <w:rsid w:val="3A1C0AAF"/>
    <w:rsid w:val="3A64388F"/>
    <w:rsid w:val="3AB02FA5"/>
    <w:rsid w:val="3B0B043D"/>
    <w:rsid w:val="3B702E61"/>
    <w:rsid w:val="3B9710EF"/>
    <w:rsid w:val="3BDF2457"/>
    <w:rsid w:val="3BDF7FE6"/>
    <w:rsid w:val="3CC36DCD"/>
    <w:rsid w:val="3D23372C"/>
    <w:rsid w:val="3D6A4AAA"/>
    <w:rsid w:val="3DF80C94"/>
    <w:rsid w:val="3DFD4754"/>
    <w:rsid w:val="3E064F5A"/>
    <w:rsid w:val="3E161B6B"/>
    <w:rsid w:val="3E496B6B"/>
    <w:rsid w:val="3E7F5998"/>
    <w:rsid w:val="3F0056DB"/>
    <w:rsid w:val="3F0156C1"/>
    <w:rsid w:val="3F1A3023"/>
    <w:rsid w:val="3F243A9D"/>
    <w:rsid w:val="3FC26720"/>
    <w:rsid w:val="40260F22"/>
    <w:rsid w:val="40350295"/>
    <w:rsid w:val="406E1D8D"/>
    <w:rsid w:val="42053C57"/>
    <w:rsid w:val="42214BD9"/>
    <w:rsid w:val="42324DFA"/>
    <w:rsid w:val="42AF59D8"/>
    <w:rsid w:val="431353F3"/>
    <w:rsid w:val="43455446"/>
    <w:rsid w:val="4450382F"/>
    <w:rsid w:val="44DA072F"/>
    <w:rsid w:val="454D0F8E"/>
    <w:rsid w:val="45FC0A54"/>
    <w:rsid w:val="461D469A"/>
    <w:rsid w:val="466976E6"/>
    <w:rsid w:val="46D32596"/>
    <w:rsid w:val="46EA0CE7"/>
    <w:rsid w:val="470D4256"/>
    <w:rsid w:val="472208AE"/>
    <w:rsid w:val="47704C41"/>
    <w:rsid w:val="477F6C5D"/>
    <w:rsid w:val="47B925F3"/>
    <w:rsid w:val="48771F96"/>
    <w:rsid w:val="48910AEC"/>
    <w:rsid w:val="489D725F"/>
    <w:rsid w:val="48B3170D"/>
    <w:rsid w:val="493C7DE9"/>
    <w:rsid w:val="49D62B33"/>
    <w:rsid w:val="4A1E13B4"/>
    <w:rsid w:val="4A2C49B0"/>
    <w:rsid w:val="4A7D1B0F"/>
    <w:rsid w:val="4AAC50D1"/>
    <w:rsid w:val="4AFA44F5"/>
    <w:rsid w:val="4B0C37B9"/>
    <w:rsid w:val="4B944949"/>
    <w:rsid w:val="4BC33B49"/>
    <w:rsid w:val="4BD12EAB"/>
    <w:rsid w:val="4C5A2B74"/>
    <w:rsid w:val="4D2D20D9"/>
    <w:rsid w:val="4D317F76"/>
    <w:rsid w:val="4D3C69F8"/>
    <w:rsid w:val="4D784E5B"/>
    <w:rsid w:val="4DA074F7"/>
    <w:rsid w:val="4DA33F07"/>
    <w:rsid w:val="4DDE52C0"/>
    <w:rsid w:val="4EDD03B5"/>
    <w:rsid w:val="4F337FD5"/>
    <w:rsid w:val="4FC2427A"/>
    <w:rsid w:val="50A0169A"/>
    <w:rsid w:val="50A1397F"/>
    <w:rsid w:val="51C75DFE"/>
    <w:rsid w:val="52741FCB"/>
    <w:rsid w:val="52D06B10"/>
    <w:rsid w:val="52D52291"/>
    <w:rsid w:val="53112879"/>
    <w:rsid w:val="533D58C6"/>
    <w:rsid w:val="53536515"/>
    <w:rsid w:val="536B21BA"/>
    <w:rsid w:val="53A862CC"/>
    <w:rsid w:val="542645AC"/>
    <w:rsid w:val="542A0FDA"/>
    <w:rsid w:val="546C11F4"/>
    <w:rsid w:val="546E1AAF"/>
    <w:rsid w:val="54857525"/>
    <w:rsid w:val="54ED53D0"/>
    <w:rsid w:val="55091CCC"/>
    <w:rsid w:val="55C67DF5"/>
    <w:rsid w:val="55FA184D"/>
    <w:rsid w:val="56307253"/>
    <w:rsid w:val="56453199"/>
    <w:rsid w:val="566775A9"/>
    <w:rsid w:val="582F6DAB"/>
    <w:rsid w:val="58366D88"/>
    <w:rsid w:val="58977827"/>
    <w:rsid w:val="58AD45AF"/>
    <w:rsid w:val="58D4718C"/>
    <w:rsid w:val="59274DA4"/>
    <w:rsid w:val="599211F9"/>
    <w:rsid w:val="59A82CA5"/>
    <w:rsid w:val="5ABD109B"/>
    <w:rsid w:val="5AD514E8"/>
    <w:rsid w:val="5AD536B4"/>
    <w:rsid w:val="5AEA4CCC"/>
    <w:rsid w:val="5B031B11"/>
    <w:rsid w:val="5B2C4517"/>
    <w:rsid w:val="5B96574B"/>
    <w:rsid w:val="5C2A4141"/>
    <w:rsid w:val="5C5A652B"/>
    <w:rsid w:val="5D3E5EBD"/>
    <w:rsid w:val="5DDD75C3"/>
    <w:rsid w:val="5DE138D8"/>
    <w:rsid w:val="5E1921ED"/>
    <w:rsid w:val="5F7D5E8E"/>
    <w:rsid w:val="5F7F522A"/>
    <w:rsid w:val="5FD72BFF"/>
    <w:rsid w:val="601337BB"/>
    <w:rsid w:val="60D51B2B"/>
    <w:rsid w:val="615F10FE"/>
    <w:rsid w:val="617F2D1C"/>
    <w:rsid w:val="62312A9A"/>
    <w:rsid w:val="625A6299"/>
    <w:rsid w:val="6283706E"/>
    <w:rsid w:val="62A87E16"/>
    <w:rsid w:val="62CA561A"/>
    <w:rsid w:val="6313315F"/>
    <w:rsid w:val="637172BE"/>
    <w:rsid w:val="63CD6C1F"/>
    <w:rsid w:val="64360D3F"/>
    <w:rsid w:val="64A56430"/>
    <w:rsid w:val="65BB2793"/>
    <w:rsid w:val="667027CF"/>
    <w:rsid w:val="6688694C"/>
    <w:rsid w:val="66D41C46"/>
    <w:rsid w:val="670D4A21"/>
    <w:rsid w:val="67B6759E"/>
    <w:rsid w:val="67EFC287"/>
    <w:rsid w:val="67FA7D4C"/>
    <w:rsid w:val="68245589"/>
    <w:rsid w:val="68777DD2"/>
    <w:rsid w:val="69983CE0"/>
    <w:rsid w:val="6A1C1694"/>
    <w:rsid w:val="6A41603A"/>
    <w:rsid w:val="6A751DB0"/>
    <w:rsid w:val="6AB95533"/>
    <w:rsid w:val="6AD76551"/>
    <w:rsid w:val="6B037E0E"/>
    <w:rsid w:val="6BDD2B0A"/>
    <w:rsid w:val="6BDD37FB"/>
    <w:rsid w:val="6BDE41BB"/>
    <w:rsid w:val="6BF40AC7"/>
    <w:rsid w:val="6C5462A8"/>
    <w:rsid w:val="6C7041BF"/>
    <w:rsid w:val="6C917FD7"/>
    <w:rsid w:val="6CDC02FC"/>
    <w:rsid w:val="6DEE183F"/>
    <w:rsid w:val="6E57BAEC"/>
    <w:rsid w:val="6F3574FF"/>
    <w:rsid w:val="6F6F7A6D"/>
    <w:rsid w:val="6FBB0862"/>
    <w:rsid w:val="70F140CC"/>
    <w:rsid w:val="71BB7860"/>
    <w:rsid w:val="71C1726B"/>
    <w:rsid w:val="72440385"/>
    <w:rsid w:val="72CC236B"/>
    <w:rsid w:val="73761484"/>
    <w:rsid w:val="743F3C99"/>
    <w:rsid w:val="74835482"/>
    <w:rsid w:val="74877DC7"/>
    <w:rsid w:val="74DB35C2"/>
    <w:rsid w:val="75890D8F"/>
    <w:rsid w:val="75B043EA"/>
    <w:rsid w:val="76D90F68"/>
    <w:rsid w:val="77280C7C"/>
    <w:rsid w:val="77660E93"/>
    <w:rsid w:val="77A613DD"/>
    <w:rsid w:val="77BB58EB"/>
    <w:rsid w:val="77C1540B"/>
    <w:rsid w:val="783E7320"/>
    <w:rsid w:val="78C43643"/>
    <w:rsid w:val="78CB19C0"/>
    <w:rsid w:val="78E3713A"/>
    <w:rsid w:val="78F35EFE"/>
    <w:rsid w:val="78FF5669"/>
    <w:rsid w:val="793275BA"/>
    <w:rsid w:val="79A724F1"/>
    <w:rsid w:val="79B53B59"/>
    <w:rsid w:val="79C1605A"/>
    <w:rsid w:val="7A4B7878"/>
    <w:rsid w:val="7A6D100D"/>
    <w:rsid w:val="7B4231CA"/>
    <w:rsid w:val="7B946370"/>
    <w:rsid w:val="7C5F16F8"/>
    <w:rsid w:val="7C6929D9"/>
    <w:rsid w:val="7C9D3E10"/>
    <w:rsid w:val="7CAF2E48"/>
    <w:rsid w:val="7CB122FF"/>
    <w:rsid w:val="7DA05FAF"/>
    <w:rsid w:val="7DBA67DE"/>
    <w:rsid w:val="7DF53ACA"/>
    <w:rsid w:val="7DF7159A"/>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1"/>
      </w:numPr>
      <w:spacing w:before="120" w:after="120" w:line="240" w:lineRule="auto"/>
      <w:ind w:firstLineChars="0"/>
      <w:outlineLvl w:val="0"/>
    </w:pPr>
    <w:rPr>
      <w:b/>
      <w:bCs/>
      <w:kern w:val="44"/>
      <w:sz w:val="32"/>
      <w:szCs w:val="44"/>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9"/>
    <w:pPr>
      <w:keepNext/>
      <w:keepLines/>
      <w:numPr>
        <w:ilvl w:val="2"/>
        <w:numId w:val="1"/>
      </w:numPr>
      <w:spacing w:before="260" w:after="260" w:line="416" w:lineRule="auto"/>
      <w:ind w:firstLineChars="0"/>
      <w:outlineLvl w:val="2"/>
    </w:pPr>
    <w:rPr>
      <w:rFonts w:cs="Times New Roman"/>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cs="宋体"/>
      <w:sz w:val="21"/>
      <w:szCs w:val="21"/>
    </w:rPr>
  </w:style>
  <w:style w:type="paragraph" w:styleId="3">
    <w:name w:val="Body Text Indent"/>
    <w:basedOn w:val="1"/>
    <w:qFormat/>
    <w:uiPriority w:val="0"/>
    <w:pPr>
      <w:ind w:firstLine="645"/>
    </w:pPr>
    <w:rPr>
      <w:rFonts w:ascii="楷体_GB2312" w:eastAsia="楷体_GB2312"/>
      <w:sz w:val="32"/>
      <w:szCs w:val="20"/>
    </w:rPr>
  </w:style>
  <w:style w:type="paragraph" w:styleId="7">
    <w:name w:val="annotation text"/>
    <w:basedOn w:val="1"/>
    <w:autoRedefine/>
    <w:qFormat/>
    <w:uiPriority w:val="0"/>
    <w:pPr>
      <w:jc w:val="left"/>
    </w:pPr>
  </w:style>
  <w:style w:type="paragraph" w:styleId="8">
    <w:name w:val="Body Text"/>
    <w:basedOn w:val="1"/>
    <w:next w:val="1"/>
    <w:qFormat/>
    <w:uiPriority w:val="1"/>
    <w:pPr>
      <w:autoSpaceDE w:val="0"/>
      <w:autoSpaceDN w:val="0"/>
      <w:spacing w:line="240" w:lineRule="auto"/>
      <w:ind w:left="400" w:firstLine="0" w:firstLineChars="0"/>
      <w:jc w:val="left"/>
    </w:pPr>
    <w:rPr>
      <w:rFonts w:ascii="宋体" w:hAnsi="宋体" w:cs="宋体"/>
      <w:kern w:val="0"/>
      <w:szCs w:val="24"/>
    </w:r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envelope return"/>
    <w:basedOn w:val="1"/>
    <w:qFormat/>
    <w:uiPriority w:val="0"/>
    <w:rPr>
      <w:rFonts w:ascii="Arial" w:hAnsi="Arial"/>
    </w:rPr>
  </w:style>
  <w:style w:type="paragraph" w:styleId="11">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w:basedOn w:val="1"/>
    <w:next w:val="1"/>
    <w:qFormat/>
    <w:uiPriority w:val="0"/>
    <w:pPr>
      <w:spacing w:after="120"/>
      <w:ind w:firstLine="420" w:firstLineChars="100"/>
    </w:pPr>
    <w:rPr>
      <w:rFonts w:ascii="Times New Roman" w:hAnsi="Times New Roman" w:eastAsia="宋体"/>
      <w:spacing w:val="0"/>
      <w:sz w:val="21"/>
      <w:szCs w:val="24"/>
    </w:rPr>
  </w:style>
  <w:style w:type="character" w:customStyle="1" w:styleId="16">
    <w:name w:val="页眉 Char"/>
    <w:basedOn w:val="15"/>
    <w:link w:val="11"/>
    <w:autoRedefine/>
    <w:qFormat/>
    <w:uiPriority w:val="0"/>
    <w:rPr>
      <w:rFonts w:asciiTheme="minorHAnsi" w:hAnsiTheme="minorHAnsi" w:eastAsiaTheme="minorEastAsia" w:cstheme="minorBidi"/>
      <w:kern w:val="2"/>
      <w:sz w:val="18"/>
      <w:szCs w:val="18"/>
    </w:rPr>
  </w:style>
  <w:style w:type="character" w:customStyle="1" w:styleId="17">
    <w:name w:val="页脚 Char"/>
    <w:basedOn w:val="15"/>
    <w:link w:val="9"/>
    <w:autoRedefine/>
    <w:qFormat/>
    <w:uiPriority w:val="0"/>
    <w:rPr>
      <w:rFonts w:asciiTheme="minorHAnsi" w:hAnsiTheme="minorHAnsi" w:eastAsiaTheme="minorEastAsia" w:cstheme="minorBidi"/>
      <w:kern w:val="2"/>
      <w:sz w:val="18"/>
      <w:szCs w:val="18"/>
    </w:rPr>
  </w:style>
  <w:style w:type="paragraph" w:customStyle="1" w:styleId="18">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19">
    <w:name w:val="正文1"/>
    <w:autoRedefine/>
    <w:qFormat/>
    <w:uiPriority w:val="99"/>
    <w:pPr>
      <w:jc w:val="both"/>
    </w:pPr>
    <w:rPr>
      <w:rFonts w:ascii="Times New Roman" w:hAnsi="Times New Roman" w:eastAsia="宋体" w:cs="Times New Roman"/>
      <w:sz w:val="21"/>
      <w:szCs w:val="21"/>
      <w:lang w:val="en-US" w:eastAsia="zh-CN" w:bidi="ar-SA"/>
    </w:rPr>
  </w:style>
  <w:style w:type="paragraph" w:customStyle="1" w:styleId="20">
    <w:name w:val="M2"/>
    <w:basedOn w:val="1"/>
    <w:next w:val="1"/>
    <w:qFormat/>
    <w:uiPriority w:val="0"/>
    <w:pPr>
      <w:numPr>
        <w:ilvl w:val="1"/>
        <w:numId w:val="2"/>
      </w:numPr>
      <w:spacing w:before="50" w:beforeLines="50" w:after="50" w:afterLines="50" w:line="360" w:lineRule="auto"/>
      <w:ind w:left="0" w:hangingChars="202"/>
      <w:outlineLvl w:val="1"/>
    </w:pPr>
    <w:rPr>
      <w:rFonts w:eastAsia="黑体"/>
      <w:b/>
      <w:sz w:val="36"/>
      <w:szCs w:val="36"/>
    </w:rPr>
  </w:style>
  <w:style w:type="paragraph" w:customStyle="1" w:styleId="21">
    <w:name w:val="表格"/>
    <w:basedOn w:val="2"/>
    <w:qFormat/>
    <w:uiPriority w:val="0"/>
    <w:pPr>
      <w:spacing w:line="240" w:lineRule="auto"/>
      <w:ind w:firstLine="0" w:firstLineChars="0"/>
      <w:jc w:val="left"/>
    </w:pPr>
    <w:rPr>
      <w:sz w:val="21"/>
      <w:szCs w:val="21"/>
    </w:rPr>
  </w:style>
  <w:style w:type="character" w:customStyle="1" w:styleId="22">
    <w:name w:val="fontstyle01"/>
    <w:qFormat/>
    <w:uiPriority w:val="0"/>
    <w:rPr>
      <w:rFonts w:hint="default" w:ascii="ArialUnicodeMS" w:hAnsi="ArialUnicodeMS"/>
      <w:color w:val="000000"/>
      <w:sz w:val="22"/>
      <w:szCs w:val="22"/>
    </w:rPr>
  </w:style>
  <w:style w:type="character" w:customStyle="1" w:styleId="23">
    <w:name w:val="fontstyle11"/>
    <w:qFormat/>
    <w:uiPriority w:val="0"/>
    <w:rPr>
      <w:rFonts w:hint="eastAsia" w:ascii="宋体" w:hAnsi="宋体" w:eastAsia="宋体"/>
      <w:color w:val="000000"/>
      <w:sz w:val="22"/>
      <w:szCs w:val="22"/>
    </w:rPr>
  </w:style>
  <w:style w:type="character" w:customStyle="1" w:styleId="24">
    <w:name w:val="fontstyle21"/>
    <w:qFormat/>
    <w:uiPriority w:val="0"/>
    <w:rPr>
      <w:rFonts w:hint="eastAsia" w:ascii="宋体" w:hAnsi="宋体" w:eastAsia="宋体"/>
      <w:color w:val="000000"/>
      <w:sz w:val="22"/>
      <w:szCs w:val="22"/>
    </w:rPr>
  </w:style>
  <w:style w:type="paragraph" w:styleId="25">
    <w:name w:val="List Paragraph"/>
    <w:basedOn w:val="1"/>
    <w:qFormat/>
    <w:uiPriority w:val="1"/>
    <w:pPr>
      <w:autoSpaceDE w:val="0"/>
      <w:autoSpaceDN w:val="0"/>
      <w:spacing w:before="1" w:line="240" w:lineRule="auto"/>
      <w:ind w:left="400" w:firstLine="434" w:firstLineChars="0"/>
      <w:jc w:val="left"/>
    </w:pPr>
    <w:rPr>
      <w:rFonts w:ascii="宋体" w:hAnsi="宋体" w:cs="宋体"/>
      <w:kern w:val="0"/>
      <w:sz w:val="22"/>
    </w:rPr>
  </w:style>
  <w:style w:type="paragraph" w:customStyle="1" w:styleId="26">
    <w:name w:val="正文首行缩进1"/>
    <w:basedOn w:val="1"/>
    <w:autoRedefine/>
    <w:qFormat/>
    <w:uiPriority w:val="0"/>
    <w:pPr>
      <w:spacing w:line="360" w:lineRule="auto"/>
      <w:ind w:firstLine="200"/>
    </w:pPr>
    <w:rPr>
      <w:rFonts w:ascii="仿宋_GB2312" w:eastAsia="仿宋_GB2312"/>
      <w:sz w:val="30"/>
      <w:szCs w:val="30"/>
    </w:rPr>
  </w:style>
  <w:style w:type="paragraph" w:customStyle="1" w:styleId="27">
    <w:name w:val="列表段落1"/>
    <w:basedOn w:val="1"/>
    <w:qFormat/>
    <w:uiPriority w:val="0"/>
    <w:pPr>
      <w:ind w:firstLine="420" w:firstLineChars="200"/>
    </w:pPr>
    <w:rPr>
      <w:rFonts w:ascii="Calibri" w:hAnsi="Calibri" w:eastAsia="宋体" w:cs="Times New Roman"/>
      <w:szCs w:val="24"/>
    </w:rPr>
  </w:style>
  <w:style w:type="paragraph" w:customStyle="1" w:styleId="28">
    <w:name w:val="List Paragraph2"/>
    <w:basedOn w:val="1"/>
    <w:semiHidden/>
    <w:qFormat/>
    <w:uiPriority w:val="0"/>
    <w:pPr>
      <w:ind w:firstLine="420" w:firstLineChars="200"/>
    </w:pPr>
    <w:rPr>
      <w:rFonts w:ascii="Calibri" w:hAnsi="Calibri" w:eastAsia="宋体" w:cs="Times New Roman"/>
      <w:szCs w:val="24"/>
    </w:rPr>
  </w:style>
  <w:style w:type="paragraph" w:customStyle="1" w:styleId="29">
    <w:name w:val="List Paragraph1"/>
    <w:basedOn w:val="1"/>
    <w:qFormat/>
    <w:uiPriority w:val="0"/>
    <w:pPr>
      <w:spacing w:line="240" w:lineRule="auto"/>
      <w:ind w:firstLine="420" w:firstLineChars="200"/>
    </w:pPr>
    <w:rPr>
      <w:rFonts w:ascii="Calibri" w:hAnsi="Calibri" w:eastAsia="宋体" w:cs="Times New Roman"/>
      <w:sz w:val="21"/>
      <w:szCs w:val="21"/>
    </w:rPr>
  </w:style>
  <w:style w:type="paragraph" w:customStyle="1" w:styleId="30">
    <w:name w:val="Table Paragraph"/>
    <w:basedOn w:val="1"/>
    <w:qFormat/>
    <w:uiPriority w:val="1"/>
    <w:pPr>
      <w:autoSpaceDE w:val="0"/>
      <w:autoSpaceDN w:val="0"/>
      <w:spacing w:line="240" w:lineRule="auto"/>
      <w:ind w:firstLine="0" w:firstLineChars="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41</Pages>
  <Words>4628</Words>
  <Characters>5064</Characters>
  <Lines>167</Lines>
  <Paragraphs>47</Paragraphs>
  <TotalTime>7</TotalTime>
  <ScaleCrop>false</ScaleCrop>
  <LinksUpToDate>false</LinksUpToDate>
  <CharactersWithSpaces>5280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正式环境陈艳测试账号</dc:creator>
  <cp:lastModifiedBy>Crlng</cp:lastModifiedBy>
  <cp:lastPrinted>2024-12-04T02:55:00Z</cp:lastPrinted>
  <dcterms:modified xsi:type="dcterms:W3CDTF">2024-12-06T01:53:08Z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1DDD36FB7C5141F4A8C2EFCC1FCA3834_13</vt:lpwstr>
  </property>
</Properties>
</file>