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8BA11">
      <w:pPr>
        <w:pStyle w:val="14"/>
        <w:spacing w:before="120" w:beforeAutospacing="0" w:after="120" w:afterAutospacing="0" w:line="360" w:lineRule="auto"/>
        <w:rPr>
          <w:color w:val="auto"/>
          <w:highlight w:val="none"/>
        </w:rPr>
      </w:pPr>
      <w:r>
        <w:rPr>
          <w:color w:val="auto"/>
          <w:highlight w:val="none"/>
        </w:rPr>
        <w:t> </w:t>
      </w:r>
    </w:p>
    <w:p w14:paraId="0748D618">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920" w:lineRule="exact"/>
        <w:ind w:left="0" w:right="0" w:firstLine="1687" w:firstLineChars="200"/>
        <w:jc w:val="left"/>
        <w:textAlignment w:val="auto"/>
        <w:outlineLvl w:val="9"/>
        <w:rPr>
          <w:color w:val="auto"/>
          <w:highlight w:val="none"/>
        </w:rPr>
      </w:pPr>
      <w:r>
        <w:rPr>
          <w:rFonts w:ascii="Arial" w:hAnsi="Arial" w:cs="Arial"/>
          <w:b/>
          <w:color w:val="auto"/>
          <w:sz w:val="84"/>
          <w:szCs w:val="84"/>
          <w:highlight w:val="none"/>
        </w:rPr>
        <w:t>招 标 文 件</w:t>
      </w:r>
    </w:p>
    <w:p w14:paraId="5128588C">
      <w:pPr>
        <w:pageBreakBefore w:val="0"/>
        <w:kinsoku/>
        <w:wordWrap/>
        <w:overflowPunct/>
        <w:bidi w:val="0"/>
        <w:adjustRightInd w:val="0"/>
        <w:snapToGrid w:val="0"/>
        <w:spacing w:line="500" w:lineRule="exact"/>
        <w:ind w:left="0" w:right="0" w:firstLine="562" w:firstLineChars="200"/>
        <w:jc w:val="left"/>
        <w:textAlignment w:val="auto"/>
        <w:outlineLvl w:val="9"/>
        <w:rPr>
          <w:rFonts w:hint="eastAsia"/>
          <w:b/>
          <w:bCs/>
          <w:color w:val="auto"/>
          <w:sz w:val="28"/>
          <w:highlight w:val="none"/>
        </w:rPr>
      </w:pPr>
    </w:p>
    <w:p w14:paraId="1C76723F">
      <w:pPr>
        <w:keepNext w:val="0"/>
        <w:keepLines w:val="0"/>
        <w:pageBreakBefore w:val="0"/>
        <w:widowControl w:val="0"/>
        <w:kinsoku/>
        <w:wordWrap/>
        <w:overflowPunct/>
        <w:topLinePunct w:val="0"/>
        <w:autoSpaceDE/>
        <w:autoSpaceDN/>
        <w:bidi w:val="0"/>
        <w:adjustRightInd w:val="0"/>
        <w:snapToGrid w:val="0"/>
        <w:spacing w:line="500" w:lineRule="exact"/>
        <w:ind w:left="0" w:right="0" w:firstLine="723" w:firstLineChars="200"/>
        <w:jc w:val="left"/>
        <w:textAlignment w:val="auto"/>
        <w:outlineLvl w:val="9"/>
        <w:rPr>
          <w:rFonts w:hint="eastAsia" w:ascii="宋体"/>
          <w:b/>
          <w:color w:val="auto"/>
          <w:sz w:val="36"/>
          <w:highlight w:val="none"/>
        </w:rPr>
      </w:pPr>
    </w:p>
    <w:p w14:paraId="21FEEAAA">
      <w:pPr>
        <w:keepNext w:val="0"/>
        <w:keepLines w:val="0"/>
        <w:pageBreakBefore w:val="0"/>
        <w:widowControl w:val="0"/>
        <w:kinsoku/>
        <w:wordWrap/>
        <w:overflowPunct/>
        <w:topLinePunct w:val="0"/>
        <w:autoSpaceDE/>
        <w:autoSpaceDN/>
        <w:bidi w:val="0"/>
        <w:adjustRightInd w:val="0"/>
        <w:snapToGrid w:val="0"/>
        <w:spacing w:line="500" w:lineRule="exact"/>
        <w:ind w:right="0" w:firstLine="900" w:firstLineChars="300"/>
        <w:jc w:val="left"/>
        <w:textAlignment w:val="auto"/>
        <w:outlineLvl w:val="9"/>
        <w:rPr>
          <w:rFonts w:hint="eastAsia" w:ascii="宋体" w:hAnsi="宋体" w:eastAsia="宋体" w:cs="宋体"/>
          <w:b w:val="0"/>
          <w:bCs/>
          <w:color w:val="auto"/>
          <w:sz w:val="30"/>
          <w:szCs w:val="30"/>
          <w:highlight w:val="none"/>
          <w:lang w:eastAsia="zh-CN"/>
        </w:rPr>
      </w:pPr>
      <w:r>
        <w:rPr>
          <w:rFonts w:hint="eastAsia" w:ascii="宋体" w:hAnsi="宋体" w:eastAsia="宋体" w:cs="宋体"/>
          <w:b w:val="0"/>
          <w:bCs/>
          <w:color w:val="auto"/>
          <w:sz w:val="30"/>
          <w:szCs w:val="30"/>
          <w:highlight w:val="none"/>
        </w:rPr>
        <w:t>项目名称：</w:t>
      </w:r>
      <w:r>
        <w:rPr>
          <w:rFonts w:hint="eastAsia" w:ascii="宋体" w:hAnsi="宋体" w:eastAsia="宋体" w:cs="宋体"/>
          <w:b w:val="0"/>
          <w:bCs/>
          <w:color w:val="auto"/>
          <w:sz w:val="30"/>
          <w:szCs w:val="30"/>
          <w:highlight w:val="none"/>
          <w:lang w:eastAsia="zh-CN"/>
        </w:rPr>
        <w:t>响水县安捷城乡公交有限公司</w:t>
      </w:r>
    </w:p>
    <w:p w14:paraId="21246F1E">
      <w:pPr>
        <w:keepNext w:val="0"/>
        <w:keepLines w:val="0"/>
        <w:pageBreakBefore w:val="0"/>
        <w:widowControl w:val="0"/>
        <w:kinsoku/>
        <w:wordWrap/>
        <w:overflowPunct/>
        <w:topLinePunct w:val="0"/>
        <w:autoSpaceDE/>
        <w:autoSpaceDN/>
        <w:bidi w:val="0"/>
        <w:adjustRightInd w:val="0"/>
        <w:snapToGrid w:val="0"/>
        <w:spacing w:line="500" w:lineRule="exact"/>
        <w:ind w:right="0" w:firstLine="2700" w:firstLineChars="900"/>
        <w:jc w:val="left"/>
        <w:textAlignment w:val="auto"/>
        <w:outlineLvl w:val="9"/>
        <w:rPr>
          <w:rFonts w:hint="eastAsia"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lang w:val="en-US" w:eastAsia="zh-CN"/>
        </w:rPr>
        <w:t>车辆保险服务采购项目</w:t>
      </w:r>
    </w:p>
    <w:p w14:paraId="062C3A68">
      <w:pPr>
        <w:pStyle w:val="14"/>
        <w:pageBreakBefore w:val="0"/>
        <w:kinsoku/>
        <w:wordWrap/>
        <w:overflowPunct/>
        <w:bidi w:val="0"/>
        <w:adjustRightInd w:val="0"/>
        <w:snapToGrid w:val="0"/>
        <w:spacing w:beforeAutospacing="0" w:afterAutospacing="0" w:line="500" w:lineRule="exact"/>
        <w:ind w:right="0" w:firstLine="900" w:firstLineChars="300"/>
        <w:jc w:val="left"/>
        <w:textAlignment w:val="auto"/>
        <w:outlineLvl w:val="9"/>
        <w:rPr>
          <w:rFonts w:hint="eastAsia"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项目编号：</w:t>
      </w:r>
      <w:r>
        <w:rPr>
          <w:rFonts w:hint="eastAsia" w:ascii="宋体" w:hAnsi="宋体" w:eastAsia="宋体" w:cs="宋体"/>
          <w:b w:val="0"/>
          <w:bCs/>
          <w:color w:val="auto"/>
          <w:sz w:val="30"/>
          <w:szCs w:val="30"/>
          <w:highlight w:val="none"/>
          <w:lang w:val="en-US" w:eastAsia="zh-CN"/>
        </w:rPr>
        <w:t>XSX-GQCG-202509015</w:t>
      </w:r>
      <w:r>
        <w:rPr>
          <w:rFonts w:hint="eastAsia" w:ascii="宋体" w:hAnsi="宋体" w:eastAsia="宋体" w:cs="宋体"/>
          <w:b w:val="0"/>
          <w:bCs/>
          <w:color w:val="auto"/>
          <w:sz w:val="30"/>
          <w:szCs w:val="30"/>
          <w:highlight w:val="none"/>
        </w:rPr>
        <w:t> </w:t>
      </w:r>
    </w:p>
    <w:p w14:paraId="24182504">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3C13D1EC">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68483B32">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5C4F9B91">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38DC4F88">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1BABB1B9">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p>
    <w:p w14:paraId="15BCE5AB">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p>
    <w:p w14:paraId="296D77F6">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p>
    <w:p w14:paraId="57AC184A">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p>
    <w:p w14:paraId="3985E555">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p>
    <w:p w14:paraId="6BDAA5DA">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p>
    <w:p w14:paraId="5FECEC6E">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p>
    <w:p w14:paraId="1D9AC726">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p>
    <w:p w14:paraId="423D3178">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p>
    <w:p w14:paraId="349353A1">
      <w:pPr>
        <w:pageBreakBefore w:val="0"/>
        <w:shd w:val="clear" w:color="auto" w:fill="auto"/>
        <w:kinsoku/>
        <w:wordWrap/>
        <w:overflowPunct/>
        <w:bidi w:val="0"/>
        <w:adjustRightInd w:val="0"/>
        <w:snapToGrid w:val="0"/>
        <w:spacing w:line="500" w:lineRule="exact"/>
        <w:ind w:left="0" w:right="0" w:firstLine="600" w:firstLineChars="200"/>
        <w:jc w:val="left"/>
        <w:textAlignment w:val="auto"/>
        <w:outlineLvl w:val="9"/>
        <w:rPr>
          <w:rFonts w:hint="eastAsia"/>
          <w:color w:val="auto"/>
          <w:sz w:val="30"/>
          <w:szCs w:val="30"/>
          <w:highlight w:val="none"/>
          <w:u w:val="none"/>
        </w:rPr>
      </w:pPr>
      <w:r>
        <w:rPr>
          <w:rFonts w:hint="eastAsia"/>
          <w:color w:val="auto"/>
          <w:sz w:val="30"/>
          <w:szCs w:val="30"/>
          <w:highlight w:val="none"/>
          <w:u w:val="none"/>
        </w:rPr>
        <w:t>采购人：</w:t>
      </w:r>
      <w:r>
        <w:rPr>
          <w:rFonts w:hint="eastAsia"/>
          <w:color w:val="auto"/>
          <w:sz w:val="30"/>
          <w:szCs w:val="30"/>
          <w:highlight w:val="none"/>
          <w:u w:val="none"/>
          <w:lang w:eastAsia="zh-CN"/>
        </w:rPr>
        <w:t>响水县安捷城乡公交有限公司</w:t>
      </w:r>
      <w:r>
        <w:rPr>
          <w:rFonts w:hint="eastAsia"/>
          <w:color w:val="auto"/>
          <w:sz w:val="30"/>
          <w:szCs w:val="30"/>
          <w:highlight w:val="none"/>
          <w:u w:val="none"/>
        </w:rPr>
        <w:t>（盖章）</w:t>
      </w:r>
    </w:p>
    <w:p w14:paraId="4AACED9B">
      <w:pPr>
        <w:pStyle w:val="14"/>
        <w:pageBreakBefore w:val="0"/>
        <w:kinsoku/>
        <w:wordWrap/>
        <w:overflowPunct/>
        <w:bidi w:val="0"/>
        <w:adjustRightInd w:val="0"/>
        <w:snapToGrid w:val="0"/>
        <w:spacing w:beforeAutospacing="0" w:afterAutospacing="0" w:line="500" w:lineRule="exact"/>
        <w:ind w:left="0" w:right="0" w:firstLine="600" w:firstLineChars="200"/>
        <w:jc w:val="left"/>
        <w:textAlignment w:val="auto"/>
        <w:outlineLvl w:val="9"/>
        <w:rPr>
          <w:rFonts w:hint="eastAsia"/>
          <w:color w:val="auto"/>
          <w:sz w:val="30"/>
          <w:szCs w:val="30"/>
          <w:highlight w:val="none"/>
          <w:u w:val="none"/>
        </w:rPr>
      </w:pPr>
      <w:r>
        <w:rPr>
          <w:rFonts w:hint="eastAsia"/>
          <w:color w:val="auto"/>
          <w:sz w:val="30"/>
          <w:szCs w:val="30"/>
          <w:highlight w:val="none"/>
          <w:u w:val="none"/>
        </w:rPr>
        <w:t>招标代理机构：江苏航耀项目管理有限公司（盖章）</w:t>
      </w:r>
    </w:p>
    <w:p w14:paraId="593B25DF">
      <w:pPr>
        <w:pStyle w:val="14"/>
        <w:pageBreakBefore w:val="0"/>
        <w:kinsoku/>
        <w:wordWrap/>
        <w:overflowPunct/>
        <w:bidi w:val="0"/>
        <w:adjustRightInd w:val="0"/>
        <w:snapToGrid w:val="0"/>
        <w:spacing w:beforeAutospacing="0" w:afterAutospacing="0" w:line="500" w:lineRule="exact"/>
        <w:ind w:left="0" w:right="0" w:firstLine="2891" w:firstLineChars="900"/>
        <w:jc w:val="left"/>
        <w:textAlignment w:val="auto"/>
        <w:outlineLvl w:val="9"/>
        <w:rPr>
          <w:color w:val="auto"/>
          <w:highlight w:val="none"/>
        </w:rPr>
      </w:pPr>
      <w:r>
        <w:rPr>
          <w:rFonts w:hint="eastAsia" w:ascii="Arial" w:hAnsi="Arial" w:cs="Arial"/>
          <w:b/>
          <w:color w:val="auto"/>
          <w:sz w:val="32"/>
          <w:szCs w:val="32"/>
          <w:highlight w:val="none"/>
          <w:lang w:val="en-US" w:eastAsia="zh-CN"/>
        </w:rPr>
        <w:t>2025</w:t>
      </w:r>
      <w:r>
        <w:rPr>
          <w:rFonts w:ascii="Arial" w:hAnsi="Arial" w:cs="Arial"/>
          <w:b/>
          <w:color w:val="auto"/>
          <w:sz w:val="32"/>
          <w:szCs w:val="32"/>
          <w:highlight w:val="none"/>
        </w:rPr>
        <w:t>年</w:t>
      </w:r>
      <w:r>
        <w:rPr>
          <w:rFonts w:hint="eastAsia" w:ascii="Arial" w:hAnsi="Arial" w:cs="Arial"/>
          <w:b/>
          <w:color w:val="auto"/>
          <w:sz w:val="32"/>
          <w:szCs w:val="32"/>
          <w:highlight w:val="none"/>
          <w:lang w:val="en-US" w:eastAsia="zh-CN"/>
        </w:rPr>
        <w:t>09</w:t>
      </w:r>
      <w:r>
        <w:rPr>
          <w:rFonts w:ascii="Arial" w:hAnsi="Arial" w:cs="Arial"/>
          <w:b/>
          <w:color w:val="auto"/>
          <w:sz w:val="32"/>
          <w:szCs w:val="32"/>
          <w:highlight w:val="none"/>
        </w:rPr>
        <w:t>月</w:t>
      </w:r>
    </w:p>
    <w:p w14:paraId="07289AF9">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rFonts w:ascii="Arial" w:hAnsi="Arial" w:cs="Arial"/>
          <w:color w:val="auto"/>
          <w:highlight w:val="none"/>
        </w:rPr>
        <w:t xml:space="preserve">                        </w:t>
      </w:r>
    </w:p>
    <w:p w14:paraId="0BBA43EB">
      <w:pPr>
        <w:pStyle w:val="14"/>
        <w:pageBreakBefore w:val="0"/>
        <w:kinsoku/>
        <w:wordWrap/>
        <w:overflowPunct/>
        <w:bidi w:val="0"/>
        <w:adjustRightInd w:val="0"/>
        <w:snapToGrid w:val="0"/>
        <w:spacing w:beforeAutospacing="0" w:afterAutospacing="0" w:line="500" w:lineRule="exact"/>
        <w:ind w:left="0" w:right="0" w:firstLine="420" w:firstLineChars="200"/>
        <w:jc w:val="left"/>
        <w:textAlignment w:val="auto"/>
        <w:outlineLvl w:val="9"/>
        <w:rPr>
          <w:rFonts w:ascii="Times New Roman" w:hAnsi="Times New Roman"/>
          <w:color w:val="auto"/>
          <w:sz w:val="21"/>
          <w:szCs w:val="21"/>
          <w:highlight w:val="none"/>
        </w:rPr>
      </w:pPr>
    </w:p>
    <w:p w14:paraId="4A622AB6">
      <w:pPr>
        <w:pStyle w:val="14"/>
        <w:pageBreakBefore w:val="0"/>
        <w:kinsoku/>
        <w:wordWrap/>
        <w:overflowPunct/>
        <w:bidi w:val="0"/>
        <w:adjustRightInd w:val="0"/>
        <w:snapToGrid w:val="0"/>
        <w:spacing w:beforeAutospacing="0" w:afterAutospacing="0" w:line="500" w:lineRule="exact"/>
        <w:ind w:left="0" w:right="0" w:firstLine="420" w:firstLineChars="200"/>
        <w:jc w:val="left"/>
        <w:textAlignment w:val="auto"/>
        <w:outlineLvl w:val="9"/>
        <w:rPr>
          <w:rFonts w:ascii="Times New Roman" w:hAnsi="Times New Roman"/>
          <w:color w:val="auto"/>
          <w:sz w:val="21"/>
          <w:szCs w:val="21"/>
          <w:highlight w:val="none"/>
        </w:rPr>
      </w:pPr>
    </w:p>
    <w:p w14:paraId="10A58234">
      <w:pPr>
        <w:pStyle w:val="14"/>
        <w:pageBreakBefore w:val="0"/>
        <w:kinsoku/>
        <w:wordWrap/>
        <w:overflowPunct/>
        <w:bidi w:val="0"/>
        <w:adjustRightInd w:val="0"/>
        <w:snapToGrid w:val="0"/>
        <w:spacing w:beforeAutospacing="0" w:afterAutospacing="0" w:line="500" w:lineRule="exact"/>
        <w:ind w:left="0" w:right="0" w:firstLine="420" w:firstLineChars="200"/>
        <w:jc w:val="left"/>
        <w:textAlignment w:val="auto"/>
        <w:outlineLvl w:val="9"/>
        <w:rPr>
          <w:rFonts w:ascii="Times New Roman" w:hAnsi="Times New Roman"/>
          <w:color w:val="auto"/>
          <w:sz w:val="21"/>
          <w:szCs w:val="21"/>
          <w:highlight w:val="none"/>
        </w:rPr>
      </w:pPr>
    </w:p>
    <w:p w14:paraId="1C306D57">
      <w:pPr>
        <w:pStyle w:val="14"/>
        <w:pageBreakBefore w:val="0"/>
        <w:kinsoku/>
        <w:wordWrap/>
        <w:overflowPunct/>
        <w:bidi w:val="0"/>
        <w:adjustRightInd w:val="0"/>
        <w:snapToGrid w:val="0"/>
        <w:spacing w:beforeAutospacing="0" w:afterAutospacing="0" w:line="500" w:lineRule="exact"/>
        <w:ind w:right="0"/>
        <w:jc w:val="center"/>
        <w:textAlignment w:val="auto"/>
        <w:outlineLvl w:val="9"/>
        <w:rPr>
          <w:color w:val="auto"/>
          <w:highlight w:val="none"/>
        </w:rPr>
      </w:pPr>
      <w:bookmarkStart w:id="0" w:name="_Toc479757206"/>
      <w:bookmarkStart w:id="1" w:name="_Toc120614210"/>
      <w:bookmarkStart w:id="2" w:name="_Toc16938516"/>
      <w:bookmarkStart w:id="3" w:name="_Toc523127445"/>
      <w:bookmarkStart w:id="4" w:name="_Toc20823272"/>
      <w:bookmarkStart w:id="5" w:name="_Toc513029200"/>
      <w:r>
        <w:rPr>
          <w:rFonts w:ascii="黑体" w:hAnsi="宋体" w:eastAsia="黑体" w:cs="黑体"/>
          <w:b/>
          <w:color w:val="auto"/>
          <w:sz w:val="44"/>
          <w:szCs w:val="44"/>
          <w:highlight w:val="none"/>
        </w:rPr>
        <w:t>总  目  录</w:t>
      </w:r>
      <w:bookmarkEnd w:id="0"/>
      <w:bookmarkEnd w:id="1"/>
      <w:bookmarkEnd w:id="2"/>
      <w:bookmarkEnd w:id="3"/>
      <w:bookmarkEnd w:id="4"/>
      <w:bookmarkEnd w:id="5"/>
    </w:p>
    <w:p w14:paraId="6EB96C7E">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63E5A6A0">
      <w:pPr>
        <w:pStyle w:val="14"/>
        <w:pageBreakBefore w:val="0"/>
        <w:tabs>
          <w:tab w:val="left" w:pos="1441"/>
        </w:tabs>
        <w:kinsoku/>
        <w:wordWrap/>
        <w:overflowPunct/>
        <w:bidi w:val="0"/>
        <w:adjustRightInd w:val="0"/>
        <w:snapToGrid w:val="0"/>
        <w:spacing w:beforeAutospacing="0" w:afterAutospacing="0" w:line="500" w:lineRule="exact"/>
        <w:ind w:left="0" w:right="0" w:firstLine="720" w:firstLineChars="200"/>
        <w:jc w:val="left"/>
        <w:textAlignment w:val="auto"/>
        <w:outlineLvl w:val="9"/>
        <w:rPr>
          <w:color w:val="auto"/>
          <w:highlight w:val="none"/>
        </w:rPr>
      </w:pPr>
      <w:r>
        <w:rPr>
          <w:rFonts w:hint="eastAsia" w:ascii="黑体" w:hAnsi="宋体" w:eastAsia="黑体" w:cs="黑体"/>
          <w:color w:val="auto"/>
          <w:sz w:val="36"/>
          <w:szCs w:val="36"/>
          <w:highlight w:val="none"/>
          <w:lang w:val="en-US" w:eastAsia="zh-CN"/>
        </w:rPr>
        <w:t>招标公告</w:t>
      </w:r>
      <w:r>
        <w:rPr>
          <w:rFonts w:hint="eastAsia" w:ascii="黑体" w:hAnsi="宋体" w:eastAsia="黑体" w:cs="黑体"/>
          <w:color w:val="auto"/>
          <w:sz w:val="36"/>
          <w:szCs w:val="36"/>
          <w:highlight w:val="none"/>
        </w:rPr>
        <w:t xml:space="preserve">…………………………………… </w:t>
      </w:r>
    </w:p>
    <w:p w14:paraId="3F048C29">
      <w:pPr>
        <w:pStyle w:val="14"/>
        <w:pageBreakBefore w:val="0"/>
        <w:tabs>
          <w:tab w:val="left" w:pos="1441"/>
        </w:tabs>
        <w:kinsoku/>
        <w:wordWrap/>
        <w:overflowPunct/>
        <w:bidi w:val="0"/>
        <w:adjustRightInd w:val="0"/>
        <w:snapToGrid w:val="0"/>
        <w:spacing w:beforeAutospacing="0" w:afterAutospacing="0" w:line="500" w:lineRule="exact"/>
        <w:ind w:left="0" w:right="0" w:firstLine="720" w:firstLineChars="200"/>
        <w:jc w:val="left"/>
        <w:textAlignment w:val="auto"/>
        <w:outlineLvl w:val="9"/>
        <w:rPr>
          <w:color w:val="auto"/>
          <w:highlight w:val="none"/>
        </w:rPr>
      </w:pPr>
      <w:r>
        <w:rPr>
          <w:rFonts w:hint="eastAsia" w:ascii="黑体" w:hAnsi="宋体" w:eastAsia="黑体" w:cs="黑体"/>
          <w:color w:val="auto"/>
          <w:sz w:val="36"/>
          <w:szCs w:val="36"/>
          <w:highlight w:val="none"/>
        </w:rPr>
        <w:t xml:space="preserve">投标人须知…………………………………  </w:t>
      </w:r>
    </w:p>
    <w:p w14:paraId="36557F5B">
      <w:pPr>
        <w:pStyle w:val="14"/>
        <w:pageBreakBefore w:val="0"/>
        <w:tabs>
          <w:tab w:val="left" w:pos="1441"/>
        </w:tabs>
        <w:kinsoku/>
        <w:wordWrap/>
        <w:overflowPunct/>
        <w:bidi w:val="0"/>
        <w:adjustRightInd w:val="0"/>
        <w:snapToGrid w:val="0"/>
        <w:spacing w:beforeAutospacing="0" w:afterAutospacing="0" w:line="500" w:lineRule="exact"/>
        <w:ind w:left="0" w:right="0" w:firstLine="720" w:firstLineChars="200"/>
        <w:jc w:val="left"/>
        <w:textAlignment w:val="auto"/>
        <w:outlineLvl w:val="9"/>
        <w:rPr>
          <w:color w:val="auto"/>
          <w:highlight w:val="none"/>
        </w:rPr>
      </w:pPr>
      <w:r>
        <w:rPr>
          <w:rFonts w:hint="eastAsia" w:ascii="黑体" w:hAnsi="宋体" w:eastAsia="黑体" w:cs="黑体"/>
          <w:color w:val="auto"/>
          <w:sz w:val="36"/>
          <w:szCs w:val="36"/>
          <w:highlight w:val="none"/>
        </w:rPr>
        <w:t>合同文本……………………………………</w:t>
      </w:r>
    </w:p>
    <w:p w14:paraId="76DCD7D4">
      <w:pPr>
        <w:pStyle w:val="14"/>
        <w:pageBreakBefore w:val="0"/>
        <w:tabs>
          <w:tab w:val="left" w:pos="1441"/>
        </w:tabs>
        <w:kinsoku/>
        <w:wordWrap/>
        <w:overflowPunct/>
        <w:bidi w:val="0"/>
        <w:adjustRightInd w:val="0"/>
        <w:snapToGrid w:val="0"/>
        <w:spacing w:beforeAutospacing="0" w:afterAutospacing="0" w:line="500" w:lineRule="exact"/>
        <w:ind w:left="0" w:right="0" w:firstLine="720" w:firstLineChars="200"/>
        <w:jc w:val="left"/>
        <w:textAlignment w:val="auto"/>
        <w:outlineLvl w:val="9"/>
        <w:rPr>
          <w:color w:val="auto"/>
          <w:highlight w:val="none"/>
        </w:rPr>
      </w:pPr>
      <w:r>
        <w:rPr>
          <w:rFonts w:hint="eastAsia" w:ascii="黑体" w:hAnsi="宋体" w:eastAsia="黑体" w:cs="黑体"/>
          <w:color w:val="auto"/>
          <w:sz w:val="36"/>
          <w:szCs w:val="36"/>
          <w:highlight w:val="none"/>
        </w:rPr>
        <w:t>采购需求……………………………………</w:t>
      </w:r>
    </w:p>
    <w:p w14:paraId="620E178A">
      <w:pPr>
        <w:pStyle w:val="14"/>
        <w:pageBreakBefore w:val="0"/>
        <w:tabs>
          <w:tab w:val="left" w:pos="1441"/>
        </w:tabs>
        <w:kinsoku/>
        <w:wordWrap/>
        <w:overflowPunct/>
        <w:bidi w:val="0"/>
        <w:adjustRightInd w:val="0"/>
        <w:snapToGrid w:val="0"/>
        <w:spacing w:beforeAutospacing="0" w:afterAutospacing="0" w:line="500" w:lineRule="exact"/>
        <w:ind w:left="0" w:right="0" w:firstLine="720" w:firstLineChars="200"/>
        <w:jc w:val="left"/>
        <w:textAlignment w:val="auto"/>
        <w:outlineLvl w:val="9"/>
        <w:rPr>
          <w:color w:val="auto"/>
          <w:highlight w:val="none"/>
        </w:rPr>
      </w:pPr>
      <w:r>
        <w:rPr>
          <w:rFonts w:hint="eastAsia" w:ascii="黑体" w:hAnsi="宋体" w:eastAsia="黑体" w:cs="黑体"/>
          <w:color w:val="auto"/>
          <w:sz w:val="36"/>
          <w:szCs w:val="36"/>
          <w:highlight w:val="none"/>
        </w:rPr>
        <w:t>评标方法与评标标准………………………</w:t>
      </w:r>
    </w:p>
    <w:p w14:paraId="6D203C59">
      <w:pPr>
        <w:pStyle w:val="14"/>
        <w:pageBreakBefore w:val="0"/>
        <w:tabs>
          <w:tab w:val="left" w:pos="1441"/>
        </w:tabs>
        <w:kinsoku/>
        <w:wordWrap/>
        <w:overflowPunct/>
        <w:bidi w:val="0"/>
        <w:adjustRightInd w:val="0"/>
        <w:snapToGrid w:val="0"/>
        <w:spacing w:beforeAutospacing="0" w:afterAutospacing="0" w:line="500" w:lineRule="exact"/>
        <w:ind w:left="0" w:right="0" w:firstLine="720" w:firstLineChars="200"/>
        <w:jc w:val="left"/>
        <w:textAlignment w:val="auto"/>
        <w:outlineLvl w:val="9"/>
        <w:rPr>
          <w:color w:val="auto"/>
          <w:highlight w:val="none"/>
        </w:rPr>
      </w:pPr>
      <w:r>
        <w:rPr>
          <w:rFonts w:hint="eastAsia" w:ascii="黑体" w:hAnsi="宋体" w:eastAsia="黑体" w:cs="黑体"/>
          <w:color w:val="auto"/>
          <w:sz w:val="36"/>
          <w:szCs w:val="36"/>
          <w:highlight w:val="none"/>
        </w:rPr>
        <w:t>投标文件格式………………………………</w:t>
      </w:r>
    </w:p>
    <w:p w14:paraId="64341C45">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16364196">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11556BE8">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7B29980D">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1611712B">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69FAA169">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4182AF71">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71654CC7">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04037430">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781B204C">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267F7F03">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27498963">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46A18BE9">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4328D0A4">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6222989F">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16612821">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color w:val="auto"/>
          <w:highlight w:val="none"/>
        </w:rPr>
      </w:pPr>
      <w:r>
        <w:rPr>
          <w:color w:val="auto"/>
          <w:highlight w:val="none"/>
        </w:rPr>
        <w:t> </w:t>
      </w:r>
    </w:p>
    <w:p w14:paraId="7A1DD373">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rFonts w:hint="eastAsia" w:ascii="黑体" w:hAnsi="宋体" w:eastAsia="黑体" w:cs="黑体"/>
          <w:color w:val="auto"/>
          <w:sz w:val="44"/>
          <w:szCs w:val="44"/>
          <w:highlight w:val="none"/>
        </w:rPr>
      </w:pPr>
      <w:r>
        <w:rPr>
          <w:color w:val="auto"/>
          <w:highlight w:val="none"/>
        </w:rPr>
        <w:t> </w:t>
      </w:r>
    </w:p>
    <w:p w14:paraId="46154823">
      <w:pPr>
        <w:pStyle w:val="14"/>
        <w:keepNext/>
        <w:pageBreakBefore w:val="0"/>
        <w:kinsoku/>
        <w:wordWrap/>
        <w:overflowPunct/>
        <w:bidi w:val="0"/>
        <w:adjustRightInd w:val="0"/>
        <w:snapToGrid w:val="0"/>
        <w:spacing w:beforeAutospacing="0" w:afterAutospacing="0" w:line="500" w:lineRule="exact"/>
        <w:ind w:right="0"/>
        <w:jc w:val="center"/>
        <w:textAlignment w:val="auto"/>
        <w:outlineLvl w:val="9"/>
        <w:rPr>
          <w:rFonts w:hint="eastAsia" w:ascii="黑体" w:hAnsi="宋体" w:eastAsia="黑体" w:cs="黑体"/>
          <w:color w:val="auto"/>
          <w:sz w:val="44"/>
          <w:szCs w:val="44"/>
          <w:highlight w:val="none"/>
          <w:lang w:val="en-US" w:eastAsia="zh-CN"/>
        </w:rPr>
      </w:pPr>
      <w:r>
        <w:rPr>
          <w:rFonts w:hint="eastAsia" w:ascii="黑体" w:hAnsi="宋体" w:eastAsia="黑体" w:cs="黑体"/>
          <w:color w:val="auto"/>
          <w:sz w:val="44"/>
          <w:szCs w:val="44"/>
          <w:highlight w:val="none"/>
        </w:rPr>
        <w:t>第一章 </w:t>
      </w:r>
      <w:r>
        <w:rPr>
          <w:rFonts w:hint="eastAsia" w:ascii="黑体" w:hAnsi="宋体" w:eastAsia="黑体" w:cs="黑体"/>
          <w:color w:val="auto"/>
          <w:sz w:val="44"/>
          <w:szCs w:val="44"/>
          <w:highlight w:val="none"/>
          <w:lang w:val="en-US" w:eastAsia="zh-CN"/>
        </w:rPr>
        <w:t>招标公告</w:t>
      </w:r>
    </w:p>
    <w:p w14:paraId="6AC6B28A">
      <w:pPr>
        <w:widowControl/>
        <w:spacing w:line="500" w:lineRule="exact"/>
        <w:jc w:val="center"/>
        <w:rPr>
          <w:rFonts w:hint="eastAsia" w:ascii="黑体" w:hAnsi="宋体" w:eastAsia="黑体" w:cs="黑体"/>
          <w:color w:val="auto"/>
          <w:sz w:val="44"/>
          <w:szCs w:val="44"/>
          <w:highlight w:val="none"/>
          <w:lang w:val="en-US" w:eastAsia="zh-CN"/>
        </w:rPr>
      </w:pPr>
      <w:r>
        <w:rPr>
          <w:rFonts w:hint="eastAsia" w:ascii="宋体" w:hAnsi="宋体" w:eastAsia="宋体" w:cs="宋体"/>
          <w:b/>
          <w:bCs/>
          <w:color w:val="auto"/>
          <w:sz w:val="24"/>
          <w:szCs w:val="24"/>
          <w:highlight w:val="none"/>
          <w:u w:val="none"/>
          <w:shd w:val="clear" w:color="auto" w:fill="auto"/>
          <w:lang w:eastAsia="zh-CN"/>
        </w:rPr>
        <w:t>响水县安捷城乡公交有限公司</w:t>
      </w:r>
      <w:r>
        <w:rPr>
          <w:rFonts w:hint="eastAsia" w:ascii="宋体" w:hAnsi="宋体" w:eastAsia="宋体" w:cs="宋体"/>
          <w:b/>
          <w:bCs/>
          <w:color w:val="auto"/>
          <w:sz w:val="24"/>
          <w:szCs w:val="24"/>
          <w:highlight w:val="none"/>
          <w:u w:val="none"/>
          <w:shd w:val="clear" w:color="auto" w:fill="auto"/>
          <w:lang w:val="en-US" w:eastAsia="zh-CN"/>
        </w:rPr>
        <w:t>车辆保险服务</w:t>
      </w:r>
      <w:r>
        <w:rPr>
          <w:rFonts w:hint="eastAsia" w:ascii="宋体" w:hAnsi="宋体" w:eastAsia="宋体" w:cs="宋体"/>
          <w:b/>
          <w:bCs/>
          <w:color w:val="auto"/>
          <w:sz w:val="24"/>
          <w:szCs w:val="24"/>
          <w:highlight w:val="none"/>
          <w:u w:val="none"/>
          <w:lang w:val="en-US" w:eastAsia="zh-CN"/>
        </w:rPr>
        <w:t>采购</w:t>
      </w:r>
      <w:r>
        <w:rPr>
          <w:rFonts w:hint="eastAsia" w:ascii="宋体" w:hAnsi="宋体" w:eastAsia="宋体" w:cs="宋体"/>
          <w:b/>
          <w:bCs/>
          <w:color w:val="auto"/>
          <w:sz w:val="24"/>
          <w:szCs w:val="24"/>
          <w:highlight w:val="none"/>
          <w:u w:val="none"/>
        </w:rPr>
        <w:t>项目</w:t>
      </w:r>
      <w:r>
        <w:rPr>
          <w:rFonts w:hint="eastAsia" w:ascii="宋体" w:hAnsi="宋体" w:eastAsia="宋体" w:cs="宋体"/>
          <w:b/>
          <w:bCs/>
          <w:color w:val="auto"/>
          <w:sz w:val="24"/>
          <w:szCs w:val="24"/>
          <w:highlight w:val="none"/>
          <w:u w:val="none"/>
          <w:lang w:val="en-US" w:eastAsia="zh-CN"/>
        </w:rPr>
        <w:t>招标公告</w:t>
      </w:r>
      <w:r>
        <w:rPr>
          <w:rFonts w:hint="eastAsia" w:ascii="宋体" w:hAnsi="宋体" w:eastAsia="宋体" w:cs="宋体"/>
          <w:b/>
          <w:color w:val="auto"/>
          <w:kern w:val="0"/>
          <w:sz w:val="24"/>
          <w:szCs w:val="24"/>
          <w:highlight w:val="none"/>
          <w:u w:val="none"/>
        </w:rPr>
        <w:t>（不见面开标）</w:t>
      </w:r>
    </w:p>
    <w:p w14:paraId="259770F0">
      <w:pPr>
        <w:pStyle w:val="9"/>
        <w:rPr>
          <w:rFonts w:hint="default" w:ascii="黑体" w:hAnsi="宋体" w:eastAsia="黑体" w:cs="黑体"/>
          <w:color w:val="auto"/>
          <w:sz w:val="24"/>
          <w:szCs w:val="24"/>
          <w:highlight w:val="none"/>
          <w:lang w:val="en-US" w:eastAsia="zh-CN"/>
        </w:rPr>
      </w:pPr>
      <w:r>
        <w:rPr>
          <w:rFonts w:hint="eastAsia" w:ascii="宋体" w:hAnsi="宋体" w:cs="宋体"/>
          <w:b w:val="0"/>
          <w:bCs/>
          <w:color w:val="auto"/>
          <w:kern w:val="0"/>
          <w:sz w:val="24"/>
          <w:szCs w:val="24"/>
          <w:highlight w:val="none"/>
          <w:lang w:eastAsia="zh-CN"/>
        </w:rPr>
        <w:t>（由采购人自行组织实施，响水县公共资源交易中心仅代采购人发布公告，不参加该项目的采购活动）</w:t>
      </w:r>
    </w:p>
    <w:p w14:paraId="3A37393B">
      <w:pPr>
        <w:pStyle w:val="14"/>
        <w:pageBreakBefore w:val="0"/>
        <w:pBdr>
          <w:top w:val="single" w:color="000000" w:sz="4" w:space="0"/>
          <w:left w:val="single" w:color="000000" w:sz="4" w:space="0"/>
          <w:bottom w:val="single" w:color="000000" w:sz="4" w:space="0"/>
          <w:right w:val="single" w:color="000000" w:sz="4" w:space="0"/>
        </w:pBdr>
        <w:kinsoku/>
        <w:wordWrap/>
        <w:overflowPunct/>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61F63163">
      <w:pPr>
        <w:pStyle w:val="14"/>
        <w:keepNext w:val="0"/>
        <w:keepLines w:val="0"/>
        <w:pageBreakBefore w:val="0"/>
        <w:widowControl/>
        <w:pBdr>
          <w:top w:val="single" w:color="000000" w:sz="4" w:space="0"/>
          <w:left w:val="single" w:color="000000" w:sz="4" w:space="0"/>
          <w:bottom w:val="single" w:color="000000" w:sz="4" w:space="0"/>
          <w:right w:val="single" w:color="000000" w:sz="4" w:space="0"/>
        </w:pBdr>
        <w:kinsoku/>
        <w:wordWrap/>
        <w:overflowPunct/>
        <w:topLinePunct w:val="0"/>
        <w:autoSpaceDE/>
        <w:autoSpaceDN/>
        <w:bidi w:val="0"/>
        <w:adjustRightInd w:val="0"/>
        <w:snapToGrid w:val="0"/>
        <w:spacing w:beforeAutospacing="0" w:afterAutospacing="0" w:line="500" w:lineRule="exact"/>
        <w:ind w:left="0" w:right="0" w:firstLine="482" w:firstLineChars="200"/>
        <w:jc w:val="left"/>
        <w:textAlignment w:val="auto"/>
        <w:outlineLvl w:val="9"/>
        <w:rPr>
          <w:rFonts w:hint="eastAsia" w:ascii="宋体" w:hAnsi="宋体" w:eastAsia="宋体" w:cs="宋体"/>
          <w:color w:val="auto"/>
          <w:sz w:val="24"/>
          <w:szCs w:val="24"/>
          <w:highlight w:val="none"/>
        </w:rPr>
      </w:pPr>
      <w:bookmarkStart w:id="6" w:name="_Toc35393790"/>
      <w:bookmarkStart w:id="7" w:name="_Toc28359002"/>
      <w:bookmarkStart w:id="8" w:name="_Toc35393621"/>
      <w:bookmarkStart w:id="9" w:name="_Toc28359079"/>
      <w:bookmarkStart w:id="10" w:name="_Toc38985263"/>
      <w:bookmarkStart w:id="11" w:name="_Hlk24379207"/>
      <w:r>
        <w:rPr>
          <w:rFonts w:hint="eastAsia" w:ascii="宋体" w:hAnsi="宋体" w:eastAsia="宋体" w:cs="宋体"/>
          <w:b/>
          <w:bCs/>
          <w:color w:val="auto"/>
          <w:sz w:val="24"/>
          <w:szCs w:val="24"/>
          <w:highlight w:val="none"/>
          <w:u w:val="single"/>
          <w:shd w:val="clear" w:color="auto" w:fill="auto"/>
          <w:lang w:eastAsia="zh-CN"/>
        </w:rPr>
        <w:t>响水县安捷城乡公交有限公司</w:t>
      </w:r>
      <w:r>
        <w:rPr>
          <w:rFonts w:hint="eastAsia" w:ascii="宋体" w:hAnsi="宋体" w:eastAsia="宋体" w:cs="宋体"/>
          <w:b/>
          <w:bCs/>
          <w:color w:val="auto"/>
          <w:sz w:val="24"/>
          <w:szCs w:val="24"/>
          <w:highlight w:val="none"/>
          <w:u w:val="single"/>
          <w:shd w:val="clear" w:color="auto" w:fill="auto"/>
          <w:lang w:val="en-US" w:eastAsia="zh-CN"/>
        </w:rPr>
        <w:t>车辆保险服务</w:t>
      </w:r>
      <w:r>
        <w:rPr>
          <w:rFonts w:hint="eastAsia" w:ascii="宋体" w:hAnsi="宋体" w:eastAsia="宋体" w:cs="宋体"/>
          <w:b/>
          <w:bCs/>
          <w:color w:val="auto"/>
          <w:sz w:val="24"/>
          <w:szCs w:val="24"/>
          <w:highlight w:val="none"/>
          <w:u w:val="single"/>
          <w:lang w:val="en-US" w:eastAsia="zh-CN"/>
        </w:rPr>
        <w:t>采购</w:t>
      </w:r>
      <w:r>
        <w:rPr>
          <w:rFonts w:hint="eastAsia" w:ascii="宋体" w:hAnsi="宋体" w:eastAsia="宋体" w:cs="宋体"/>
          <w:b/>
          <w:bCs/>
          <w:color w:val="auto"/>
          <w:sz w:val="24"/>
          <w:szCs w:val="24"/>
          <w:highlight w:val="none"/>
          <w:u w:val="single"/>
        </w:rPr>
        <w:t>项目</w:t>
      </w:r>
      <w:r>
        <w:rPr>
          <w:rFonts w:hint="eastAsia" w:ascii="宋体" w:hAnsi="宋体" w:eastAsia="宋体" w:cs="宋体"/>
          <w:color w:val="auto"/>
          <w:sz w:val="24"/>
          <w:szCs w:val="24"/>
          <w:highlight w:val="none"/>
        </w:rPr>
        <w:t>的潜在供应商</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在</w:t>
      </w:r>
      <w:r>
        <w:rPr>
          <w:rFonts w:hint="eastAsia" w:ascii="宋体" w:hAnsi="宋体" w:cs="宋体"/>
          <w:color w:val="auto"/>
          <w:sz w:val="24"/>
          <w:highlight w:val="none"/>
          <w:u w:val="single"/>
        </w:rPr>
        <w:t>响水县人民政府网（http://www.xiangshui.gov.cn/）</w:t>
      </w:r>
      <w:r>
        <w:rPr>
          <w:rFonts w:hint="eastAsia" w:ascii="宋体" w:hAnsi="宋体" w:eastAsia="宋体" w:cs="宋体"/>
          <w:i w:val="0"/>
          <w:iCs w:val="0"/>
          <w:caps w:val="0"/>
          <w:color w:val="auto"/>
          <w:spacing w:val="0"/>
          <w:sz w:val="24"/>
          <w:szCs w:val="24"/>
          <w:highlight w:val="none"/>
          <w:shd w:val="clear" w:color="auto" w:fill="FFFFFF"/>
        </w:rPr>
        <w:t>获取</w:t>
      </w:r>
      <w:r>
        <w:rPr>
          <w:rFonts w:hint="eastAsia" w:ascii="宋体" w:hAnsi="宋体" w:eastAsia="宋体" w:cs="宋体"/>
          <w:i w:val="0"/>
          <w:iCs w:val="0"/>
          <w:caps w:val="0"/>
          <w:color w:val="auto"/>
          <w:spacing w:val="0"/>
          <w:sz w:val="24"/>
          <w:szCs w:val="24"/>
          <w:highlight w:val="none"/>
          <w:shd w:val="clear" w:color="auto" w:fill="FFFFFF"/>
          <w:lang w:val="en-US" w:eastAsia="zh-CN"/>
        </w:rPr>
        <w:t>采购</w:t>
      </w:r>
      <w:r>
        <w:rPr>
          <w:rFonts w:hint="eastAsia" w:ascii="宋体" w:hAnsi="宋体" w:eastAsia="宋体" w:cs="宋体"/>
          <w:i w:val="0"/>
          <w:iCs w:val="0"/>
          <w:caps w:val="0"/>
          <w:color w:val="auto"/>
          <w:spacing w:val="0"/>
          <w:sz w:val="24"/>
          <w:szCs w:val="24"/>
          <w:highlight w:val="none"/>
          <w:shd w:val="clear" w:color="auto" w:fill="FFFFFF"/>
        </w:rPr>
        <w:t>文件，方能参与政府采购项目</w:t>
      </w:r>
      <w:r>
        <w:rPr>
          <w:rFonts w:hint="eastAsia" w:ascii="宋体" w:hAnsi="宋体" w:eastAsia="宋体" w:cs="宋体"/>
          <w:color w:val="auto"/>
          <w:sz w:val="24"/>
          <w:szCs w:val="24"/>
          <w:highlight w:val="none"/>
        </w:rPr>
        <w:t>，并于</w:t>
      </w:r>
      <w:r>
        <w:rPr>
          <w:rFonts w:hint="eastAsia" w:eastAsia="宋体" w:cs="宋体"/>
          <w:b w:val="0"/>
          <w:bCs w:val="0"/>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年</w:t>
      </w:r>
      <w:r>
        <w:rPr>
          <w:rFonts w:hint="eastAsia"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rPr>
        <w:t>日</w:t>
      </w:r>
      <w:r>
        <w:rPr>
          <w:rFonts w:hint="eastAsia" w:eastAsia="宋体" w:cs="宋体"/>
          <w:color w:val="auto"/>
          <w:sz w:val="24"/>
          <w:szCs w:val="24"/>
          <w:highlight w:val="none"/>
          <w:u w:val="single"/>
          <w:lang w:val="en-US" w:eastAsia="zh-CN"/>
        </w:rPr>
        <w:t>10：00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北京时间）前递交响应文件。</w:t>
      </w:r>
    </w:p>
    <w:p w14:paraId="2019027C">
      <w:pPr>
        <w:pStyle w:val="14"/>
        <w:keepNext/>
        <w:keepLines/>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b/>
          <w:color w:val="auto"/>
          <w:sz w:val="24"/>
          <w:szCs w:val="24"/>
          <w:highlight w:val="none"/>
        </w:rPr>
      </w:pPr>
    </w:p>
    <w:p w14:paraId="5C0F5791">
      <w:pPr>
        <w:pStyle w:val="14"/>
        <w:keepNext/>
        <w:keepLines/>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一、项目基本情况</w:t>
      </w:r>
      <w:bookmarkEnd w:id="6"/>
      <w:bookmarkEnd w:id="7"/>
      <w:bookmarkEnd w:id="8"/>
      <w:bookmarkEnd w:id="9"/>
      <w:bookmarkEnd w:id="10"/>
      <w:bookmarkEnd w:id="11"/>
    </w:p>
    <w:p w14:paraId="0F35991D">
      <w:pPr>
        <w:pStyle w:val="14"/>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val="en-US" w:eastAsia="zh-CN"/>
        </w:rPr>
        <w:t>XSX-GQCG-202509015</w:t>
      </w:r>
    </w:p>
    <w:p w14:paraId="724DA292">
      <w:pPr>
        <w:pStyle w:val="14"/>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shd w:val="clear" w:color="auto" w:fill="auto"/>
          <w:lang w:eastAsia="zh-CN"/>
        </w:rPr>
        <w:t>响水县安捷城乡公交有限公司</w:t>
      </w:r>
      <w:r>
        <w:rPr>
          <w:rFonts w:hint="eastAsia" w:ascii="宋体" w:hAnsi="宋体" w:eastAsia="宋体" w:cs="宋体"/>
          <w:color w:val="auto"/>
          <w:sz w:val="24"/>
          <w:szCs w:val="24"/>
          <w:highlight w:val="none"/>
          <w:shd w:val="clear" w:color="auto" w:fill="auto"/>
          <w:lang w:val="en-US" w:eastAsia="zh-CN"/>
        </w:rPr>
        <w:t>车辆保险服务采购项目</w:t>
      </w:r>
    </w:p>
    <w:p w14:paraId="35EBDC8A">
      <w:pPr>
        <w:pStyle w:val="14"/>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采购方式：</w:t>
      </w:r>
      <w:r>
        <w:rPr>
          <w:rFonts w:hint="eastAsia" w:ascii="宋体" w:hAnsi="宋体" w:eastAsia="宋体" w:cs="宋体"/>
          <w:i w:val="0"/>
          <w:iCs w:val="0"/>
          <w:caps w:val="0"/>
          <w:color w:val="auto"/>
          <w:spacing w:val="0"/>
          <w:sz w:val="24"/>
          <w:szCs w:val="24"/>
          <w:highlight w:val="none"/>
          <w:shd w:val="clear" w:fill="FFFFFF"/>
          <w:lang w:val="en-US" w:eastAsia="zh-CN"/>
        </w:rPr>
        <w:t>公开招标</w:t>
      </w:r>
    </w:p>
    <w:p w14:paraId="727310E7">
      <w:pPr>
        <w:pStyle w:val="14"/>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104万元</w:t>
      </w:r>
    </w:p>
    <w:p w14:paraId="638F2993">
      <w:pPr>
        <w:pStyle w:val="14"/>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最高限价：</w:t>
      </w:r>
    </w:p>
    <w:p w14:paraId="700791D2">
      <w:pPr>
        <w:pStyle w:val="14"/>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i w:val="0"/>
          <w:iCs w:val="0"/>
          <w:caps w:val="0"/>
          <w:color w:val="auto"/>
          <w:spacing w:val="0"/>
          <w:sz w:val="24"/>
          <w:szCs w:val="24"/>
          <w:highlight w:val="none"/>
          <w:u w:val="single"/>
          <w:shd w:val="clear" w:color="auto" w:fill="auto"/>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i w:val="0"/>
          <w:iCs w:val="0"/>
          <w:caps w:val="0"/>
          <w:color w:val="auto"/>
          <w:spacing w:val="0"/>
          <w:sz w:val="24"/>
          <w:szCs w:val="24"/>
          <w:highlight w:val="none"/>
          <w:shd w:val="clear" w:color="auto" w:fill="auto"/>
          <w:lang w:val="en-US" w:eastAsia="zh-CN"/>
        </w:rPr>
        <w:t>自主定价系数折扣率：</w:t>
      </w:r>
      <w:r>
        <w:rPr>
          <w:rFonts w:hint="eastAsia" w:ascii="宋体" w:hAnsi="宋体" w:eastAsia="宋体" w:cs="宋体"/>
          <w:i w:val="0"/>
          <w:iCs w:val="0"/>
          <w:caps w:val="0"/>
          <w:color w:val="auto"/>
          <w:spacing w:val="0"/>
          <w:sz w:val="24"/>
          <w:szCs w:val="24"/>
          <w:highlight w:val="none"/>
          <w:u w:val="single"/>
          <w:shd w:val="clear" w:color="auto" w:fill="auto"/>
          <w:lang w:val="en-US" w:eastAsia="zh-CN"/>
        </w:rPr>
        <w:t>100%</w:t>
      </w:r>
    </w:p>
    <w:p w14:paraId="12B15BF1">
      <w:pPr>
        <w:pStyle w:val="14"/>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2）承运人责任险</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150</w:t>
      </w:r>
      <w:r>
        <w:rPr>
          <w:rFonts w:hint="eastAsia" w:ascii="宋体" w:hAnsi="宋体" w:cs="宋体"/>
          <w:color w:val="auto"/>
          <w:sz w:val="24"/>
          <w:szCs w:val="24"/>
          <w:highlight w:val="none"/>
        </w:rPr>
        <w:t>万</w:t>
      </w:r>
      <w:r>
        <w:rPr>
          <w:rFonts w:hint="eastAsia" w:ascii="宋体" w:hAnsi="宋体" w:cs="宋体"/>
          <w:color w:val="auto"/>
          <w:sz w:val="24"/>
          <w:szCs w:val="24"/>
          <w:highlight w:val="none"/>
          <w:lang w:val="en-US" w:eastAsia="zh-CN"/>
        </w:rPr>
        <w:t>/座；</w:t>
      </w:r>
      <w:r>
        <w:rPr>
          <w:rFonts w:hint="eastAsia" w:ascii="宋体" w:hAnsi="宋体" w:cs="宋体"/>
          <w:color w:val="auto"/>
          <w:sz w:val="24"/>
          <w:szCs w:val="24"/>
          <w:highlight w:val="none"/>
        </w:rPr>
        <w:t>含不计免赔）</w:t>
      </w:r>
      <w:r>
        <w:rPr>
          <w:rFonts w:hint="eastAsia" w:ascii="宋体" w:hAnsi="宋体" w:cs="宋体"/>
          <w:color w:val="auto"/>
          <w:sz w:val="24"/>
          <w:szCs w:val="24"/>
          <w:highlight w:val="none"/>
          <w:lang w:val="en-US" w:eastAsia="zh-CN"/>
        </w:rPr>
        <w:t>保险费，保险费120元/座；</w:t>
      </w:r>
    </w:p>
    <w:p w14:paraId="25B5CFAE">
      <w:pPr>
        <w:pStyle w:val="14"/>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w:t>
      </w:r>
      <w:r>
        <w:rPr>
          <w:rFonts w:hint="eastAsia"/>
          <w:color w:val="auto"/>
          <w:sz w:val="24"/>
          <w:highlight w:val="none"/>
          <w:lang w:val="en-US" w:eastAsia="zh-CN"/>
        </w:rPr>
        <w:t>超过最高限价投标无效。</w:t>
      </w:r>
    </w:p>
    <w:p w14:paraId="4B49BE0D">
      <w:pPr>
        <w:pStyle w:val="14"/>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.采购需求（简介）：</w:t>
      </w:r>
    </w:p>
    <w:p w14:paraId="481D7891">
      <w:pPr>
        <w:pStyle w:val="14"/>
        <w:pageBreakBefore w:val="0"/>
        <w:kinsoku/>
        <w:wordWrap/>
        <w:overflowPunct/>
        <w:topLinePunct w:val="0"/>
        <w:autoSpaceDE/>
        <w:autoSpaceDN/>
        <w:bidi w:val="0"/>
        <w:adjustRightInd w:val="0"/>
        <w:snapToGrid w:val="0"/>
        <w:spacing w:before="0" w:beforeAutospacing="0" w:after="0" w:afterAutospacing="0" w:line="400" w:lineRule="exact"/>
        <w:ind w:right="0" w:firstLine="480" w:firstLineChars="200"/>
        <w:jc w:val="left"/>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shd w:val="clear" w:color="auto" w:fill="auto"/>
          <w:lang w:val="en-US" w:eastAsia="zh-CN"/>
        </w:rPr>
        <w:t>6.1对本公司92辆</w:t>
      </w:r>
      <w:r>
        <w:rPr>
          <w:rFonts w:hint="eastAsia" w:ascii="宋体" w:hAnsi="宋体" w:eastAsia="宋体" w:cs="宋体"/>
          <w:b w:val="0"/>
          <w:bCs w:val="0"/>
          <w:color w:val="auto"/>
          <w:sz w:val="24"/>
          <w:szCs w:val="24"/>
          <w:highlight w:val="none"/>
          <w:u w:val="none"/>
          <w:lang w:val="en-US" w:eastAsia="zh-CN"/>
        </w:rPr>
        <w:t>柴油车</w:t>
      </w:r>
      <w:r>
        <w:rPr>
          <w:rFonts w:hint="eastAsia" w:ascii="宋体" w:hAnsi="宋体" w:eastAsia="宋体" w:cs="宋体"/>
          <w:b w:val="0"/>
          <w:bCs w:val="0"/>
          <w:color w:val="auto"/>
          <w:sz w:val="24"/>
          <w:szCs w:val="24"/>
          <w:highlight w:val="none"/>
          <w:u w:val="none"/>
          <w:shd w:val="clear" w:color="auto" w:fill="auto"/>
          <w:lang w:val="en-US" w:eastAsia="zh-CN"/>
        </w:rPr>
        <w:t>汽车</w:t>
      </w:r>
      <w:r>
        <w:rPr>
          <w:rFonts w:hint="eastAsia" w:ascii="宋体" w:hAnsi="宋体" w:cs="宋体"/>
          <w:color w:val="auto"/>
          <w:sz w:val="24"/>
          <w:szCs w:val="24"/>
          <w:highlight w:val="none"/>
          <w:lang w:val="en-US" w:eastAsia="zh-CN"/>
        </w:rPr>
        <w:t>的</w:t>
      </w:r>
      <w:r>
        <w:rPr>
          <w:rFonts w:hint="eastAsia" w:ascii="宋体" w:hAnsi="宋体" w:eastAsia="宋体" w:cs="宋体"/>
          <w:b w:val="0"/>
          <w:bCs w:val="0"/>
          <w:color w:val="auto"/>
          <w:sz w:val="24"/>
          <w:szCs w:val="24"/>
          <w:highlight w:val="none"/>
          <w:u w:val="none"/>
          <w:shd w:val="clear" w:color="auto" w:fill="auto"/>
          <w:lang w:val="en-US" w:eastAsia="zh-CN"/>
        </w:rPr>
        <w:t>车辆保险服务进行</w:t>
      </w:r>
      <w:r>
        <w:rPr>
          <w:rFonts w:hint="eastAsia" w:ascii="宋体" w:hAnsi="宋体" w:eastAsia="宋体" w:cs="宋体"/>
          <w:b w:val="0"/>
          <w:bCs w:val="0"/>
          <w:color w:val="auto"/>
          <w:sz w:val="24"/>
          <w:szCs w:val="24"/>
          <w:highlight w:val="none"/>
          <w:u w:val="none"/>
          <w:lang w:val="en-US" w:eastAsia="zh-CN"/>
        </w:rPr>
        <w:t>采购；</w:t>
      </w:r>
    </w:p>
    <w:p w14:paraId="44A458CB">
      <w:pPr>
        <w:pStyle w:val="14"/>
        <w:pageBreakBefore w:val="0"/>
        <w:kinsoku/>
        <w:wordWrap/>
        <w:overflowPunct/>
        <w:topLinePunct w:val="0"/>
        <w:autoSpaceDE/>
        <w:autoSpaceDN/>
        <w:bidi w:val="0"/>
        <w:adjustRightInd w:val="0"/>
        <w:snapToGrid w:val="0"/>
        <w:spacing w:before="0" w:beforeAutospacing="0" w:after="0" w:afterAutospacing="0" w:line="400" w:lineRule="exact"/>
        <w:ind w:right="0" w:firstLine="480" w:firstLineChars="200"/>
        <w:jc w:val="left"/>
        <w:textAlignment w:val="auto"/>
        <w:outlineLvl w:val="9"/>
        <w:rPr>
          <w:rFonts w:hint="eastAsia" w:ascii="宋体" w:hAnsi="宋体" w:eastAsia="宋体" w:cs="宋体"/>
          <w:b/>
          <w:bCs/>
          <w:color w:val="auto"/>
          <w:sz w:val="24"/>
          <w:szCs w:val="24"/>
          <w:highlight w:val="none"/>
          <w:u w:val="single"/>
          <w:lang w:val="en-US" w:eastAsia="zh-CN"/>
        </w:rPr>
      </w:pPr>
      <w:r>
        <w:rPr>
          <w:rFonts w:hint="eastAsia" w:ascii="宋体" w:hAnsi="宋体" w:cs="宋体"/>
          <w:color w:val="auto"/>
          <w:sz w:val="24"/>
          <w:szCs w:val="24"/>
          <w:highlight w:val="none"/>
          <w:lang w:val="en-US" w:eastAsia="zh-CN"/>
        </w:rPr>
        <w:t>6.2车险</w:t>
      </w:r>
      <w:r>
        <w:rPr>
          <w:rFonts w:hint="eastAsia" w:ascii="宋体" w:hAnsi="宋体" w:cs="宋体"/>
          <w:color w:val="auto"/>
          <w:sz w:val="24"/>
          <w:szCs w:val="24"/>
          <w:highlight w:val="none"/>
        </w:rPr>
        <w:t>含</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交通事故责任强制保险（不含车船使用税）</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第三者责任保险</w:t>
      </w:r>
      <w:r>
        <w:rPr>
          <w:rFonts w:hint="eastAsia" w:ascii="宋体" w:hAnsi="宋体" w:cs="宋体"/>
          <w:color w:val="auto"/>
          <w:sz w:val="24"/>
          <w:szCs w:val="24"/>
          <w:highlight w:val="none"/>
          <w:lang w:val="en-US" w:eastAsia="zh-CN"/>
        </w:rPr>
        <w:t>300万</w:t>
      </w:r>
      <w:r>
        <w:rPr>
          <w:rFonts w:hint="eastAsia" w:ascii="宋体" w:hAnsi="宋体" w:cs="宋体"/>
          <w:color w:val="auto"/>
          <w:sz w:val="24"/>
          <w:szCs w:val="24"/>
          <w:highlight w:val="none"/>
        </w:rPr>
        <w:t>（不计免赔）</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车辆损失险（不计免赔）、</w:t>
      </w:r>
      <w:r>
        <w:rPr>
          <w:rFonts w:hint="eastAsia" w:ascii="宋体" w:hAnsi="宋体" w:cs="宋体"/>
          <w:color w:val="auto"/>
          <w:sz w:val="24"/>
          <w:szCs w:val="24"/>
          <w:highlight w:val="none"/>
          <w:lang w:val="en-US" w:eastAsia="zh-CN"/>
        </w:rPr>
        <w:t>承运人责任险</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150</w:t>
      </w:r>
      <w:r>
        <w:rPr>
          <w:rFonts w:hint="eastAsia" w:ascii="宋体" w:hAnsi="宋体" w:cs="宋体"/>
          <w:color w:val="auto"/>
          <w:sz w:val="24"/>
          <w:szCs w:val="24"/>
          <w:highlight w:val="none"/>
        </w:rPr>
        <w:t>万</w:t>
      </w:r>
      <w:r>
        <w:rPr>
          <w:rFonts w:hint="eastAsia" w:ascii="宋体" w:hAnsi="宋体" w:cs="宋体"/>
          <w:color w:val="auto"/>
          <w:sz w:val="24"/>
          <w:szCs w:val="24"/>
          <w:highlight w:val="none"/>
          <w:lang w:val="en-US" w:eastAsia="zh-CN"/>
        </w:rPr>
        <w:t>/座；</w:t>
      </w:r>
      <w:r>
        <w:rPr>
          <w:rFonts w:hint="eastAsia" w:ascii="宋体" w:hAnsi="宋体" w:cs="宋体"/>
          <w:color w:val="auto"/>
          <w:sz w:val="24"/>
          <w:szCs w:val="24"/>
          <w:highlight w:val="none"/>
        </w:rPr>
        <w:t>含不计免赔）</w:t>
      </w:r>
    </w:p>
    <w:p w14:paraId="79820719">
      <w:pPr>
        <w:pStyle w:val="14"/>
        <w:pageBreakBefore w:val="0"/>
        <w:kinsoku/>
        <w:wordWrap/>
        <w:overflowPunct/>
        <w:topLinePunct w:val="0"/>
        <w:autoSpaceDE/>
        <w:autoSpaceDN/>
        <w:bidi w:val="0"/>
        <w:adjustRightInd w:val="0"/>
        <w:snapToGrid w:val="0"/>
        <w:spacing w:before="0" w:beforeAutospacing="0" w:after="0" w:afterAutospacing="0" w:line="400" w:lineRule="exact"/>
        <w:ind w:right="0" w:firstLine="480" w:firstLineChars="200"/>
        <w:jc w:val="left"/>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6.3车辆续保期限1年；</w:t>
      </w:r>
    </w:p>
    <w:p w14:paraId="7EF86FA6">
      <w:pPr>
        <w:pStyle w:val="14"/>
        <w:pageBreakBefore w:val="0"/>
        <w:kinsoku/>
        <w:wordWrap/>
        <w:overflowPunct/>
        <w:topLinePunct w:val="0"/>
        <w:autoSpaceDE/>
        <w:autoSpaceDN/>
        <w:bidi w:val="0"/>
        <w:adjustRightInd w:val="0"/>
        <w:snapToGrid w:val="0"/>
        <w:spacing w:before="0" w:beforeAutospacing="0" w:after="0" w:afterAutospacing="0" w:line="400" w:lineRule="exact"/>
        <w:ind w:right="0" w:firstLine="480" w:firstLineChars="200"/>
        <w:jc w:val="left"/>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6.4所有投保车辆须满足自主定价系数低于1.35，取费标准根据中国银保监会《</w:t>
      </w:r>
      <w:bookmarkStart w:id="12" w:name="OLE_LINK1"/>
      <w:r>
        <w:rPr>
          <w:rFonts w:hint="eastAsia" w:ascii="宋体" w:hAnsi="宋体" w:eastAsia="宋体" w:cs="宋体"/>
          <w:i w:val="0"/>
          <w:iCs w:val="0"/>
          <w:caps w:val="0"/>
          <w:color w:val="auto"/>
          <w:spacing w:val="0"/>
          <w:sz w:val="24"/>
          <w:szCs w:val="24"/>
          <w:highlight w:val="none"/>
          <w:shd w:val="clear" w:color="auto" w:fill="auto"/>
          <w:lang w:val="en-US" w:eastAsia="zh-CN"/>
        </w:rPr>
        <w:t>关于印发实施车险综合改革指导意见的通知</w:t>
      </w:r>
      <w:bookmarkEnd w:id="12"/>
      <w:r>
        <w:rPr>
          <w:rFonts w:hint="eastAsia" w:ascii="宋体" w:hAnsi="宋体" w:eastAsia="宋体" w:cs="宋体"/>
          <w:i w:val="0"/>
          <w:iCs w:val="0"/>
          <w:caps w:val="0"/>
          <w:color w:val="auto"/>
          <w:spacing w:val="0"/>
          <w:sz w:val="24"/>
          <w:szCs w:val="24"/>
          <w:highlight w:val="none"/>
          <w:shd w:val="clear" w:color="auto" w:fill="auto"/>
          <w:lang w:val="en-US" w:eastAsia="zh-CN"/>
        </w:rPr>
        <w:t>》</w:t>
      </w:r>
    </w:p>
    <w:p w14:paraId="2C770AEC">
      <w:pPr>
        <w:pStyle w:val="14"/>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.合同履行期限：</w:t>
      </w:r>
      <w:r>
        <w:rPr>
          <w:rFonts w:hint="eastAsia" w:ascii="宋体" w:hAnsi="宋体" w:eastAsia="宋体" w:cs="宋体"/>
          <w:i w:val="0"/>
          <w:iCs w:val="0"/>
          <w:caps w:val="0"/>
          <w:color w:val="auto"/>
          <w:spacing w:val="0"/>
          <w:sz w:val="24"/>
          <w:szCs w:val="24"/>
          <w:highlight w:val="none"/>
          <w:shd w:val="clear" w:color="auto" w:fill="auto"/>
          <w:lang w:val="en-US" w:eastAsia="zh-CN"/>
        </w:rPr>
        <w:t>1年</w:t>
      </w:r>
    </w:p>
    <w:p w14:paraId="52432C18">
      <w:pPr>
        <w:pStyle w:val="14"/>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接受联合体参与</w:t>
      </w:r>
      <w:r>
        <w:rPr>
          <w:rFonts w:hint="eastAsia" w:ascii="宋体" w:hAnsi="宋体" w:eastAsia="宋体" w:cs="宋体"/>
          <w:color w:val="auto"/>
          <w:sz w:val="24"/>
          <w:szCs w:val="24"/>
          <w:highlight w:val="none"/>
          <w:lang w:val="en-US" w:eastAsia="zh-CN"/>
        </w:rPr>
        <w:t>招标。</w:t>
      </w:r>
    </w:p>
    <w:p w14:paraId="0D95F988">
      <w:pPr>
        <w:pStyle w:val="14"/>
        <w:keepNext/>
        <w:keepLines/>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color w:val="auto"/>
          <w:sz w:val="24"/>
          <w:szCs w:val="24"/>
          <w:highlight w:val="none"/>
        </w:rPr>
      </w:pPr>
      <w:bookmarkStart w:id="13" w:name="_Toc35393622"/>
      <w:bookmarkStart w:id="14" w:name="_Toc38985264"/>
      <w:bookmarkStart w:id="15" w:name="_Toc28359080"/>
      <w:bookmarkStart w:id="16" w:name="_Toc35393791"/>
      <w:bookmarkStart w:id="17" w:name="_Toc28359003"/>
      <w:r>
        <w:rPr>
          <w:rFonts w:hint="eastAsia" w:ascii="宋体" w:hAnsi="宋体" w:eastAsia="宋体" w:cs="宋体"/>
          <w:b/>
          <w:color w:val="auto"/>
          <w:sz w:val="24"/>
          <w:szCs w:val="24"/>
          <w:highlight w:val="none"/>
        </w:rPr>
        <w:t>二、申请人的资格要求：</w:t>
      </w:r>
      <w:bookmarkEnd w:id="13"/>
      <w:bookmarkEnd w:id="14"/>
      <w:bookmarkEnd w:id="15"/>
      <w:bookmarkEnd w:id="16"/>
      <w:bookmarkEnd w:id="17"/>
    </w:p>
    <w:p w14:paraId="1D22B421">
      <w:pPr>
        <w:pStyle w:val="14"/>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投标供应商须</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以下条件</w:t>
      </w:r>
      <w:r>
        <w:rPr>
          <w:rFonts w:hint="eastAsia" w:ascii="宋体" w:hAnsi="宋体" w:eastAsia="宋体" w:cs="宋体"/>
          <w:color w:val="auto"/>
          <w:sz w:val="24"/>
          <w:szCs w:val="24"/>
          <w:highlight w:val="none"/>
        </w:rPr>
        <w:t>并提供下列材料：</w:t>
      </w:r>
    </w:p>
    <w:p w14:paraId="3839587F">
      <w:pPr>
        <w:pStyle w:val="14"/>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法人或者其他组织的营业执照等证明文件，自然人的身份证明；</w:t>
      </w:r>
    </w:p>
    <w:p w14:paraId="747B7FCD">
      <w:pPr>
        <w:pStyle w:val="14"/>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1.2上一年度的财务状况报</w:t>
      </w:r>
      <w:r>
        <w:rPr>
          <w:rFonts w:hint="eastAsia" w:ascii="宋体" w:hAnsi="宋体" w:eastAsia="宋体" w:cs="宋体"/>
          <w:color w:val="auto"/>
          <w:sz w:val="24"/>
          <w:szCs w:val="24"/>
          <w:highlight w:val="none"/>
          <w:lang w:val="en-US" w:eastAsia="zh-CN"/>
        </w:rPr>
        <w:t>告</w:t>
      </w:r>
      <w:r>
        <w:rPr>
          <w:rFonts w:hint="eastAsia" w:ascii="宋体" w:hAnsi="宋体" w:eastAsia="宋体" w:cs="宋体"/>
          <w:color w:val="auto"/>
          <w:sz w:val="24"/>
          <w:szCs w:val="24"/>
          <w:highlight w:val="none"/>
        </w:rPr>
        <w:t>（成立不满一年无需提供）；</w:t>
      </w:r>
    </w:p>
    <w:p w14:paraId="1459E6E0">
      <w:pPr>
        <w:pStyle w:val="14"/>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具备履行合同所必需的设备和专业技术能力的书面声明；</w:t>
      </w:r>
    </w:p>
    <w:p w14:paraId="5312617D">
      <w:pPr>
        <w:pStyle w:val="14"/>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1905CC55">
      <w:pPr>
        <w:pStyle w:val="14"/>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.5参加政府采购活动前3年内在经营活动中没有重大违法记录的书面声明。</w:t>
      </w:r>
    </w:p>
    <w:p w14:paraId="48E03DAE">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1.6法律、行政法规规定的其他条件。</w:t>
      </w:r>
    </w:p>
    <w:p w14:paraId="359C15D0">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在“信用中国”网站查询，无被列入失信被执行人、重大税收违法案件当事人名单、政府采购严重失信行为记录名单。（响应文件中</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网站查询截图</w:t>
      </w:r>
      <w:r>
        <w:rPr>
          <w:rFonts w:hint="eastAsia" w:ascii="宋体" w:hAnsi="宋体" w:eastAsia="宋体" w:cs="宋体"/>
          <w:color w:val="auto"/>
          <w:sz w:val="24"/>
          <w:szCs w:val="24"/>
          <w:highlight w:val="none"/>
        </w:rPr>
        <w:t>）</w:t>
      </w:r>
    </w:p>
    <w:p w14:paraId="57A41D00">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w:t>
      </w:r>
    </w:p>
    <w:p w14:paraId="444123D7">
      <w:pPr>
        <w:pStyle w:val="14"/>
        <w:pageBreakBefore w:val="0"/>
        <w:kinsoku/>
        <w:wordWrap/>
        <w:overflowPunct/>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落实政府采购政策需满足的资格要求：无</w:t>
      </w:r>
      <w:r>
        <w:rPr>
          <w:rFonts w:hint="eastAsia" w:ascii="宋体" w:hAnsi="宋体" w:eastAsia="宋体" w:cs="宋体"/>
          <w:color w:val="auto"/>
          <w:sz w:val="24"/>
          <w:szCs w:val="24"/>
          <w:highlight w:val="none"/>
          <w:lang w:eastAsia="zh-CN"/>
        </w:rPr>
        <w:t>。</w:t>
      </w:r>
    </w:p>
    <w:p w14:paraId="436E0750">
      <w:pPr>
        <w:pStyle w:val="14"/>
        <w:pageBreakBefore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eastAsia="zh-CN"/>
        </w:rPr>
        <w:t>：</w:t>
      </w:r>
    </w:p>
    <w:p w14:paraId="6CB52AA5">
      <w:pPr>
        <w:pStyle w:val="14"/>
        <w:pageBreakBefore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3.1投标人如委托被授权人参与，则被授权人须为本单位正式职工并提供投标人为被授权人缴纳的社会养老保险证明（投标时提供从2025年 6 月开始至投标截止之日当月至少1个月在本单位缴纳养老保险缴费记录证明）；</w:t>
      </w:r>
    </w:p>
    <w:p w14:paraId="7153E891">
      <w:pPr>
        <w:pStyle w:val="14"/>
        <w:pageBreakBefore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3.2投标人须具有中国银行保险监督管理委员会颁发的《保险许可证》，投标时须提供证书原件的彩色扫描件。</w:t>
      </w:r>
      <w:r>
        <w:rPr>
          <w:rFonts w:hint="eastAsia" w:ascii="宋体" w:hAnsi="宋体" w:eastAsia="宋体" w:cs="宋体"/>
          <w:color w:val="auto"/>
          <w:sz w:val="24"/>
          <w:szCs w:val="24"/>
          <w:highlight w:val="none"/>
          <w:shd w:val="clear" w:color="auto" w:fill="auto"/>
          <w:lang w:val="en-US" w:eastAsia="zh-CN"/>
        </w:rPr>
        <w:tab/>
      </w:r>
    </w:p>
    <w:p w14:paraId="05B609E4">
      <w:pPr>
        <w:pStyle w:val="14"/>
        <w:pageBreakBefore w:val="0"/>
        <w:kinsoku/>
        <w:wordWrap/>
        <w:overflowPunct/>
        <w:topLinePunct w:val="0"/>
        <w:autoSpaceDE/>
        <w:autoSpaceDN/>
        <w:bidi w:val="0"/>
        <w:adjustRightInd w:val="0"/>
        <w:snapToGrid w:val="0"/>
        <w:spacing w:beforeAutospacing="0" w:afterAutospacing="0" w:line="500" w:lineRule="exact"/>
        <w:ind w:left="0" w:right="0" w:firstLine="482" w:firstLineChars="200"/>
        <w:jc w:val="left"/>
        <w:textAlignment w:val="auto"/>
        <w:outlineLvl w:val="9"/>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lang w:val="en-US" w:eastAsia="zh-CN"/>
        </w:rPr>
        <w:t>注：本项目投标人分支机构的负责人视同为投标人法定代表人。</w:t>
      </w:r>
    </w:p>
    <w:p w14:paraId="63754E56">
      <w:pPr>
        <w:pStyle w:val="14"/>
        <w:keepNext/>
        <w:keepLines/>
        <w:pageBreakBefore w:val="0"/>
        <w:kinsoku/>
        <w:wordWrap/>
        <w:overflowPunct/>
        <w:bidi w:val="0"/>
        <w:adjustRightInd w:val="0"/>
        <w:snapToGrid w:val="0"/>
        <w:spacing w:beforeAutospacing="0" w:afterAutospacing="0" w:line="500" w:lineRule="exact"/>
        <w:ind w:left="0" w:right="0"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三、获取招标文件</w:t>
      </w:r>
    </w:p>
    <w:p w14:paraId="46229C6B">
      <w:pPr>
        <w:pageBreakBefore w:val="0"/>
        <w:kinsoku/>
        <w:wordWrap/>
        <w:overflowPunct/>
        <w:bidi w:val="0"/>
        <w:adjustRightInd w:val="0"/>
        <w:snapToGrid w:val="0"/>
        <w:spacing w:line="5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1.开始发放时间：202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w:t>
      </w:r>
    </w:p>
    <w:p w14:paraId="37DD865F">
      <w:pPr>
        <w:pageBreakBefore w:val="0"/>
        <w:kinsoku/>
        <w:wordWrap/>
        <w:overflowPunct/>
        <w:bidi w:val="0"/>
        <w:adjustRightInd w:val="0"/>
        <w:snapToGrid w:val="0"/>
        <w:spacing w:line="5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地点：响水县人民政府网（http://w</w:t>
      </w:r>
      <w:bookmarkStart w:id="194" w:name="_GoBack"/>
      <w:bookmarkEnd w:id="194"/>
      <w:r>
        <w:rPr>
          <w:rFonts w:hint="eastAsia" w:ascii="宋体" w:hAnsi="宋体" w:cs="宋体"/>
          <w:color w:val="auto"/>
          <w:sz w:val="24"/>
          <w:highlight w:val="none"/>
        </w:rPr>
        <w:t>ww.xiangshui.gov.cn/）</w:t>
      </w:r>
    </w:p>
    <w:p w14:paraId="2F537A97">
      <w:pPr>
        <w:pageBreakBefore w:val="0"/>
        <w:kinsoku/>
        <w:wordWrap/>
        <w:overflowPunct/>
        <w:bidi w:val="0"/>
        <w:adjustRightInd w:val="0"/>
        <w:snapToGrid w:val="0"/>
        <w:spacing w:line="5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方式：符合资格要求的投标人可自行登录“响水县人民政府网-招投标信息“国企采购-采购公告栏”下载招标文件。</w:t>
      </w:r>
    </w:p>
    <w:p w14:paraId="48944B76">
      <w:pPr>
        <w:pStyle w:val="14"/>
        <w:keepNext/>
        <w:keepLines/>
        <w:pageBreakBefore w:val="0"/>
        <w:kinsoku/>
        <w:wordWrap/>
        <w:overflowPunct/>
        <w:bidi w:val="0"/>
        <w:adjustRightInd w:val="0"/>
        <w:snapToGrid w:val="0"/>
        <w:spacing w:beforeAutospacing="0" w:afterAutospacing="0" w:line="500" w:lineRule="exact"/>
        <w:ind w:left="0" w:right="0"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四、提交投标文件截止时间、开标时间和地点</w:t>
      </w:r>
    </w:p>
    <w:p w14:paraId="4002222F">
      <w:pPr>
        <w:pageBreakBefore w:val="0"/>
        <w:kinsoku/>
        <w:wordWrap/>
        <w:overflowPunct/>
        <w:bidi w:val="0"/>
        <w:adjustRightInd w:val="0"/>
        <w:snapToGrid w:val="0"/>
        <w:spacing w:line="500" w:lineRule="exact"/>
        <w:ind w:left="0" w:right="0" w:firstLine="480" w:firstLineChars="200"/>
        <w:jc w:val="left"/>
        <w:textAlignment w:val="auto"/>
        <w:outlineLvl w:val="9"/>
        <w:rPr>
          <w:rFonts w:hint="eastAsia" w:ascii="宋体" w:hAnsi="宋体" w:cs="宋体"/>
          <w:bCs/>
          <w:color w:val="auto"/>
          <w:sz w:val="24"/>
          <w:highlight w:val="none"/>
        </w:rPr>
      </w:pPr>
      <w:bookmarkStart w:id="18" w:name="_Toc28359007"/>
      <w:bookmarkStart w:id="19" w:name="_Toc35393794"/>
      <w:bookmarkStart w:id="20" w:name="_Toc28359084"/>
      <w:bookmarkStart w:id="21" w:name="_Toc35393625"/>
      <w:bookmarkStart w:id="22" w:name="_Toc38985267"/>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提交投标文件截止时间：202</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 xml:space="preserve">10 </w:t>
      </w:r>
      <w:r>
        <w:rPr>
          <w:rFonts w:hint="eastAsia" w:ascii="宋体" w:hAnsi="宋体" w:cs="宋体"/>
          <w:bCs/>
          <w:color w:val="auto"/>
          <w:sz w:val="24"/>
          <w:highlight w:val="none"/>
        </w:rPr>
        <w:t>月</w:t>
      </w:r>
      <w:r>
        <w:rPr>
          <w:rFonts w:hint="eastAsia" w:ascii="宋体" w:hAnsi="宋体" w:cs="宋体"/>
          <w:bCs/>
          <w:color w:val="auto"/>
          <w:sz w:val="24"/>
          <w:highlight w:val="none"/>
          <w:u w:val="none"/>
          <w:lang w:val="en-US" w:eastAsia="zh-CN"/>
        </w:rPr>
        <w:t>22</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00分（北京时间）</w:t>
      </w:r>
    </w:p>
    <w:p w14:paraId="3B7A1024">
      <w:pPr>
        <w:pageBreakBefore w:val="0"/>
        <w:kinsoku/>
        <w:wordWrap/>
        <w:overflowPunct/>
        <w:bidi w:val="0"/>
        <w:adjustRightInd w:val="0"/>
        <w:snapToGrid w:val="0"/>
        <w:spacing w:line="5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开标时间：</w:t>
      </w:r>
      <w:r>
        <w:rPr>
          <w:rFonts w:hint="eastAsia" w:ascii="宋体" w:hAnsi="宋体" w:cs="宋体"/>
          <w:bCs/>
          <w:color w:val="auto"/>
          <w:sz w:val="24"/>
          <w:highlight w:val="none"/>
        </w:rPr>
        <w:t>202</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22</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00分（北京时间）</w:t>
      </w:r>
    </w:p>
    <w:p w14:paraId="4D1F9367">
      <w:pPr>
        <w:keepNext w:val="0"/>
        <w:keepLines w:val="0"/>
        <w:pageBreakBefore w:val="0"/>
        <w:widowControl w:val="0"/>
        <w:kinsoku/>
        <w:wordWrap/>
        <w:overflowPunct/>
        <w:topLinePunct w:val="0"/>
        <w:autoSpaceDE/>
        <w:autoSpaceDN/>
        <w:bidi w:val="0"/>
        <w:adjustRightInd w:val="0"/>
        <w:snapToGrid w:val="0"/>
        <w:spacing w:line="5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投标地点：上传加密的投标文件至采购人指定邮箱：</w:t>
      </w:r>
      <w:r>
        <w:rPr>
          <w:rFonts w:hint="eastAsia" w:ascii="宋体" w:hAnsi="宋体" w:cs="宋体"/>
          <w:color w:val="auto"/>
          <w:sz w:val="24"/>
          <w:highlight w:val="none"/>
          <w:u w:val="single"/>
          <w:lang w:val="en-US" w:eastAsia="zh-CN"/>
        </w:rPr>
        <w:t>467032405@qq.com</w:t>
      </w:r>
      <w:r>
        <w:rPr>
          <w:rFonts w:hint="eastAsia" w:ascii="宋体" w:hAnsi="宋体" w:cs="宋体"/>
          <w:color w:val="auto"/>
          <w:sz w:val="24"/>
          <w:highlight w:val="none"/>
        </w:rPr>
        <w:t>。</w:t>
      </w:r>
    </w:p>
    <w:p w14:paraId="723B39BB">
      <w:pPr>
        <w:pageBreakBefore w:val="0"/>
        <w:widowControl/>
        <w:tabs>
          <w:tab w:val="left" w:pos="900"/>
        </w:tabs>
        <w:kinsoku/>
        <w:wordWrap/>
        <w:overflowPunct/>
        <w:bidi w:val="0"/>
        <w:adjustRightInd w:val="0"/>
        <w:snapToGrid w:val="0"/>
        <w:spacing w:line="500" w:lineRule="exact"/>
        <w:ind w:left="0" w:right="0" w:firstLine="420" w:firstLineChars="200"/>
        <w:jc w:val="left"/>
        <w:textAlignment w:val="auto"/>
        <w:outlineLvl w:val="9"/>
        <w:rPr>
          <w:rFonts w:hint="eastAsia" w:ascii="宋体" w:hAnsi="宋体" w:cs="宋体"/>
          <w:color w:val="auto"/>
          <w:sz w:val="24"/>
          <w:highlight w:val="none"/>
          <w:lang w:val="en-US" w:eastAsia="zh-CN"/>
        </w:rPr>
      </w:pPr>
      <w:r>
        <w:rPr>
          <w:rFonts w:hint="eastAsia" w:ascii="宋体" w:hAnsi="宋体" w:eastAsia="宋体" w:cs="宋体"/>
          <w:b w:val="0"/>
          <w:bCs w:val="0"/>
          <w:color w:val="auto"/>
          <w:sz w:val="21"/>
          <w:szCs w:val="21"/>
          <w:highlight w:val="none"/>
          <w:lang w:val="en-US" w:eastAsia="zh-CN"/>
        </w:rPr>
        <w:t>逾期递交或未递交至指定邮箱的投标文件，招标人不予接收。邮件发送主题上标明：投标人名称（可简写）+</w:t>
      </w:r>
      <w:r>
        <w:rPr>
          <w:rFonts w:hint="eastAsia" w:ascii="宋体" w:hAnsi="宋体" w:eastAsia="宋体" w:cs="宋体"/>
          <w:b/>
          <w:bCs/>
          <w:color w:val="auto"/>
          <w:sz w:val="21"/>
          <w:szCs w:val="21"/>
          <w:highlight w:val="none"/>
          <w:lang w:val="en-US" w:eastAsia="zh-CN"/>
        </w:rPr>
        <w:t>安捷公司投标文件</w:t>
      </w:r>
      <w:r>
        <w:rPr>
          <w:rFonts w:hint="eastAsia" w:ascii="宋体" w:hAnsi="宋体" w:eastAsia="宋体" w:cs="宋体"/>
          <w:b w:val="0"/>
          <w:bCs w:val="0"/>
          <w:color w:val="auto"/>
          <w:sz w:val="21"/>
          <w:szCs w:val="21"/>
          <w:highlight w:val="none"/>
          <w:lang w:val="en-US" w:eastAsia="zh-CN"/>
        </w:rPr>
        <w:t>。邮件中标明手机联系号码，便于代理公司开标时及时联系投标人。</w:t>
      </w:r>
    </w:p>
    <w:p w14:paraId="06E5367A">
      <w:pPr>
        <w:pStyle w:val="25"/>
        <w:pageBreakBefore w:val="0"/>
        <w:tabs>
          <w:tab w:val="left" w:pos="3304"/>
        </w:tabs>
        <w:kinsoku/>
        <w:overflowPunct/>
        <w:autoSpaceDE/>
        <w:bidi w:val="0"/>
        <w:adjustRightInd/>
        <w:spacing w:line="400" w:lineRule="exact"/>
        <w:ind w:firstLine="422" w:firstLineChars="200"/>
        <w:textAlignment w:val="auto"/>
        <w:rPr>
          <w:rFonts w:hint="eastAsia" w:ascii="宋体" w:hAnsi="宋体" w:cs="宋体"/>
          <w:color w:val="auto"/>
          <w:sz w:val="24"/>
          <w:highlight w:val="none"/>
          <w:lang w:val="en-US" w:eastAsia="zh-CN"/>
        </w:rPr>
      </w:pPr>
      <w:r>
        <w:rPr>
          <w:rFonts w:hint="eastAsia" w:ascii="宋体" w:hAnsi="宋体" w:cs="宋体"/>
          <w:b/>
          <w:bCs/>
          <w:color w:val="auto"/>
          <w:sz w:val="21"/>
          <w:szCs w:val="21"/>
          <w:highlight w:val="none"/>
        </w:rPr>
        <w:t>投标文件加密方法：</w:t>
      </w:r>
      <w:r>
        <w:rPr>
          <w:rFonts w:hint="eastAsia" w:ascii="宋体" w:hAnsi="宋体" w:cs="宋体"/>
          <w:color w:val="auto"/>
          <w:sz w:val="21"/>
          <w:szCs w:val="21"/>
          <w:highlight w:val="none"/>
        </w:rPr>
        <w:t>所有投标文件（PDF格式）打包后装入一个文件夹 → 右键要加密的文件夹，选择“添加到压缩文件”→ 点击“设置密码”，输入密码并重复确认 → 生成加密压缩文件 → 上传至招标人指定邮箱。压缩包文件名为“投标人名称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可简写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lang w:val="en-US" w:eastAsia="zh-CN"/>
        </w:rPr>
        <w:t>安捷公司</w:t>
      </w:r>
      <w:r>
        <w:rPr>
          <w:rFonts w:hint="eastAsia" w:ascii="宋体" w:hAnsi="宋体" w:cs="宋体"/>
          <w:b/>
          <w:bCs/>
          <w:color w:val="auto"/>
          <w:sz w:val="21"/>
          <w:szCs w:val="21"/>
          <w:highlight w:val="none"/>
        </w:rPr>
        <w:t>投标文件</w:t>
      </w:r>
      <w:r>
        <w:rPr>
          <w:rFonts w:hint="eastAsia" w:ascii="宋体" w:hAnsi="宋体" w:cs="宋体"/>
          <w:color w:val="auto"/>
          <w:sz w:val="21"/>
          <w:szCs w:val="21"/>
          <w:highlight w:val="none"/>
        </w:rPr>
        <w:t>”。投标文件以最后一次提交的为准。未加密的投标文件不予接受，不进入后续环节。</w:t>
      </w:r>
    </w:p>
    <w:p w14:paraId="595E9E6A">
      <w:pPr>
        <w:pageBreakBefore w:val="0"/>
        <w:widowControl/>
        <w:tabs>
          <w:tab w:val="left" w:pos="900"/>
        </w:tabs>
        <w:kinsoku/>
        <w:wordWrap/>
        <w:overflowPunct/>
        <w:bidi w:val="0"/>
        <w:adjustRightInd w:val="0"/>
        <w:snapToGrid w:val="0"/>
        <w:spacing w:line="500" w:lineRule="exact"/>
        <w:ind w:left="0" w:right="0" w:firstLine="480" w:firstLineChars="200"/>
        <w:jc w:val="left"/>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开标地点：网上开标，腾讯会议号</w:t>
      </w:r>
      <w:r>
        <w:rPr>
          <w:rFonts w:hint="eastAsia" w:ascii="宋体" w:hAnsi="宋体" w:cs="宋体"/>
          <w:color w:val="auto"/>
          <w:sz w:val="24"/>
          <w:highlight w:val="none"/>
          <w:lang w:val="en-US" w:eastAsia="zh-CN"/>
        </w:rPr>
        <w:t>: 858-795-173</w:t>
      </w:r>
    </w:p>
    <w:p w14:paraId="24E0C040">
      <w:pPr>
        <w:keepNext w:val="0"/>
        <w:keepLines w:val="0"/>
        <w:pageBreakBefore w:val="0"/>
        <w:widowControl w:val="0"/>
        <w:kinsoku/>
        <w:wordWrap/>
        <w:overflowPunct/>
        <w:topLinePunct w:val="0"/>
        <w:autoSpaceDE/>
        <w:autoSpaceDN/>
        <w:bidi w:val="0"/>
        <w:adjustRightInd w:val="0"/>
        <w:snapToGrid w:val="0"/>
        <w:spacing w:line="500" w:lineRule="exact"/>
        <w:ind w:right="0" w:firstLine="482" w:firstLineChars="200"/>
        <w:jc w:val="left"/>
        <w:textAlignment w:val="auto"/>
        <w:outlineLvl w:val="9"/>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五、公告期限</w:t>
      </w:r>
      <w:bookmarkEnd w:id="18"/>
      <w:bookmarkEnd w:id="19"/>
      <w:bookmarkEnd w:id="20"/>
      <w:bookmarkEnd w:id="21"/>
      <w:bookmarkEnd w:id="22"/>
    </w:p>
    <w:p w14:paraId="7C2197F9">
      <w:pPr>
        <w:pageBreakBefore w:val="0"/>
        <w:kinsoku/>
        <w:wordWrap/>
        <w:overflowPunct/>
        <w:bidi w:val="0"/>
        <w:adjustRightInd w:val="0"/>
        <w:snapToGrid w:val="0"/>
        <w:spacing w:line="500" w:lineRule="exact"/>
        <w:ind w:left="0" w:right="0" w:firstLine="480" w:firstLineChars="200"/>
        <w:jc w:val="left"/>
        <w:textAlignment w:val="auto"/>
        <w:outlineLvl w:val="9"/>
        <w:rPr>
          <w:rFonts w:hint="eastAsia" w:ascii="宋体" w:hAnsi="宋体" w:cs="宋体"/>
          <w:bCs/>
          <w:color w:val="auto"/>
          <w:sz w:val="24"/>
          <w:highlight w:val="none"/>
          <w:lang w:val="en-US" w:eastAsia="zh-CN"/>
        </w:rPr>
      </w:pPr>
      <w:bookmarkStart w:id="23" w:name="_Toc35393626"/>
      <w:bookmarkStart w:id="24" w:name="_Toc38985268"/>
      <w:bookmarkStart w:id="25" w:name="_Toc35393795"/>
      <w:r>
        <w:rPr>
          <w:rFonts w:hint="eastAsia" w:ascii="宋体" w:hAnsi="宋体" w:cs="宋体"/>
          <w:bCs/>
          <w:color w:val="auto"/>
          <w:sz w:val="24"/>
          <w:highlight w:val="none"/>
          <w:lang w:val="en-US" w:eastAsia="zh-CN"/>
        </w:rPr>
        <w:t>自本公告发布之日起5个工作日。</w:t>
      </w:r>
      <w:bookmarkEnd w:id="23"/>
      <w:bookmarkEnd w:id="24"/>
      <w:bookmarkEnd w:id="25"/>
    </w:p>
    <w:p w14:paraId="65B6BE3A">
      <w:pPr>
        <w:pageBreakBefore w:val="0"/>
        <w:kinsoku/>
        <w:wordWrap/>
        <w:overflowPunct/>
        <w:bidi w:val="0"/>
        <w:adjustRightInd w:val="0"/>
        <w:snapToGrid w:val="0"/>
        <w:spacing w:line="500" w:lineRule="exact"/>
        <w:ind w:left="0" w:right="0" w:firstLine="482" w:firstLineChars="200"/>
        <w:jc w:val="left"/>
        <w:textAlignment w:val="auto"/>
        <w:outlineLvl w:val="9"/>
        <w:rPr>
          <w:rFonts w:hint="eastAsia" w:ascii="宋体" w:hAnsi="宋体" w:cs="宋体"/>
          <w:b/>
          <w:bCs/>
          <w:color w:val="auto"/>
          <w:sz w:val="24"/>
          <w:highlight w:val="none"/>
        </w:rPr>
      </w:pPr>
      <w:bookmarkStart w:id="26" w:name="_Toc28359018"/>
      <w:r>
        <w:rPr>
          <w:rFonts w:hint="eastAsia" w:ascii="宋体" w:hAnsi="宋体" w:cs="宋体"/>
          <w:b/>
          <w:bCs/>
          <w:color w:val="auto"/>
          <w:sz w:val="24"/>
          <w:highlight w:val="none"/>
        </w:rPr>
        <w:t>六、投标保证金</w:t>
      </w:r>
    </w:p>
    <w:p w14:paraId="741DC0CC">
      <w:pPr>
        <w:pageBreakBefore w:val="0"/>
        <w:widowControl/>
        <w:tabs>
          <w:tab w:val="left" w:pos="900"/>
        </w:tabs>
        <w:kinsoku/>
        <w:wordWrap/>
        <w:overflowPunct/>
        <w:bidi w:val="0"/>
        <w:adjustRightInd w:val="0"/>
        <w:snapToGrid w:val="0"/>
        <w:spacing w:line="500" w:lineRule="exact"/>
        <w:ind w:left="0" w:right="0" w:firstLine="480" w:firstLineChars="200"/>
        <w:jc w:val="left"/>
        <w:textAlignment w:val="auto"/>
        <w:outlineLvl w:val="9"/>
        <w:rPr>
          <w:rFonts w:hint="eastAsia" w:ascii="宋体" w:hAnsi="宋体" w:cs="宋体"/>
          <w:color w:val="auto"/>
          <w:sz w:val="24"/>
          <w:highlight w:val="none"/>
          <w:lang w:eastAsia="zh-CN"/>
        </w:rPr>
      </w:pPr>
      <w:r>
        <w:rPr>
          <w:rFonts w:hint="eastAsia" w:ascii="宋体" w:hAnsi="宋体" w:eastAsia="宋体" w:cs="宋体"/>
          <w:color w:val="auto"/>
          <w:sz w:val="24"/>
          <w:highlight w:val="none"/>
        </w:rPr>
        <w:t>1、投标保证金金额：</w:t>
      </w:r>
      <w:r>
        <w:rPr>
          <w:rFonts w:hint="eastAsia" w:ascii="宋体" w:hAnsi="宋体" w:eastAsia="宋体" w:cs="宋体"/>
          <w:color w:val="auto"/>
          <w:sz w:val="24"/>
          <w:highlight w:val="none"/>
          <w:u w:val="single"/>
          <w:lang w:val="en-US" w:eastAsia="zh-CN"/>
        </w:rPr>
        <w:t>贰万</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en-US" w:eastAsia="zh-CN"/>
        </w:rPr>
        <w:t>整</w:t>
      </w:r>
      <w:r>
        <w:rPr>
          <w:rFonts w:hint="eastAsia" w:ascii="宋体" w:hAnsi="宋体" w:cs="宋体"/>
          <w:color w:val="auto"/>
          <w:sz w:val="24"/>
          <w:highlight w:val="none"/>
          <w:lang w:eastAsia="zh-CN"/>
        </w:rPr>
        <w:t>。</w:t>
      </w:r>
    </w:p>
    <w:p w14:paraId="63C59BAC">
      <w:pPr>
        <w:spacing w:before="79" w:beforeLines="25" w:after="79" w:afterLines="25" w:line="4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投标保证金形式：现金、银行保函、担保机构的保函、保险机构的保单等交易担保方式。</w:t>
      </w:r>
      <w:r>
        <w:rPr>
          <w:rFonts w:hint="eastAsia" w:ascii="宋体" w:hAnsi="宋体" w:eastAsia="宋体" w:cs="宋体"/>
          <w:color w:val="auto"/>
          <w:sz w:val="24"/>
          <w:szCs w:val="24"/>
          <w:highlight w:val="none"/>
          <w:lang w:val="en-US" w:eastAsia="zh-CN"/>
        </w:rPr>
        <w:t>投标人根据本招标文件约定结合企业实际情况合理选择投标保证金的缴纳形式，不同缴纳形式具有同等法律效力。</w:t>
      </w:r>
    </w:p>
    <w:p w14:paraId="59964E28">
      <w:pPr>
        <w:spacing w:before="79" w:beforeLines="25" w:after="79" w:afterLines="25"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1.2现金缴纳方式：</w:t>
      </w:r>
      <w:r>
        <w:rPr>
          <w:rFonts w:hint="eastAsia" w:ascii="宋体" w:hAnsi="宋体" w:eastAsia="宋体" w:cs="宋体"/>
          <w:color w:val="auto"/>
          <w:sz w:val="24"/>
          <w:szCs w:val="24"/>
          <w:highlight w:val="none"/>
          <w:lang w:eastAsia="zh-CN"/>
        </w:rPr>
        <w:t>以现金形式递交的，务必请供应商转汇投标保证金时注明本项目名称，</w:t>
      </w:r>
      <w:r>
        <w:rPr>
          <w:rFonts w:hint="eastAsia" w:ascii="宋体" w:hAnsi="宋体" w:eastAsia="宋体" w:cs="宋体"/>
          <w:color w:val="auto"/>
          <w:sz w:val="24"/>
          <w:szCs w:val="24"/>
          <w:highlight w:val="none"/>
          <w:lang w:val="en-US" w:eastAsia="zh-CN"/>
        </w:rPr>
        <w:t>同时将转账截图上传至“投标保证金缴纳证明材料”章节中。否则将一律视为无效，不予接受投标</w:t>
      </w:r>
      <w:r>
        <w:rPr>
          <w:rFonts w:hint="eastAsia" w:ascii="宋体" w:hAnsi="宋体" w:eastAsia="宋体" w:cs="宋体"/>
          <w:color w:val="auto"/>
          <w:sz w:val="24"/>
          <w:szCs w:val="24"/>
          <w:highlight w:val="none"/>
          <w:lang w:eastAsia="zh-CN"/>
        </w:rPr>
        <w:t>。</w:t>
      </w:r>
    </w:p>
    <w:p w14:paraId="0F60060A">
      <w:pPr>
        <w:pageBreakBefore w:val="0"/>
        <w:widowControl/>
        <w:tabs>
          <w:tab w:val="left" w:pos="900"/>
        </w:tabs>
        <w:kinsoku/>
        <w:wordWrap/>
        <w:overflowPunct/>
        <w:bidi w:val="0"/>
        <w:adjustRightInd w:val="0"/>
        <w:snapToGrid w:val="0"/>
        <w:spacing w:line="500" w:lineRule="exact"/>
        <w:ind w:left="0" w:right="0" w:firstLine="480" w:firstLineChars="200"/>
        <w:jc w:val="left"/>
        <w:textAlignment w:val="auto"/>
        <w:outlineLvl w:val="9"/>
        <w:rPr>
          <w:rFonts w:hint="eastAsia" w:ascii="宋体" w:hAnsi="宋体" w:cs="宋体"/>
          <w:color w:val="auto"/>
          <w:sz w:val="24"/>
          <w:highlight w:val="none"/>
          <w:lang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lang w:eastAsia="zh-CN"/>
        </w:rPr>
        <w:t>供应商必须从其基本户转出，并确保在投标文件递交截止时间前到达（以实际到账时间为准），将保证金从供应商本单位的账户上直接转（汇）至采购人指定账户（</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szCs w:val="24"/>
          <w:highlight w:val="none"/>
          <w:lang w:eastAsia="zh-CN"/>
        </w:rPr>
        <w:t>名称：</w:t>
      </w:r>
      <w:r>
        <w:rPr>
          <w:rFonts w:hint="eastAsia" w:ascii="宋体" w:hAnsi="宋体" w:eastAsia="宋体" w:cs="宋体"/>
          <w:color w:val="auto"/>
          <w:sz w:val="24"/>
          <w:szCs w:val="24"/>
          <w:highlight w:val="none"/>
          <w:lang w:val="en-US" w:eastAsia="zh-CN"/>
        </w:rPr>
        <w:t>响水县安捷城乡公交有限公司</w:t>
      </w:r>
      <w:r>
        <w:rPr>
          <w:rFonts w:hint="eastAsia" w:ascii="宋体" w:hAnsi="宋体" w:eastAsia="宋体" w:cs="宋体"/>
          <w:color w:val="auto"/>
          <w:sz w:val="36"/>
          <w:szCs w:val="36"/>
          <w:highlight w:val="none"/>
          <w:vertAlign w:val="baseline"/>
          <w:lang w:val="en-US" w:eastAsia="zh-CN"/>
        </w:rPr>
        <w:t>；</w:t>
      </w:r>
      <w:r>
        <w:rPr>
          <w:rFonts w:hint="eastAsia" w:ascii="宋体" w:hAnsi="宋体" w:eastAsia="宋体" w:cs="宋体"/>
          <w:b/>
          <w:bCs/>
          <w:color w:val="auto"/>
          <w:sz w:val="24"/>
          <w:szCs w:val="24"/>
          <w:highlight w:val="none"/>
          <w:lang w:val="en-US" w:eastAsia="zh-CN"/>
        </w:rPr>
        <w:t>开户</w:t>
      </w:r>
      <w:r>
        <w:rPr>
          <w:rFonts w:hint="eastAsia" w:ascii="宋体" w:hAnsi="宋体" w:eastAsia="宋体" w:cs="宋体"/>
          <w:b/>
          <w:bCs/>
          <w:color w:val="auto"/>
          <w:sz w:val="24"/>
          <w:szCs w:val="24"/>
          <w:highlight w:val="none"/>
          <w:lang w:eastAsia="zh-CN"/>
        </w:rPr>
        <w:t>银行：</w:t>
      </w:r>
      <w:r>
        <w:rPr>
          <w:rFonts w:hint="eastAsia" w:ascii="宋体" w:hAnsi="宋体" w:eastAsia="宋体" w:cs="宋体"/>
          <w:b w:val="0"/>
          <w:bCs w:val="0"/>
          <w:color w:val="auto"/>
          <w:sz w:val="24"/>
          <w:szCs w:val="24"/>
          <w:highlight w:val="none"/>
          <w:lang w:val="en-US" w:eastAsia="zh-CN"/>
        </w:rPr>
        <w:t>中国农业银行股份有限公司响水县支行；</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账号：</w:t>
      </w:r>
      <w:r>
        <w:rPr>
          <w:rFonts w:hint="eastAsia" w:ascii="宋体" w:hAnsi="宋体" w:eastAsia="宋体" w:cs="宋体"/>
          <w:b w:val="0"/>
          <w:bCs w:val="0"/>
          <w:color w:val="auto"/>
          <w:sz w:val="24"/>
          <w:szCs w:val="24"/>
          <w:highlight w:val="none"/>
          <w:lang w:val="en-US" w:eastAsia="zh-CN"/>
        </w:rPr>
        <w:t>1040 4601 0402 4337 7</w:t>
      </w:r>
      <w:r>
        <w:rPr>
          <w:rFonts w:hint="eastAsia" w:ascii="宋体" w:hAnsi="宋体" w:eastAsia="宋体" w:cs="宋体"/>
          <w:color w:val="auto"/>
          <w:sz w:val="24"/>
          <w:szCs w:val="24"/>
          <w:highlight w:val="none"/>
          <w:lang w:val="en-US" w:eastAsia="zh-CN"/>
        </w:rPr>
        <w:t>）。</w:t>
      </w:r>
    </w:p>
    <w:p w14:paraId="261A49D8">
      <w:pPr>
        <w:pStyle w:val="14"/>
        <w:keepNext/>
        <w:keepLines/>
        <w:pageBreakBefore w:val="0"/>
        <w:numPr>
          <w:ilvl w:val="0"/>
          <w:numId w:val="0"/>
        </w:numPr>
        <w:kinsoku/>
        <w:wordWrap/>
        <w:overflowPunct/>
        <w:topLinePunct w:val="0"/>
        <w:autoSpaceDE/>
        <w:autoSpaceDN/>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b/>
          <w:color w:val="auto"/>
          <w:sz w:val="24"/>
          <w:szCs w:val="24"/>
          <w:highlight w:val="none"/>
          <w:shd w:val="clear" w:color="auto" w:fill="auto"/>
        </w:rPr>
      </w:pPr>
      <w:r>
        <w:rPr>
          <w:rFonts w:hint="eastAsia" w:eastAsia="宋体" w:cs="宋体"/>
          <w:b/>
          <w:color w:val="auto"/>
          <w:sz w:val="24"/>
          <w:szCs w:val="24"/>
          <w:highlight w:val="none"/>
          <w:shd w:val="clear" w:color="auto" w:fill="auto"/>
          <w:lang w:val="en-US" w:eastAsia="zh-CN"/>
        </w:rPr>
        <w:t>七、</w:t>
      </w:r>
      <w:r>
        <w:rPr>
          <w:rFonts w:hint="eastAsia" w:ascii="宋体" w:hAnsi="宋体" w:eastAsia="宋体" w:cs="宋体"/>
          <w:b/>
          <w:color w:val="auto"/>
          <w:sz w:val="24"/>
          <w:szCs w:val="24"/>
          <w:highlight w:val="none"/>
          <w:shd w:val="clear" w:color="auto" w:fill="auto"/>
        </w:rPr>
        <w:t>其他补充事宜</w:t>
      </w:r>
    </w:p>
    <w:p w14:paraId="7F1C56C0">
      <w:pPr>
        <w:pageBreakBefore w:val="0"/>
        <w:widowControl/>
        <w:tabs>
          <w:tab w:val="left" w:pos="900"/>
        </w:tabs>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评标办法：综合评分法。</w:t>
      </w:r>
    </w:p>
    <w:p w14:paraId="793D89C7">
      <w:pPr>
        <w:spacing w:before="79" w:beforeLines="25" w:after="79" w:afterLines="25" w:line="4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根据《国务院办公厅转发国家发展改革委关于深化公共资源交易平台整合共享指导意见的通知》（国办函〔2019〕41号）、国家发改委发布《关于积极应对疫情创新做好招投标工作保障经济平稳运行的通知》等文件精神，全面逐步推行不见面投标开标等招投标活动。本项目开标方式为不见面开标，开标当日，投标人无需到达开标现场，仅需在任意地点通过PC端或移动端的“腾讯会议”及相应的配套硬件设备参加开标会议。输入会议号，“您的姓名”按“单位简称+授权委托人姓名”格式填写，然后点击“加入会议”。会议系统将在投标截止时间前30分钟开放。</w:t>
      </w:r>
    </w:p>
    <w:p w14:paraId="6ECE0AAA">
      <w:pPr>
        <w:keepNext w:val="0"/>
        <w:keepLines w:val="0"/>
        <w:pageBreakBefore w:val="0"/>
        <w:widowControl w:val="0"/>
        <w:tabs>
          <w:tab w:val="left" w:pos="900"/>
        </w:tabs>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.各投标人在投标截止时间前应当每天都在响水县人民政府网上查询，以便获取更新的澄清、修改、补充内容。凡涉及到该项目的补充说明和修改，均以响水人民政府网上的更正或补充通知为准。</w:t>
      </w:r>
    </w:p>
    <w:p w14:paraId="6A3C7E28">
      <w:pPr>
        <w:keepNext w:val="0"/>
        <w:keepLines w:val="0"/>
        <w:pageBreakBefore w:val="0"/>
        <w:widowControl/>
        <w:tabs>
          <w:tab w:val="left" w:pos="900"/>
        </w:tabs>
        <w:kinsoku/>
        <w:wordWrap/>
        <w:overflowPunct/>
        <w:autoSpaceDE/>
        <w:autoSpaceDN/>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.本项目为不见面交易项目，投标人通过“腾讯视频会议”直播APP加入会议。</w:t>
      </w:r>
    </w:p>
    <w:bookmarkEnd w:id="26"/>
    <w:p w14:paraId="2461F031">
      <w:pPr>
        <w:keepNext w:val="0"/>
        <w:keepLines w:val="0"/>
        <w:pageBreakBefore w:val="0"/>
        <w:kinsoku/>
        <w:wordWrap/>
        <w:overflowPunct/>
        <w:autoSpaceDE/>
        <w:autoSpaceDN/>
        <w:bidi w:val="0"/>
        <w:adjustRightInd w:val="0"/>
        <w:snapToGrid w:val="0"/>
        <w:spacing w:line="400" w:lineRule="exact"/>
        <w:ind w:left="0" w:right="0" w:firstLine="482" w:firstLineChars="200"/>
        <w:jc w:val="left"/>
        <w:textAlignment w:val="auto"/>
        <w:outlineLvl w:val="9"/>
        <w:rPr>
          <w:rFonts w:hint="eastAsia" w:ascii="宋体" w:hAnsi="宋体" w:eastAsia="宋体" w:cs="宋体"/>
          <w:color w:val="auto"/>
          <w:kern w:val="0"/>
          <w:sz w:val="24"/>
          <w:highlight w:val="none"/>
          <w:lang w:val="en-US" w:eastAsia="zh-CN"/>
        </w:rPr>
      </w:pPr>
      <w:bookmarkStart w:id="27" w:name="_Toc28359009"/>
      <w:r>
        <w:rPr>
          <w:rFonts w:hint="eastAsia" w:ascii="宋体" w:hAnsi="宋体" w:cs="宋体"/>
          <w:b/>
          <w:bCs/>
          <w:color w:val="auto"/>
          <w:sz w:val="24"/>
          <w:highlight w:val="none"/>
        </w:rPr>
        <w:t>八、对本次招标提出询问，请按以下方式联系。</w:t>
      </w:r>
    </w:p>
    <w:p w14:paraId="418192D1">
      <w:pPr>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1.采购人信息</w:t>
      </w:r>
    </w:p>
    <w:p w14:paraId="74A6C740">
      <w:pPr>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名 称：</w:t>
      </w:r>
      <w:r>
        <w:rPr>
          <w:rFonts w:hint="eastAsia" w:ascii="宋体" w:hAnsi="宋体" w:eastAsia="宋体" w:cs="宋体"/>
          <w:color w:val="auto"/>
          <w:kern w:val="0"/>
          <w:sz w:val="24"/>
          <w:highlight w:val="none"/>
          <w:lang w:eastAsia="zh-CN"/>
        </w:rPr>
        <w:t>响水县安捷城乡公交有限公司</w:t>
      </w:r>
      <w:r>
        <w:rPr>
          <w:rFonts w:hint="eastAsia" w:ascii="宋体" w:hAnsi="宋体" w:eastAsia="宋体" w:cs="宋体"/>
          <w:color w:val="auto"/>
          <w:kern w:val="0"/>
          <w:sz w:val="24"/>
          <w:highlight w:val="none"/>
          <w:lang w:val="en-US" w:eastAsia="zh-CN"/>
        </w:rPr>
        <w:t xml:space="preserve">  </w:t>
      </w:r>
    </w:p>
    <w:p w14:paraId="637985ED">
      <w:pPr>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地址：</w:t>
      </w:r>
      <w:r>
        <w:rPr>
          <w:rFonts w:hint="eastAsia" w:ascii="宋体" w:hAnsi="宋体" w:eastAsia="宋体" w:cs="宋体"/>
          <w:color w:val="auto"/>
          <w:kern w:val="0"/>
          <w:sz w:val="24"/>
          <w:highlight w:val="none"/>
          <w:lang w:eastAsia="zh-CN"/>
        </w:rPr>
        <w:t>盐城市响水县经济开发区珠江路33号</w:t>
      </w:r>
    </w:p>
    <w:p w14:paraId="6CF791F8">
      <w:pPr>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联系人：徐先生              </w:t>
      </w:r>
    </w:p>
    <w:p w14:paraId="65D87D9D">
      <w:pPr>
        <w:keepNext w:val="0"/>
        <w:keepLines w:val="0"/>
        <w:pageBreakBefore w:val="0"/>
        <w:widowControl/>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联系方式：18861901966            </w:t>
      </w:r>
    </w:p>
    <w:p w14:paraId="46C3275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bookmarkStart w:id="28" w:name="_Toc28359010"/>
      <w:bookmarkStart w:id="29" w:name="_Toc28359087"/>
    </w:p>
    <w:p w14:paraId="4C8A7F5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2.采购代理机构信息</w:t>
      </w:r>
    </w:p>
    <w:p w14:paraId="7042745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名  称：江苏航耀项目管理有限公司 </w:t>
      </w:r>
    </w:p>
    <w:p w14:paraId="0E6CFD8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 址：盐城市盐南高新区科城街道中南世纪城悦城33幢1912、1913室</w:t>
      </w:r>
    </w:p>
    <w:p w14:paraId="1AAAF22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联系人：吉先生 </w:t>
      </w:r>
    </w:p>
    <w:p w14:paraId="7DD3C2D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  话：13813438219</w:t>
      </w:r>
    </w:p>
    <w:p w14:paraId="13AA1C68">
      <w:pPr>
        <w:keepNext w:val="0"/>
        <w:keepLines w:val="0"/>
        <w:pageBreakBefore w:val="0"/>
        <w:kinsoku/>
        <w:wordWrap/>
        <w:overflowPunct/>
        <w:topLinePunct w:val="0"/>
        <w:autoSpaceDE/>
        <w:autoSpaceDN/>
        <w:bidi w:val="0"/>
        <w:adjustRightInd w:val="0"/>
        <w:snapToGrid w:val="0"/>
        <w:spacing w:line="400" w:lineRule="exact"/>
        <w:ind w:left="0" w:right="0" w:firstLine="562" w:firstLineChars="200"/>
        <w:jc w:val="left"/>
        <w:textAlignment w:val="auto"/>
        <w:outlineLvl w:val="9"/>
        <w:rPr>
          <w:rFonts w:hint="eastAsia" w:ascii="仿宋" w:hAnsi="仿宋" w:eastAsia="仿宋" w:cs="仿宋"/>
          <w:b/>
          <w:color w:val="auto"/>
          <w:sz w:val="28"/>
          <w:szCs w:val="28"/>
          <w:highlight w:val="none"/>
          <w:shd w:val="clear" w:color="auto" w:fill="auto"/>
          <w:lang w:val="en-US" w:eastAsia="zh-CN"/>
        </w:rPr>
      </w:pPr>
      <w:r>
        <w:rPr>
          <w:rFonts w:hint="eastAsia" w:ascii="仿宋" w:hAnsi="仿宋" w:eastAsia="仿宋" w:cs="仿宋"/>
          <w:b/>
          <w:color w:val="auto"/>
          <w:sz w:val="28"/>
          <w:szCs w:val="28"/>
          <w:highlight w:val="none"/>
          <w:shd w:val="clear" w:color="auto" w:fill="auto"/>
          <w:lang w:val="en-US" w:eastAsia="zh-CN"/>
        </w:rPr>
        <w:t>   </w:t>
      </w:r>
      <w:bookmarkEnd w:id="28"/>
      <w:bookmarkEnd w:id="29"/>
      <w:r>
        <w:rPr>
          <w:rFonts w:hint="eastAsia" w:ascii="仿宋" w:hAnsi="仿宋" w:eastAsia="仿宋" w:cs="仿宋"/>
          <w:b/>
          <w:color w:val="auto"/>
          <w:sz w:val="28"/>
          <w:szCs w:val="28"/>
          <w:highlight w:val="none"/>
          <w:shd w:val="clear" w:color="auto" w:fill="auto"/>
          <w:lang w:val="en-US" w:eastAsia="zh-CN"/>
        </w:rPr>
        <w:t xml:space="preserve">            </w:t>
      </w:r>
    </w:p>
    <w:p w14:paraId="120584C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bookmarkStart w:id="30" w:name="_Toc28359021"/>
      <w:r>
        <w:rPr>
          <w:rFonts w:hint="eastAsia" w:ascii="宋体" w:hAnsi="宋体" w:eastAsia="宋体" w:cs="宋体"/>
          <w:color w:val="auto"/>
          <w:kern w:val="0"/>
          <w:sz w:val="24"/>
          <w:szCs w:val="24"/>
          <w:highlight w:val="none"/>
          <w:lang w:val="en-US" w:eastAsia="zh-CN" w:bidi="ar-SA"/>
        </w:rPr>
        <w:t>3.</w:t>
      </w:r>
      <w:bookmarkEnd w:id="30"/>
      <w:r>
        <w:rPr>
          <w:rFonts w:hint="eastAsia" w:ascii="宋体" w:hAnsi="宋体" w:eastAsia="宋体" w:cs="宋体"/>
          <w:color w:val="auto"/>
          <w:kern w:val="0"/>
          <w:sz w:val="24"/>
          <w:szCs w:val="24"/>
          <w:highlight w:val="none"/>
          <w:lang w:val="en-US" w:eastAsia="zh-CN" w:bidi="ar-SA"/>
        </w:rPr>
        <w:t>项目联系方式</w:t>
      </w:r>
    </w:p>
    <w:p w14:paraId="25108BA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联系人：徐先生              </w:t>
      </w:r>
    </w:p>
    <w:p w14:paraId="26F94E8D">
      <w:pPr>
        <w:pStyle w:val="14"/>
        <w:keepNext w:val="0"/>
        <w:keepLines w:val="0"/>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kern w:val="0"/>
          <w:sz w:val="24"/>
          <w:szCs w:val="24"/>
          <w:highlight w:val="none"/>
          <w:lang w:val="en-US" w:eastAsia="zh-CN" w:bidi="ar-SA"/>
        </w:rPr>
        <w:t>联系方式：18861901966 </w:t>
      </w:r>
      <w:r>
        <w:rPr>
          <w:rFonts w:hint="eastAsia" w:ascii="仿宋" w:hAnsi="仿宋" w:eastAsia="仿宋" w:cs="仿宋"/>
          <w:b/>
          <w:color w:val="auto"/>
          <w:sz w:val="28"/>
          <w:szCs w:val="28"/>
          <w:highlight w:val="none"/>
          <w:shd w:val="clear" w:color="auto" w:fill="auto"/>
          <w:lang w:val="en-US" w:eastAsia="zh-CN"/>
        </w:rPr>
        <w:t>　　</w:t>
      </w:r>
      <w:r>
        <w:rPr>
          <w:rFonts w:hint="eastAsia" w:ascii="宋体" w:hAnsi="宋体" w:eastAsia="宋体" w:cs="宋体"/>
          <w:color w:val="auto"/>
          <w:sz w:val="24"/>
          <w:szCs w:val="24"/>
          <w:highlight w:val="none"/>
          <w:shd w:val="clear" w:color="auto" w:fill="auto"/>
        </w:rPr>
        <w:t> </w:t>
      </w:r>
    </w:p>
    <w:p w14:paraId="241CCD16">
      <w:pPr>
        <w:pStyle w:val="14"/>
        <w:keepNext w:val="0"/>
        <w:keepLines w:val="0"/>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w:t>
      </w:r>
    </w:p>
    <w:p w14:paraId="463983CA">
      <w:pPr>
        <w:pStyle w:val="21"/>
        <w:keepNext w:val="0"/>
        <w:keepLines w:val="0"/>
        <w:pageBreakBefore w:val="0"/>
        <w:numPr>
          <w:ilvl w:val="0"/>
          <w:numId w:val="0"/>
        </w:numPr>
        <w:kinsoku/>
        <w:wordWrap/>
        <w:overflowPunct/>
        <w:topLinePunct/>
        <w:autoSpaceDE/>
        <w:autoSpaceDN/>
        <w:bidi w:val="0"/>
        <w:adjustRightInd w:val="0"/>
        <w:snapToGrid w:val="0"/>
        <w:spacing w:line="400" w:lineRule="exact"/>
        <w:ind w:left="0" w:right="0" w:firstLine="482" w:firstLineChars="200"/>
        <w:jc w:val="left"/>
        <w:textAlignment w:val="auto"/>
        <w:outlineLvl w:val="9"/>
        <w:rPr>
          <w:rFonts w:hint="eastAsia" w:ascii="宋体" w:hAnsi="宋体" w:cs="宋体"/>
          <w:b/>
          <w:bCs/>
          <w:color w:val="auto"/>
          <w:kern w:val="0"/>
          <w:sz w:val="24"/>
          <w:highlight w:val="none"/>
          <w:shd w:val="clear" w:color="auto" w:fill="FFFFFF"/>
          <w:lang w:bidi="ar"/>
        </w:rPr>
      </w:pPr>
      <w:r>
        <w:rPr>
          <w:rFonts w:hint="eastAsia" w:ascii="宋体" w:hAnsi="宋体" w:cs="宋体"/>
          <w:b/>
          <w:bCs/>
          <w:color w:val="auto"/>
          <w:kern w:val="0"/>
          <w:sz w:val="24"/>
          <w:highlight w:val="none"/>
          <w:shd w:val="clear" w:color="auto" w:fill="FFFFFF"/>
          <w:lang w:val="en-US" w:eastAsia="zh-CN" w:bidi="ar"/>
        </w:rPr>
        <w:t>九、</w:t>
      </w:r>
      <w:r>
        <w:rPr>
          <w:rFonts w:hint="eastAsia" w:ascii="宋体" w:hAnsi="宋体" w:cs="宋体"/>
          <w:b/>
          <w:bCs/>
          <w:color w:val="auto"/>
          <w:kern w:val="0"/>
          <w:sz w:val="24"/>
          <w:highlight w:val="none"/>
          <w:shd w:val="clear" w:color="auto" w:fill="FFFFFF"/>
          <w:lang w:bidi="ar"/>
        </w:rPr>
        <w:t>质疑和投诉处理</w:t>
      </w:r>
    </w:p>
    <w:p w14:paraId="45DCEDA2">
      <w:pPr>
        <w:pStyle w:val="21"/>
        <w:keepNext w:val="0"/>
        <w:keepLines w:val="0"/>
        <w:pageBreakBefore w:val="0"/>
        <w:widowControl w:val="0"/>
        <w:kinsoku w:val="0"/>
        <w:wordWrap/>
        <w:overflowPunct w:val="0"/>
        <w:topLinePunct w:val="0"/>
        <w:autoSpaceDE w:val="0"/>
        <w:autoSpaceDN w:val="0"/>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本项目为国有企业采购货物项目，不适用《中华人民共和国政府采购法》等政府采购相关法律法规。为便于本项目的顺利实施，采购人比照《中华人民共和国政府采购法》等有关规定开展采购活动。如供应商对本项目提出质疑或提起投诉的，请与采购人、代理公司或采购人主管部门联系处理。响水县公共资源交易中心仅提供发布信息、场地等服务，不负责处理相关质疑、投诉事项。</w:t>
      </w:r>
    </w:p>
    <w:p w14:paraId="6F6A3737">
      <w:pPr>
        <w:pStyle w:val="21"/>
        <w:keepNext w:val="0"/>
        <w:keepLines w:val="0"/>
        <w:pageBreakBefore w:val="0"/>
        <w:widowControl w:val="0"/>
        <w:kinsoku w:val="0"/>
        <w:wordWrap/>
        <w:overflowPunct w:val="0"/>
        <w:topLinePunct w:val="0"/>
        <w:autoSpaceDE w:val="0"/>
        <w:autoSpaceDN w:val="0"/>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p>
    <w:p w14:paraId="50658256">
      <w:pPr>
        <w:pStyle w:val="21"/>
        <w:keepNext w:val="0"/>
        <w:keepLines w:val="0"/>
        <w:pageBreakBefore w:val="0"/>
        <w:widowControl w:val="0"/>
        <w:kinsoku w:val="0"/>
        <w:wordWrap/>
        <w:overflowPunct w:val="0"/>
        <w:topLinePunct w:val="0"/>
        <w:autoSpaceDE w:val="0"/>
        <w:autoSpaceDN w:val="0"/>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p>
    <w:p w14:paraId="1C963B53">
      <w:pPr>
        <w:pStyle w:val="21"/>
        <w:keepNext w:val="0"/>
        <w:keepLines w:val="0"/>
        <w:pageBreakBefore w:val="0"/>
        <w:widowControl w:val="0"/>
        <w:kinsoku w:val="0"/>
        <w:wordWrap/>
        <w:overflowPunct w:val="0"/>
        <w:topLinePunct w:val="0"/>
        <w:autoSpaceDE w:val="0"/>
        <w:autoSpaceDN w:val="0"/>
        <w:bidi w:val="0"/>
        <w:adjustRightInd w:val="0"/>
        <w:snapToGrid w:val="0"/>
        <w:spacing w:line="400" w:lineRule="exact"/>
        <w:ind w:left="0" w:right="0" w:firstLine="480" w:firstLineChars="200"/>
        <w:jc w:val="right"/>
        <w:textAlignment w:val="auto"/>
        <w:outlineLvl w:val="9"/>
        <w:rPr>
          <w:rFonts w:hint="default" w:eastAsiaTheme="minorEastAsia"/>
          <w:color w:val="auto"/>
          <w:highlight w:val="none"/>
          <w:lang w:val="en-US" w:eastAsia="zh-CN"/>
        </w:rPr>
      </w:pPr>
      <w:r>
        <w:rPr>
          <w:rFonts w:hint="eastAsia" w:ascii="宋体" w:hAnsi="宋体" w:cs="宋体"/>
          <w:color w:val="auto"/>
          <w:sz w:val="24"/>
          <w:highlight w:val="none"/>
          <w:lang w:val="en-US" w:eastAsia="zh-CN"/>
        </w:rPr>
        <w:t>2025-9-28</w:t>
      </w:r>
    </w:p>
    <w:p w14:paraId="4B50B624">
      <w:pPr>
        <w:rPr>
          <w:rFonts w:hint="eastAsia"/>
          <w:color w:val="auto"/>
          <w:highlight w:val="none"/>
        </w:rPr>
      </w:pPr>
    </w:p>
    <w:p w14:paraId="7E2591E6">
      <w:pPr>
        <w:pStyle w:val="14"/>
        <w:keepNext/>
        <w:keepLines/>
        <w:pageBreakBefore w:val="0"/>
        <w:kinsoku/>
        <w:wordWrap/>
        <w:overflowPunct/>
        <w:bidi w:val="0"/>
        <w:adjustRightInd w:val="0"/>
        <w:snapToGrid w:val="0"/>
        <w:spacing w:beforeAutospacing="0" w:afterAutospacing="0" w:line="500" w:lineRule="exact"/>
        <w:ind w:right="0"/>
        <w:jc w:val="both"/>
        <w:textAlignment w:val="auto"/>
        <w:outlineLvl w:val="9"/>
        <w:rPr>
          <w:rFonts w:hint="eastAsia" w:ascii="黑体" w:hAnsi="宋体" w:eastAsia="黑体" w:cs="黑体"/>
          <w:b/>
          <w:color w:val="auto"/>
          <w:sz w:val="44"/>
          <w:szCs w:val="44"/>
          <w:highlight w:val="none"/>
        </w:rPr>
      </w:pPr>
      <w:bookmarkStart w:id="31" w:name="_Toc120614211"/>
    </w:p>
    <w:p w14:paraId="01CD31E3">
      <w:pPr>
        <w:pStyle w:val="14"/>
        <w:keepNext/>
        <w:keepLines/>
        <w:pageBreakBefore w:val="0"/>
        <w:kinsoku/>
        <w:wordWrap/>
        <w:overflowPunct/>
        <w:bidi w:val="0"/>
        <w:adjustRightInd w:val="0"/>
        <w:snapToGrid w:val="0"/>
        <w:spacing w:beforeAutospacing="0" w:afterAutospacing="0" w:line="500" w:lineRule="exact"/>
        <w:ind w:right="0"/>
        <w:jc w:val="center"/>
        <w:textAlignment w:val="auto"/>
        <w:outlineLvl w:val="9"/>
        <w:rPr>
          <w:color w:val="auto"/>
          <w:highlight w:val="none"/>
        </w:rPr>
      </w:pPr>
      <w:r>
        <w:rPr>
          <w:rFonts w:hint="eastAsia" w:ascii="黑体" w:hAnsi="宋体" w:eastAsia="黑体" w:cs="黑体"/>
          <w:b/>
          <w:color w:val="auto"/>
          <w:sz w:val="44"/>
          <w:szCs w:val="44"/>
          <w:highlight w:val="none"/>
        </w:rPr>
        <w:t xml:space="preserve">第二章  </w:t>
      </w:r>
      <w:bookmarkEnd w:id="31"/>
      <w:bookmarkStart w:id="32" w:name="_Toc20823274"/>
      <w:bookmarkStart w:id="33" w:name="_Toc16938518"/>
      <w:bookmarkStart w:id="34" w:name="_Toc513029202"/>
      <w:bookmarkStart w:id="35" w:name="_Toc120614213"/>
      <w:r>
        <w:rPr>
          <w:rFonts w:hint="eastAsia" w:ascii="黑体" w:hAnsi="宋体" w:eastAsia="黑体" w:cs="黑体"/>
          <w:b/>
          <w:color w:val="auto"/>
          <w:sz w:val="44"/>
          <w:szCs w:val="44"/>
          <w:highlight w:val="none"/>
        </w:rPr>
        <w:t>投标人须知</w:t>
      </w:r>
      <w:bookmarkEnd w:id="32"/>
      <w:bookmarkEnd w:id="33"/>
      <w:bookmarkEnd w:id="34"/>
      <w:bookmarkEnd w:id="35"/>
    </w:p>
    <w:p w14:paraId="2D4D4940">
      <w:pPr>
        <w:pStyle w:val="14"/>
        <w:keepNext/>
        <w:keepLines/>
        <w:pageBreakBefore w:val="0"/>
        <w:kinsoku/>
        <w:wordWrap/>
        <w:overflowPunct/>
        <w:topLinePunct w:val="0"/>
        <w:autoSpaceDE/>
        <w:autoSpaceDN/>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color w:val="auto"/>
          <w:sz w:val="24"/>
          <w:szCs w:val="24"/>
          <w:highlight w:val="none"/>
        </w:rPr>
      </w:pPr>
      <w:bookmarkStart w:id="36" w:name="_Toc20823275"/>
      <w:bookmarkStart w:id="37" w:name="_Toc16938519"/>
      <w:bookmarkStart w:id="38" w:name="_Toc120614214"/>
      <w:bookmarkStart w:id="39" w:name="_Toc513029203"/>
      <w:r>
        <w:rPr>
          <w:rFonts w:hint="eastAsia" w:ascii="宋体" w:hAnsi="宋体" w:eastAsia="宋体" w:cs="宋体"/>
          <w:b/>
          <w:color w:val="auto"/>
          <w:sz w:val="24"/>
          <w:szCs w:val="24"/>
          <w:highlight w:val="none"/>
        </w:rPr>
        <w:t>一、总则</w:t>
      </w:r>
      <w:bookmarkEnd w:id="36"/>
      <w:bookmarkEnd w:id="37"/>
      <w:bookmarkEnd w:id="38"/>
      <w:bookmarkEnd w:id="39"/>
    </w:p>
    <w:p w14:paraId="48E05819">
      <w:pPr>
        <w:pStyle w:val="14"/>
        <w:keepNext/>
        <w:keepLines/>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40" w:name="_Toc16938520"/>
      <w:bookmarkStart w:id="41" w:name="_Toc458694821"/>
      <w:bookmarkStart w:id="42" w:name="_Toc20823276"/>
      <w:bookmarkStart w:id="43" w:name="_Toc513029204"/>
      <w:bookmarkStart w:id="44" w:name="_Hlt16619475"/>
      <w:r>
        <w:rPr>
          <w:rFonts w:hint="eastAsia" w:ascii="宋体" w:hAnsi="宋体" w:eastAsia="宋体" w:cs="宋体"/>
          <w:color w:val="auto"/>
          <w:sz w:val="24"/>
          <w:szCs w:val="24"/>
          <w:highlight w:val="none"/>
        </w:rPr>
        <w:t>1</w:t>
      </w:r>
      <w:bookmarkEnd w:id="40"/>
      <w:r>
        <w:rPr>
          <w:rFonts w:hint="eastAsia" w:ascii="宋体" w:hAnsi="宋体" w:eastAsia="宋体" w:cs="宋体"/>
          <w:color w:val="auto"/>
          <w:sz w:val="24"/>
          <w:szCs w:val="24"/>
          <w:highlight w:val="none"/>
        </w:rPr>
        <w:t>、招标方式</w:t>
      </w:r>
      <w:bookmarkEnd w:id="41"/>
      <w:bookmarkEnd w:id="42"/>
      <w:bookmarkEnd w:id="43"/>
    </w:p>
    <w:p w14:paraId="496D2DA3">
      <w:pPr>
        <w:pStyle w:val="14"/>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1.1本次招标采取公开招标方式，本招标文件仅适用于招标公告中所述项目。</w:t>
      </w:r>
    </w:p>
    <w:p w14:paraId="7EFF3468">
      <w:pPr>
        <w:pStyle w:val="14"/>
        <w:keepNext/>
        <w:keepLines/>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45" w:name="_Toc16938521"/>
      <w:bookmarkStart w:id="46" w:name="_Toc513029205"/>
      <w:bookmarkStart w:id="47" w:name="_Toc20823277"/>
      <w:r>
        <w:rPr>
          <w:rFonts w:hint="eastAsia" w:ascii="宋体" w:hAnsi="宋体" w:eastAsia="宋体" w:cs="宋体"/>
          <w:color w:val="auto"/>
          <w:sz w:val="24"/>
          <w:szCs w:val="24"/>
          <w:highlight w:val="none"/>
        </w:rPr>
        <w:t>2、合格的投标人</w:t>
      </w:r>
      <w:bookmarkEnd w:id="45"/>
      <w:bookmarkEnd w:id="46"/>
      <w:bookmarkEnd w:id="47"/>
    </w:p>
    <w:p w14:paraId="575CB15D">
      <w:pPr>
        <w:pStyle w:val="14"/>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2.1满足招标公告中供应商的资格要求的规定。</w:t>
      </w:r>
    </w:p>
    <w:p w14:paraId="053B99F5">
      <w:pPr>
        <w:pStyle w:val="14"/>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2.2满足本文件实质性要求和条件的规定。</w:t>
      </w:r>
    </w:p>
    <w:p w14:paraId="6570DAF5">
      <w:pPr>
        <w:pStyle w:val="14"/>
        <w:keepNext/>
        <w:keepLines/>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48" w:name="_Toc513029206"/>
      <w:bookmarkStart w:id="49" w:name="_Toc20823278"/>
      <w:bookmarkStart w:id="50" w:name="_Toc16938522"/>
      <w:r>
        <w:rPr>
          <w:rFonts w:hint="eastAsia" w:ascii="宋体" w:hAnsi="宋体" w:eastAsia="宋体" w:cs="宋体"/>
          <w:color w:val="auto"/>
          <w:sz w:val="24"/>
          <w:szCs w:val="24"/>
          <w:highlight w:val="none"/>
        </w:rPr>
        <w:t>3、适用法律</w:t>
      </w:r>
      <w:bookmarkEnd w:id="48"/>
      <w:bookmarkEnd w:id="49"/>
      <w:bookmarkEnd w:id="50"/>
    </w:p>
    <w:p w14:paraId="0791EDEA">
      <w:pPr>
        <w:pStyle w:val="14"/>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3.1本次招标及由此产生的合同受中华人民共和国有关的法律法规制约和保护。</w:t>
      </w:r>
    </w:p>
    <w:p w14:paraId="36533D3B">
      <w:pPr>
        <w:pStyle w:val="14"/>
        <w:keepNext/>
        <w:keepLines/>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51" w:name="_Toc20823279"/>
      <w:bookmarkStart w:id="52" w:name="_Toc513029207"/>
      <w:bookmarkStart w:id="53" w:name="_Toc16938523"/>
      <w:bookmarkStart w:id="54" w:name="_Toc462564067"/>
      <w:r>
        <w:rPr>
          <w:rFonts w:hint="eastAsia" w:ascii="宋体" w:hAnsi="宋体" w:eastAsia="宋体" w:cs="宋体"/>
          <w:color w:val="auto"/>
          <w:sz w:val="24"/>
          <w:szCs w:val="24"/>
          <w:highlight w:val="none"/>
        </w:rPr>
        <w:t>4、投标费用</w:t>
      </w:r>
      <w:bookmarkEnd w:id="51"/>
      <w:bookmarkEnd w:id="52"/>
      <w:bookmarkEnd w:id="53"/>
      <w:bookmarkEnd w:id="54"/>
    </w:p>
    <w:p w14:paraId="23EE288E">
      <w:pPr>
        <w:pStyle w:val="14"/>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4.1投标人应自行承担所有与参加投标有关的费用，无论投标过程中的做法和结果如何，</w:t>
      </w:r>
      <w:r>
        <w:rPr>
          <w:rFonts w:hint="eastAsia" w:ascii="宋体" w:hAnsi="宋体" w:eastAsia="宋体" w:cs="宋体"/>
          <w:color w:val="auto"/>
          <w:sz w:val="24"/>
          <w:szCs w:val="24"/>
          <w:highlight w:val="none"/>
          <w:lang w:val="en-US" w:eastAsia="zh-CN"/>
        </w:rPr>
        <w:t>采购人及招标代理机构</w:t>
      </w:r>
      <w:r>
        <w:rPr>
          <w:rFonts w:hint="eastAsia" w:ascii="宋体" w:hAnsi="宋体" w:eastAsia="宋体" w:cs="宋体"/>
          <w:color w:val="auto"/>
          <w:sz w:val="24"/>
          <w:szCs w:val="24"/>
          <w:highlight w:val="none"/>
        </w:rPr>
        <w:t>在任何情况下均无义务和责任承担这些费用。</w:t>
      </w:r>
    </w:p>
    <w:p w14:paraId="48E9C3AA">
      <w:pPr>
        <w:pStyle w:val="14"/>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lang w:val="en-US" w:eastAsia="zh-CN"/>
        </w:rPr>
        <w:t>本项目招标代理服务费由中标人在领取中标通知书前向招标代理机构支付，</w:t>
      </w:r>
      <w:r>
        <w:rPr>
          <w:rFonts w:hint="eastAsia" w:ascii="宋体" w:hAnsi="宋体" w:eastAsia="宋体" w:cs="宋体"/>
          <w:color w:val="auto"/>
          <w:sz w:val="24"/>
          <w:highlight w:val="none"/>
        </w:rPr>
        <w:t>按</w:t>
      </w:r>
      <w:r>
        <w:rPr>
          <w:rFonts w:hint="eastAsia" w:ascii="宋体" w:hAnsi="宋体" w:eastAsia="宋体" w:cs="宋体"/>
          <w:color w:val="auto"/>
          <w:sz w:val="24"/>
          <w:highlight w:val="none"/>
          <w:lang w:val="en-US" w:eastAsia="zh-CN"/>
        </w:rPr>
        <w:t>苏招协</w:t>
      </w:r>
      <w:r>
        <w:rPr>
          <w:rFonts w:hint="eastAsia" w:ascii="宋体" w:hAnsi="宋体" w:eastAsia="宋体" w:cs="宋体"/>
          <w:color w:val="auto"/>
          <w:sz w:val="24"/>
          <w:highlight w:val="none"/>
        </w:rPr>
        <w:t>[20</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002</w:t>
      </w:r>
      <w:r>
        <w:rPr>
          <w:rFonts w:hint="eastAsia" w:ascii="宋体" w:hAnsi="宋体" w:eastAsia="宋体" w:cs="宋体"/>
          <w:color w:val="auto"/>
          <w:sz w:val="24"/>
          <w:highlight w:val="none"/>
        </w:rPr>
        <w:t>号文件* 60% 计取，币种为人民币</w:t>
      </w:r>
      <w:r>
        <w:rPr>
          <w:rFonts w:hint="default" w:ascii="宋体" w:hAnsi="宋体" w:eastAsia="宋体" w:cs="宋体"/>
          <w:color w:val="auto"/>
          <w:sz w:val="24"/>
          <w:highlight w:val="none"/>
        </w:rPr>
        <w:t>。投标供应商</w:t>
      </w:r>
      <w:r>
        <w:rPr>
          <w:rFonts w:hint="eastAsia" w:ascii="宋体" w:hAnsi="宋体" w:eastAsia="宋体" w:cs="宋体"/>
          <w:color w:val="auto"/>
          <w:sz w:val="24"/>
          <w:highlight w:val="none"/>
          <w:lang w:val="en-US" w:eastAsia="zh-CN"/>
        </w:rPr>
        <w:t>须将此费用</w:t>
      </w:r>
      <w:r>
        <w:rPr>
          <w:rFonts w:hint="default" w:ascii="宋体" w:hAnsi="宋体" w:eastAsia="宋体" w:cs="宋体"/>
          <w:color w:val="auto"/>
          <w:sz w:val="24"/>
          <w:highlight w:val="none"/>
        </w:rPr>
        <w:t>综合考虑在报价中，</w:t>
      </w:r>
      <w:r>
        <w:rPr>
          <w:rFonts w:hint="eastAsia" w:ascii="宋体" w:hAnsi="宋体" w:eastAsia="宋体" w:cs="宋体"/>
          <w:color w:val="auto"/>
          <w:sz w:val="24"/>
          <w:highlight w:val="none"/>
          <w:lang w:val="en-US" w:eastAsia="zh-CN"/>
        </w:rPr>
        <w:t>中标后</w:t>
      </w:r>
      <w:r>
        <w:rPr>
          <w:rFonts w:hint="default" w:ascii="宋体" w:hAnsi="宋体" w:eastAsia="宋体" w:cs="宋体"/>
          <w:color w:val="auto"/>
          <w:sz w:val="24"/>
          <w:highlight w:val="none"/>
        </w:rPr>
        <w:t>采购人不另行补偿</w:t>
      </w:r>
      <w:r>
        <w:rPr>
          <w:rFonts w:hint="eastAsia" w:ascii="宋体" w:hAnsi="宋体" w:eastAsia="宋体" w:cs="宋体"/>
          <w:color w:val="auto"/>
          <w:sz w:val="24"/>
          <w:szCs w:val="24"/>
          <w:highlight w:val="none"/>
          <w:shd w:val="clear" w:color="auto" w:fill="auto"/>
        </w:rPr>
        <w:t>。</w:t>
      </w:r>
      <w:r>
        <w:rPr>
          <w:rFonts w:hint="eastAsia" w:eastAsia="宋体" w:cs="宋体"/>
          <w:color w:val="auto"/>
          <w:sz w:val="24"/>
          <w:szCs w:val="24"/>
          <w:highlight w:val="none"/>
          <w:shd w:val="clear" w:color="auto" w:fill="auto"/>
          <w:lang w:val="en-US" w:eastAsia="zh-CN"/>
        </w:rPr>
        <w:t>收费基数按预算价为基数，不论实际发生多少，不多退少补。</w:t>
      </w:r>
    </w:p>
    <w:p w14:paraId="43832C20">
      <w:pPr>
        <w:pStyle w:val="14"/>
        <w:keepNext/>
        <w:keepLines/>
        <w:pageBreakBefore w:val="0"/>
        <w:kinsoku/>
        <w:wordWrap/>
        <w:overflowPunct/>
        <w:topLinePunct w:val="0"/>
        <w:autoSpaceDE/>
        <w:autoSpaceDN/>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color w:val="auto"/>
          <w:sz w:val="24"/>
          <w:szCs w:val="24"/>
          <w:highlight w:val="none"/>
        </w:rPr>
      </w:pPr>
      <w:bookmarkStart w:id="55" w:name="_Toc513029209"/>
      <w:bookmarkStart w:id="56" w:name="_Toc16938525"/>
      <w:bookmarkStart w:id="57" w:name="_Toc120614215"/>
      <w:bookmarkStart w:id="58" w:name="_Toc20823281"/>
      <w:r>
        <w:rPr>
          <w:rFonts w:hint="eastAsia" w:ascii="宋体" w:hAnsi="宋体" w:eastAsia="宋体" w:cs="宋体"/>
          <w:b/>
          <w:color w:val="auto"/>
          <w:sz w:val="24"/>
          <w:szCs w:val="24"/>
          <w:highlight w:val="none"/>
        </w:rPr>
        <w:t>二、招标文件</w:t>
      </w:r>
      <w:bookmarkEnd w:id="55"/>
      <w:bookmarkEnd w:id="56"/>
      <w:bookmarkEnd w:id="57"/>
      <w:bookmarkEnd w:id="58"/>
    </w:p>
    <w:p w14:paraId="68ED197E">
      <w:pPr>
        <w:pStyle w:val="14"/>
        <w:keepNext/>
        <w:keepLines/>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59" w:name="_Toc20823282"/>
      <w:bookmarkStart w:id="60" w:name="_Toc513029210"/>
      <w:bookmarkStart w:id="61" w:name="_Toc16938526"/>
      <w:r>
        <w:rPr>
          <w:rFonts w:hint="eastAsia" w:ascii="宋体" w:hAnsi="宋体" w:eastAsia="宋体" w:cs="宋体"/>
          <w:color w:val="auto"/>
          <w:sz w:val="24"/>
          <w:szCs w:val="24"/>
          <w:highlight w:val="none"/>
        </w:rPr>
        <w:t>6、招标文件构成</w:t>
      </w:r>
      <w:bookmarkEnd w:id="59"/>
      <w:bookmarkEnd w:id="60"/>
      <w:bookmarkEnd w:id="61"/>
    </w:p>
    <w:p w14:paraId="3A8430B3">
      <w:pPr>
        <w:pStyle w:val="14"/>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招标文件由以下部分组成：</w:t>
      </w:r>
    </w:p>
    <w:p w14:paraId="7CAD8D0E">
      <w:pPr>
        <w:pStyle w:val="14"/>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招标公告</w:t>
      </w:r>
    </w:p>
    <w:p w14:paraId="65867A57">
      <w:pPr>
        <w:pStyle w:val="14"/>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p>
    <w:p w14:paraId="57943076">
      <w:pPr>
        <w:pStyle w:val="14"/>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（3）合同文本</w:t>
      </w:r>
    </w:p>
    <w:p w14:paraId="2179FCE5">
      <w:pPr>
        <w:pStyle w:val="14"/>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（4）采购需求</w:t>
      </w:r>
    </w:p>
    <w:p w14:paraId="552F5101">
      <w:pPr>
        <w:pStyle w:val="14"/>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（5）评标方法与评标标准</w:t>
      </w:r>
    </w:p>
    <w:p w14:paraId="35C39FDB">
      <w:pPr>
        <w:pStyle w:val="14"/>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14:paraId="4BF73955">
      <w:pPr>
        <w:pStyle w:val="14"/>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请仔细检查招标文件是否齐全，如有缺漏请立即与</w:t>
      </w:r>
      <w:r>
        <w:rPr>
          <w:rFonts w:hint="eastAsia" w:ascii="宋体" w:hAnsi="宋体" w:eastAsia="宋体" w:cs="宋体"/>
          <w:color w:val="auto"/>
          <w:sz w:val="24"/>
          <w:szCs w:val="24"/>
          <w:highlight w:val="none"/>
          <w:lang w:val="en-US" w:eastAsia="zh-CN"/>
        </w:rPr>
        <w:t>采购人及招标代理机构</w:t>
      </w:r>
      <w:r>
        <w:rPr>
          <w:rFonts w:hint="eastAsia" w:ascii="宋体" w:hAnsi="宋体" w:eastAsia="宋体" w:cs="宋体"/>
          <w:color w:val="auto"/>
          <w:sz w:val="24"/>
          <w:szCs w:val="24"/>
          <w:highlight w:val="none"/>
        </w:rPr>
        <w:t>联系解决。</w:t>
      </w:r>
    </w:p>
    <w:p w14:paraId="16D0189C">
      <w:pPr>
        <w:pStyle w:val="14"/>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cs="宋体"/>
          <w:b/>
          <w:bCs/>
          <w:color w:val="auto"/>
          <w:sz w:val="24"/>
          <w:highlight w:val="none"/>
          <w:lang w:val="en-US" w:eastAsia="zh-CN"/>
        </w:rPr>
      </w:pPr>
      <w:r>
        <w:rPr>
          <w:rFonts w:hint="eastAsia" w:ascii="宋体" w:hAnsi="宋体" w:eastAsia="宋体" w:cs="宋体"/>
          <w:color w:val="auto"/>
          <w:sz w:val="24"/>
          <w:szCs w:val="24"/>
          <w:highlight w:val="none"/>
        </w:rPr>
        <w:t>6.2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bookmarkStart w:id="62" w:name="_Toc31050"/>
      <w:bookmarkStart w:id="63" w:name="_Toc16938527"/>
      <w:bookmarkStart w:id="64" w:name="_Toc513029211"/>
      <w:bookmarkStart w:id="65" w:name="_Toc20823283"/>
      <w:bookmarkStart w:id="66" w:name="_Toc462564070"/>
    </w:p>
    <w:p w14:paraId="38BCA140">
      <w:pPr>
        <w:pageBreakBefore w:val="0"/>
        <w:kinsoku/>
        <w:wordWrap/>
        <w:overflowPunct/>
        <w:topLinePunct w:val="0"/>
        <w:autoSpaceDE/>
        <w:autoSpaceDN/>
        <w:bidi w:val="0"/>
        <w:adjustRightInd w:val="0"/>
        <w:snapToGrid w:val="0"/>
        <w:spacing w:line="400" w:lineRule="exact"/>
        <w:ind w:left="0" w:right="0" w:firstLine="482" w:firstLineChars="200"/>
        <w:jc w:val="left"/>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.招标文件的澄清和异议</w:t>
      </w:r>
      <w:bookmarkEnd w:id="62"/>
    </w:p>
    <w:p w14:paraId="7ADE783A">
      <w:pPr>
        <w:pStyle w:val="14"/>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color w:val="auto"/>
          <w:highlight w:val="none"/>
        </w:rPr>
      </w:pPr>
      <w:r>
        <w:rPr>
          <w:rFonts w:hint="eastAsia"/>
          <w:color w:val="auto"/>
          <w:highlight w:val="none"/>
          <w:lang w:val="en-US" w:eastAsia="zh-CN"/>
        </w:rPr>
        <w:t>7</w:t>
      </w:r>
      <w:r>
        <w:rPr>
          <w:rFonts w:hint="eastAsia"/>
          <w:color w:val="auto"/>
          <w:highlight w:val="none"/>
        </w:rPr>
        <w:t>.1  任何要求对招标文件进行澄清或对招标文件有异议的投标人，均须在法定时间内（以公告截止时间起算）</w:t>
      </w:r>
      <w:r>
        <w:rPr>
          <w:rFonts w:hint="eastAsia"/>
          <w:color w:val="auto"/>
          <w:highlight w:val="none"/>
          <w:lang w:val="en-US" w:eastAsia="zh-CN"/>
        </w:rPr>
        <w:t>7天内</w:t>
      </w:r>
      <w:r>
        <w:rPr>
          <w:rFonts w:hint="eastAsia"/>
          <w:color w:val="auto"/>
          <w:highlight w:val="none"/>
        </w:rPr>
        <w:t>以书面形式送达采购人或</w:t>
      </w:r>
      <w:r>
        <w:rPr>
          <w:rFonts w:hint="eastAsia"/>
          <w:color w:val="auto"/>
          <w:highlight w:val="none"/>
          <w:lang w:val="en-US" w:eastAsia="zh-CN"/>
        </w:rPr>
        <w:t>招标</w:t>
      </w:r>
      <w:r>
        <w:rPr>
          <w:rFonts w:hint="eastAsia"/>
          <w:color w:val="auto"/>
          <w:highlight w:val="none"/>
        </w:rPr>
        <w:t>代理机构（联系方式见“招标公告”）。逾期递交对招标文件要求进行澄清或对招标文件有异议的将不予受理。</w:t>
      </w:r>
    </w:p>
    <w:p w14:paraId="7F28617B">
      <w:pPr>
        <w:pStyle w:val="14"/>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color w:val="auto"/>
          <w:highlight w:val="none"/>
        </w:rPr>
      </w:pPr>
      <w:r>
        <w:rPr>
          <w:rFonts w:hint="eastAsia"/>
          <w:color w:val="auto"/>
          <w:highlight w:val="none"/>
          <w:lang w:val="en-US" w:eastAsia="zh-CN"/>
        </w:rPr>
        <w:t>7</w:t>
      </w:r>
      <w:r>
        <w:rPr>
          <w:rFonts w:hint="eastAsia"/>
          <w:color w:val="auto"/>
          <w:highlight w:val="none"/>
        </w:rPr>
        <w:t>.2  采购人或者采购代理机构对规定时间内收到的澄清要求和对异议的答复，将在响水县人民政府网-招投标信息(</w:t>
      </w:r>
      <w:r>
        <w:rPr>
          <w:color w:val="auto"/>
          <w:highlight w:val="none"/>
        </w:rPr>
        <w:fldChar w:fldCharType="begin"/>
      </w:r>
      <w:r>
        <w:rPr>
          <w:color w:val="auto"/>
          <w:highlight w:val="none"/>
        </w:rPr>
        <w:instrText xml:space="preserve"> HYPERLINK "http://www.xiangshui.gov.cn/col/col34033/index.html" </w:instrText>
      </w:r>
      <w:r>
        <w:rPr>
          <w:color w:val="auto"/>
          <w:highlight w:val="none"/>
        </w:rPr>
        <w:fldChar w:fldCharType="separate"/>
      </w:r>
      <w:r>
        <w:rPr>
          <w:rFonts w:hint="eastAsia"/>
          <w:color w:val="auto"/>
          <w:highlight w:val="none"/>
        </w:rPr>
        <w:t>www.xiangshui.gov.cn/art/2023/9/7/art_34033_4054346.html)</w:t>
      </w:r>
      <w:r>
        <w:rPr>
          <w:rFonts w:hint="eastAsia"/>
          <w:color w:val="auto"/>
          <w:highlight w:val="none"/>
        </w:rPr>
        <w:fldChar w:fldCharType="end"/>
      </w:r>
      <w:r>
        <w:rPr>
          <w:rFonts w:hint="eastAsia"/>
          <w:color w:val="auto"/>
          <w:highlight w:val="none"/>
        </w:rPr>
        <w:t>“国企采购-采购公告</w:t>
      </w:r>
      <w:r>
        <w:rPr>
          <w:rFonts w:hint="eastAsia"/>
          <w:color w:val="auto"/>
          <w:highlight w:val="none"/>
          <w:lang w:val="en-US" w:eastAsia="zh-CN"/>
        </w:rPr>
        <w:t>-</w:t>
      </w:r>
      <w:r>
        <w:rPr>
          <w:rFonts w:hint="eastAsia"/>
          <w:color w:val="auto"/>
          <w:highlight w:val="none"/>
        </w:rPr>
        <w:t>更正公告”栏下载，请投标人自行查看，否则后果自负。</w:t>
      </w:r>
    </w:p>
    <w:p w14:paraId="01696A1E">
      <w:pPr>
        <w:pStyle w:val="14"/>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color w:val="auto"/>
          <w:highlight w:val="none"/>
        </w:rPr>
      </w:pPr>
      <w:r>
        <w:rPr>
          <w:rFonts w:hint="eastAsia"/>
          <w:color w:val="auto"/>
          <w:highlight w:val="none"/>
          <w:lang w:val="en-US" w:eastAsia="zh-CN"/>
        </w:rPr>
        <w:t>7</w:t>
      </w:r>
      <w:r>
        <w:rPr>
          <w:rFonts w:hint="eastAsia"/>
          <w:color w:val="auto"/>
          <w:highlight w:val="none"/>
        </w:rPr>
        <w:t>.3  澄清或者对异议的答复作为招标文件的组成部分。</w:t>
      </w:r>
    </w:p>
    <w:p w14:paraId="0ED2981D">
      <w:pPr>
        <w:pStyle w:val="14"/>
        <w:pageBreakBefore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color w:val="auto"/>
          <w:highlight w:val="none"/>
        </w:rPr>
      </w:pPr>
      <w:r>
        <w:rPr>
          <w:rFonts w:hint="eastAsia"/>
          <w:color w:val="auto"/>
          <w:highlight w:val="none"/>
          <w:lang w:val="en-US" w:eastAsia="zh-CN"/>
        </w:rPr>
        <w:t>7</w:t>
      </w:r>
      <w:r>
        <w:rPr>
          <w:rFonts w:hint="eastAsia"/>
          <w:color w:val="auto"/>
          <w:highlight w:val="none"/>
        </w:rPr>
        <w:t>.4  澄清或者对异议的答复内容可能影响投标文件编制的，采购人或者采购代理机构应当在投标截止时间至少15日前，以5.2条款的形式通知所有获取招标文件的潜在投标人；不足15日的，采购人或者采购代理机构应当顺延提交投标文件的截止时间。</w:t>
      </w:r>
    </w:p>
    <w:p w14:paraId="365374AA">
      <w:pPr>
        <w:pageBreakBefore w:val="0"/>
        <w:kinsoku/>
        <w:wordWrap/>
        <w:overflowPunct/>
        <w:topLinePunct w:val="0"/>
        <w:autoSpaceDE/>
        <w:autoSpaceDN/>
        <w:bidi w:val="0"/>
        <w:adjustRightInd w:val="0"/>
        <w:snapToGrid w:val="0"/>
        <w:spacing w:line="400" w:lineRule="exact"/>
        <w:ind w:left="0" w:right="0" w:firstLine="482" w:firstLineChars="200"/>
        <w:jc w:val="left"/>
        <w:textAlignment w:val="auto"/>
        <w:outlineLvl w:val="9"/>
        <w:rPr>
          <w:rFonts w:hint="eastAsia" w:ascii="宋体" w:hAnsi="宋体" w:cs="宋体"/>
          <w:b/>
          <w:color w:val="auto"/>
          <w:sz w:val="24"/>
          <w:highlight w:val="none"/>
        </w:rPr>
      </w:pPr>
      <w:bookmarkStart w:id="67" w:name="_Toc15888"/>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.招标文件的修改</w:t>
      </w:r>
      <w:bookmarkEnd w:id="67"/>
    </w:p>
    <w:p w14:paraId="6DD13762">
      <w:pPr>
        <w:pageBreakBefore w:val="0"/>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.1  在投标截止期前的任何时候，无论出于何种原因，采购人或者采购代理机构均可主动地或在解答投标人提出的澄清问题时对招标文件进行修改。</w:t>
      </w:r>
    </w:p>
    <w:p w14:paraId="20B976F2">
      <w:pPr>
        <w:pageBreakBefore w:val="0"/>
        <w:widowControl/>
        <w:tabs>
          <w:tab w:val="left" w:pos="900"/>
        </w:tabs>
        <w:kinsoku/>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.2  采购人或者采购代理机构对澄清或修改内容，将在响水县人民政府网-招投标信息“国企采购-采购公告-更正公告”上公布，请投标人自行查看，否则后果自负。</w:t>
      </w:r>
    </w:p>
    <w:p w14:paraId="09118B5E">
      <w:pPr>
        <w:pStyle w:val="14"/>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color w:val="auto"/>
          <w:highlight w:val="none"/>
        </w:rPr>
      </w:pPr>
      <w:r>
        <w:rPr>
          <w:rFonts w:hint="eastAsia"/>
          <w:color w:val="auto"/>
          <w:highlight w:val="none"/>
          <w:lang w:val="en-US" w:eastAsia="zh-CN"/>
        </w:rPr>
        <w:t>8</w:t>
      </w:r>
      <w:r>
        <w:rPr>
          <w:rFonts w:hint="eastAsia"/>
          <w:color w:val="auto"/>
          <w:highlight w:val="none"/>
        </w:rPr>
        <w:t>.3  澄清或者修改的内容作为招标文件的组成部分。</w:t>
      </w:r>
    </w:p>
    <w:p w14:paraId="1CD46F7C">
      <w:pPr>
        <w:pStyle w:val="14"/>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color w:val="auto"/>
          <w:highlight w:val="none"/>
          <w:lang w:val="en-US" w:eastAsia="zh-CN"/>
        </w:rPr>
        <w:t>8</w:t>
      </w:r>
      <w:r>
        <w:rPr>
          <w:rFonts w:hint="eastAsia"/>
          <w:color w:val="auto"/>
          <w:highlight w:val="none"/>
        </w:rPr>
        <w:t>.4  澄清或者修改的内容可能影响投标文件编制的，采购人或者采购代理机构应当在投标截止时间至少15日前，以6.2条款的形式通知所有获取招标文件的潜在投标人；不足15日的，采购人或者采购代理机构应当顺延提交投标文件的截止时间。</w:t>
      </w:r>
    </w:p>
    <w:bookmarkEnd w:id="63"/>
    <w:bookmarkEnd w:id="64"/>
    <w:bookmarkEnd w:id="65"/>
    <w:bookmarkEnd w:id="66"/>
    <w:p w14:paraId="00278C9A">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color w:val="auto"/>
          <w:sz w:val="24"/>
          <w:szCs w:val="24"/>
          <w:highlight w:val="none"/>
        </w:rPr>
      </w:pPr>
      <w:bookmarkStart w:id="68" w:name="_Toc16938529"/>
      <w:bookmarkStart w:id="69" w:name="_Toc20823285"/>
      <w:bookmarkStart w:id="70" w:name="_Toc513029213"/>
      <w:bookmarkStart w:id="71" w:name="_Toc462564072"/>
      <w:bookmarkStart w:id="72" w:name="_Toc120614216"/>
      <w:r>
        <w:rPr>
          <w:rFonts w:hint="eastAsia" w:ascii="宋体" w:hAnsi="宋体" w:eastAsia="宋体" w:cs="宋体"/>
          <w:b/>
          <w:color w:val="auto"/>
          <w:sz w:val="24"/>
          <w:szCs w:val="24"/>
          <w:highlight w:val="none"/>
        </w:rPr>
        <w:t>三、投标文件的编制</w:t>
      </w:r>
      <w:bookmarkEnd w:id="68"/>
      <w:bookmarkEnd w:id="69"/>
      <w:bookmarkEnd w:id="70"/>
      <w:bookmarkEnd w:id="71"/>
      <w:bookmarkEnd w:id="72"/>
    </w:p>
    <w:p w14:paraId="3958D525">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73" w:name="_Toc16938530"/>
      <w:bookmarkStart w:id="74" w:name="_Toc462564073"/>
      <w:bookmarkStart w:id="75" w:name="_Toc513029214"/>
      <w:bookmarkStart w:id="76" w:name="_Toc20823286"/>
      <w:r>
        <w:rPr>
          <w:rFonts w:hint="eastAsia" w:ascii="宋体" w:hAnsi="宋体" w:eastAsia="宋体" w:cs="宋体"/>
          <w:color w:val="auto"/>
          <w:sz w:val="24"/>
          <w:szCs w:val="24"/>
          <w:highlight w:val="none"/>
        </w:rPr>
        <w:t>9、投标文件的语言及度量衡单位</w:t>
      </w:r>
      <w:bookmarkEnd w:id="73"/>
      <w:bookmarkEnd w:id="74"/>
      <w:bookmarkEnd w:id="75"/>
      <w:bookmarkEnd w:id="76"/>
    </w:p>
    <w:p w14:paraId="4F02069C">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9.1投标人提交的投标文件以及投标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与采购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就有关投标的所有来往通知、函件和文件均应使用</w:t>
      </w:r>
      <w:r>
        <w:rPr>
          <w:rFonts w:hint="eastAsia" w:ascii="宋体" w:hAnsi="宋体" w:eastAsia="宋体" w:cs="宋体"/>
          <w:b/>
          <w:color w:val="auto"/>
          <w:sz w:val="24"/>
          <w:szCs w:val="24"/>
          <w:highlight w:val="none"/>
        </w:rPr>
        <w:t>简体中文</w:t>
      </w:r>
      <w:r>
        <w:rPr>
          <w:rFonts w:hint="eastAsia" w:ascii="宋体" w:hAnsi="宋体" w:eastAsia="宋体" w:cs="宋体"/>
          <w:color w:val="auto"/>
          <w:sz w:val="24"/>
          <w:szCs w:val="24"/>
          <w:highlight w:val="none"/>
        </w:rPr>
        <w:t>。</w:t>
      </w:r>
    </w:p>
    <w:p w14:paraId="4BFB97B0">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9.2除技术性能另有规定外，投标文件所使用的度量衡单位，均须采用国家法定计量单位。</w:t>
      </w:r>
    </w:p>
    <w:p w14:paraId="298AD8B7">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9.3 中标供应商须在中标公示结束后，提供5份纸投标文件，装订成册（须与电子投标文件一致）</w:t>
      </w:r>
    </w:p>
    <w:p w14:paraId="5A005DB0">
      <w:pPr>
        <w:pStyle w:val="14"/>
        <w:keepNext w:val="0"/>
        <w:keepLines/>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77" w:name="_Toc513029215"/>
      <w:bookmarkStart w:id="78" w:name="_Toc462564074"/>
      <w:bookmarkStart w:id="79" w:name="_Toc20823287"/>
      <w:bookmarkStart w:id="80" w:name="_Toc16938531"/>
      <w:r>
        <w:rPr>
          <w:rFonts w:hint="eastAsia" w:ascii="宋体" w:hAnsi="宋体" w:eastAsia="宋体" w:cs="宋体"/>
          <w:color w:val="auto"/>
          <w:sz w:val="24"/>
          <w:szCs w:val="24"/>
          <w:highlight w:val="none"/>
        </w:rPr>
        <w:t>10、投标文件构成</w:t>
      </w:r>
      <w:bookmarkEnd w:id="77"/>
      <w:bookmarkEnd w:id="78"/>
      <w:bookmarkEnd w:id="79"/>
      <w:bookmarkEnd w:id="80"/>
    </w:p>
    <w:p w14:paraId="2CDE719A">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10.1投标人编写的投标文件应包括资格证明文件、符合性证明文件、技术要求响应及偏离表、商务要求响应及偏离表、其他证明文件、投标函、开标一览表等部分。</w:t>
      </w:r>
    </w:p>
    <w:p w14:paraId="58AAE2F3">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81" w:name="_Toc49090507"/>
      <w:bookmarkStart w:id="82" w:name="_Toc513029216"/>
      <w:bookmarkStart w:id="83" w:name="_Toc513029219"/>
      <w:bookmarkStart w:id="84" w:name="_Toc14577354"/>
      <w:bookmarkStart w:id="85" w:name="_Toc49090509"/>
      <w:bookmarkStart w:id="86" w:name="_Toc14577357"/>
      <w:bookmarkStart w:id="87" w:name="_Hlt26954838"/>
      <w:bookmarkStart w:id="88" w:name="_Hlt26670360"/>
      <w:bookmarkStart w:id="89" w:name="_Hlt26668975"/>
      <w:r>
        <w:rPr>
          <w:rFonts w:hint="eastAsia" w:ascii="宋体" w:hAnsi="宋体" w:eastAsia="宋体" w:cs="宋体"/>
          <w:color w:val="auto"/>
          <w:sz w:val="24"/>
          <w:szCs w:val="24"/>
          <w:highlight w:val="none"/>
        </w:rPr>
        <w:t>11、证明投标人及投标标的符合招标文件规定的文件</w:t>
      </w:r>
      <w:bookmarkEnd w:id="81"/>
      <w:bookmarkEnd w:id="82"/>
      <w:bookmarkEnd w:id="83"/>
      <w:bookmarkEnd w:id="84"/>
      <w:bookmarkEnd w:id="85"/>
      <w:bookmarkEnd w:id="86"/>
    </w:p>
    <w:p w14:paraId="7BCF26D9">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90" w:name="_Toc14577355"/>
      <w:bookmarkStart w:id="91" w:name="_Toc49090508"/>
      <w:r>
        <w:rPr>
          <w:rFonts w:hint="eastAsia" w:ascii="宋体" w:hAnsi="宋体" w:eastAsia="宋体" w:cs="宋体"/>
          <w:color w:val="auto"/>
          <w:sz w:val="24"/>
          <w:szCs w:val="24"/>
          <w:highlight w:val="none"/>
        </w:rPr>
        <w:t>11.1投标人应按照法律、法规、规章和规范性文件以及招标文件要求提交证明文件，证明其及投标标的符合招标文件规定。</w:t>
      </w:r>
      <w:bookmarkEnd w:id="90"/>
      <w:bookmarkEnd w:id="91"/>
    </w:p>
    <w:p w14:paraId="68EBD425">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11.2招标文件对证明文件无明确形式要求的，证明文件可以以文字资料、图纸和数据等形式提交。</w:t>
      </w:r>
    </w:p>
    <w:p w14:paraId="7C62A904">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12、投标报价</w:t>
      </w:r>
      <w:bookmarkStart w:id="92" w:name="_Hlt26670373"/>
    </w:p>
    <w:p w14:paraId="1C77FDF8">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color w:val="auto"/>
          <w:sz w:val="24"/>
          <w:highlight w:val="none"/>
          <w:lang w:val="en-US" w:eastAsia="zh-CN"/>
        </w:rPr>
      </w:pPr>
      <w:bookmarkStart w:id="93" w:name="_Hlt26670399"/>
      <w:bookmarkStart w:id="94" w:name="_Hlt26954840"/>
      <w:r>
        <w:rPr>
          <w:rFonts w:hint="eastAsia" w:ascii="宋体" w:hAnsi="宋体" w:eastAsia="宋体" w:cs="宋体"/>
          <w:b w:val="0"/>
          <w:bCs/>
          <w:color w:val="auto"/>
          <w:sz w:val="24"/>
          <w:szCs w:val="24"/>
          <w:highlight w:val="none"/>
          <w:lang w:val="en-US" w:eastAsia="zh-CN" w:bidi="ar-SA"/>
        </w:rPr>
        <w:t>12.1</w:t>
      </w:r>
      <w:r>
        <w:rPr>
          <w:rFonts w:hint="eastAsia" w:ascii="宋体" w:hAnsi="宋体"/>
          <w:bCs/>
          <w:color w:val="auto"/>
          <w:sz w:val="24"/>
          <w:highlight w:val="none"/>
        </w:rPr>
        <w:t>报价应包含以下内容：投标人应</w:t>
      </w:r>
      <w:r>
        <w:rPr>
          <w:rFonts w:hint="eastAsia" w:ascii="宋体" w:hAnsi="宋体"/>
          <w:color w:val="auto"/>
          <w:sz w:val="24"/>
          <w:highlight w:val="none"/>
        </w:rPr>
        <w:t>根据自己的实力和条件报价，投标报价应是</w:t>
      </w:r>
      <w:r>
        <w:rPr>
          <w:rFonts w:hint="eastAsia" w:ascii="宋体" w:hAnsi="宋体"/>
          <w:color w:val="auto"/>
          <w:sz w:val="24"/>
          <w:highlight w:val="none"/>
          <w:lang w:val="en-US" w:eastAsia="zh-CN"/>
        </w:rPr>
        <w:t>采购</w:t>
      </w:r>
      <w:r>
        <w:rPr>
          <w:rFonts w:hint="eastAsia" w:ascii="宋体" w:hAnsi="宋体"/>
          <w:color w:val="auto"/>
          <w:sz w:val="24"/>
          <w:highlight w:val="none"/>
        </w:rPr>
        <w:t>文件所确定招标范围内全部工作内容的价格体现，</w:t>
      </w:r>
      <w:r>
        <w:rPr>
          <w:rFonts w:ascii="宋体" w:hAnsi="宋体"/>
          <w:color w:val="auto"/>
          <w:sz w:val="24"/>
          <w:highlight w:val="none"/>
        </w:rPr>
        <w:t>以及为完成上述内容所必须的人工费、材料费、不可预见的费用、管理费</w:t>
      </w:r>
      <w:r>
        <w:rPr>
          <w:rFonts w:hint="eastAsia" w:ascii="宋体" w:hAnsi="宋体"/>
          <w:color w:val="auto"/>
          <w:sz w:val="24"/>
          <w:highlight w:val="none"/>
        </w:rPr>
        <w:t>、</w:t>
      </w:r>
      <w:r>
        <w:rPr>
          <w:rFonts w:ascii="宋体" w:hAnsi="宋体"/>
          <w:color w:val="auto"/>
          <w:sz w:val="24"/>
          <w:highlight w:val="none"/>
        </w:rPr>
        <w:t>利润、招标代理费</w:t>
      </w:r>
      <w:r>
        <w:rPr>
          <w:rFonts w:hint="eastAsia" w:ascii="宋体" w:hAnsi="宋体"/>
          <w:color w:val="auto"/>
          <w:sz w:val="24"/>
          <w:highlight w:val="none"/>
          <w:lang w:eastAsia="zh-CN"/>
        </w:rPr>
        <w:t>、</w:t>
      </w:r>
      <w:r>
        <w:rPr>
          <w:rFonts w:ascii="宋体" w:hAnsi="宋体"/>
          <w:color w:val="auto"/>
          <w:sz w:val="24"/>
          <w:highlight w:val="none"/>
        </w:rPr>
        <w:t>税金和文件规定的其他各项应有的全部费用</w:t>
      </w:r>
      <w:r>
        <w:rPr>
          <w:rFonts w:hint="eastAsia" w:ascii="宋体" w:hAnsi="宋体"/>
          <w:color w:val="auto"/>
          <w:sz w:val="24"/>
          <w:highlight w:val="none"/>
        </w:rPr>
        <w:t>。</w:t>
      </w:r>
      <w:r>
        <w:rPr>
          <w:rFonts w:hint="eastAsia" w:ascii="宋体" w:hAnsi="宋体"/>
          <w:color w:val="auto"/>
          <w:sz w:val="24"/>
          <w:highlight w:val="none"/>
          <w:lang w:val="en-US" w:eastAsia="zh-CN"/>
        </w:rPr>
        <w:t>中标后折扣率不调整。</w:t>
      </w:r>
    </w:p>
    <w:p w14:paraId="25F1AFE8">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12.2投标货币。投标文件中的单价和总价无特殊规定的采用人民币报价，以元为单位标注。招标文件中另有规定的按规定执行。</w:t>
      </w:r>
    </w:p>
    <w:p w14:paraId="3E71C8AC">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95" w:name="_Hlt26670482"/>
      <w:bookmarkStart w:id="96" w:name="_Hlt26670486"/>
      <w:bookmarkStart w:id="97" w:name="_Hlt26954844"/>
      <w:bookmarkStart w:id="98" w:name="_Hlt26954842"/>
      <w:bookmarkStart w:id="99" w:name="_Hlt26670403"/>
      <w:bookmarkStart w:id="100" w:name="_Hlt26668983"/>
      <w:bookmarkStart w:id="101" w:name="_Hlt26954846"/>
      <w:bookmarkStart w:id="102" w:name="_Hlt26954848"/>
      <w:bookmarkStart w:id="103" w:name="_Hlt26670425"/>
      <w:bookmarkStart w:id="104" w:name="_Hlt26954731"/>
      <w:r>
        <w:rPr>
          <w:rFonts w:hint="eastAsia" w:ascii="宋体" w:hAnsi="宋体" w:eastAsia="宋体" w:cs="宋体"/>
          <w:color w:val="auto"/>
          <w:sz w:val="24"/>
          <w:szCs w:val="24"/>
          <w:highlight w:val="none"/>
        </w:rPr>
        <w:t>13、技术要求响应及偏离表、商务要求响应及偏离表</w:t>
      </w:r>
    </w:p>
    <w:p w14:paraId="7633F01F">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13.1投标人需对招标文件中的技术要求与商务要求逐项作出响应或偏离，并说明原因。</w:t>
      </w:r>
    </w:p>
    <w:p w14:paraId="39ED4825">
      <w:pPr>
        <w:pStyle w:val="14"/>
        <w:pageBreakBefore w:val="0"/>
        <w:widowControl w:val="0"/>
        <w:tabs>
          <w:tab w:val="left" w:pos="1036"/>
        </w:tabs>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13.2投标人可在投标文件中提供认为需要的其他技术文件或说明。</w:t>
      </w:r>
    </w:p>
    <w:p w14:paraId="3BCCF779">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05" w:name="_Toc14577359"/>
      <w:bookmarkStart w:id="106" w:name="_Toc49090510"/>
      <w:r>
        <w:rPr>
          <w:rFonts w:hint="eastAsia" w:ascii="宋体" w:hAnsi="宋体" w:eastAsia="宋体" w:cs="宋体"/>
          <w:color w:val="auto"/>
          <w:sz w:val="24"/>
          <w:szCs w:val="24"/>
          <w:highlight w:val="none"/>
        </w:rPr>
        <w:t>14、投标函和开标一览表</w:t>
      </w:r>
      <w:bookmarkEnd w:id="105"/>
      <w:bookmarkEnd w:id="106"/>
    </w:p>
    <w:p w14:paraId="1BEB9EC7">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14.1投标人应按照招标文件中提供的格式完整、正确填写投标函、开标一览表。</w:t>
      </w:r>
    </w:p>
    <w:p w14:paraId="63A61873">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14.2对于采用货币报价的项目，开标一览表中的投标总报价应与投标分项报价表中的投标总报价一致，如不一致，不作为无效投标处理，但评标时按开标一览表中价格为准</w:t>
      </w:r>
      <w:r>
        <w:rPr>
          <w:rFonts w:hint="eastAsia" w:ascii="宋体" w:hAnsi="宋体" w:eastAsia="宋体" w:cs="宋体"/>
          <w:b/>
          <w:color w:val="auto"/>
          <w:sz w:val="24"/>
          <w:szCs w:val="24"/>
          <w:highlight w:val="none"/>
        </w:rPr>
        <w:t>。</w:t>
      </w:r>
    </w:p>
    <w:p w14:paraId="53CB0256">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07" w:name="_Toc14577360"/>
      <w:bookmarkStart w:id="108" w:name="_Toc49090511"/>
      <w:bookmarkStart w:id="109" w:name="_Hlt26670489"/>
      <w:bookmarkStart w:id="110" w:name="_Hlt26954734"/>
      <w:bookmarkStart w:id="111" w:name="_Hlt26954850"/>
      <w:r>
        <w:rPr>
          <w:rFonts w:hint="eastAsia" w:ascii="宋体" w:hAnsi="宋体" w:eastAsia="宋体" w:cs="宋体"/>
          <w:color w:val="auto"/>
          <w:sz w:val="24"/>
          <w:szCs w:val="24"/>
          <w:highlight w:val="none"/>
        </w:rPr>
        <w:t>15、投标有效期</w:t>
      </w:r>
      <w:bookmarkEnd w:id="107"/>
      <w:bookmarkEnd w:id="108"/>
    </w:p>
    <w:p w14:paraId="6CB8DD62">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15.1投标有效期为采购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规定的开标之日后</w:t>
      </w:r>
      <w:r>
        <w:rPr>
          <w:rFonts w:hint="eastAsia" w:ascii="宋体" w:hAnsi="宋体" w:eastAsia="宋体" w:cs="宋体"/>
          <w:b/>
          <w:color w:val="auto"/>
          <w:sz w:val="24"/>
          <w:szCs w:val="24"/>
          <w:highlight w:val="none"/>
          <w:u w:val="single"/>
          <w:lang w:val="en-US" w:eastAsia="zh-CN"/>
        </w:rPr>
        <w:t>九</w:t>
      </w:r>
      <w:r>
        <w:rPr>
          <w:rFonts w:hint="eastAsia" w:ascii="宋体" w:hAnsi="宋体" w:eastAsia="宋体" w:cs="宋体"/>
          <w:b/>
          <w:color w:val="auto"/>
          <w:sz w:val="24"/>
          <w:szCs w:val="24"/>
          <w:highlight w:val="none"/>
          <w:u w:val="single"/>
        </w:rPr>
        <w:t>十（</w:t>
      </w:r>
      <w:r>
        <w:rPr>
          <w:rFonts w:hint="eastAsia" w:ascii="宋体" w:hAnsi="宋体" w:eastAsia="宋体" w:cs="宋体"/>
          <w:b/>
          <w:color w:val="auto"/>
          <w:sz w:val="24"/>
          <w:szCs w:val="24"/>
          <w:highlight w:val="none"/>
          <w:u w:val="single"/>
          <w:lang w:val="en-US" w:eastAsia="zh-CN"/>
        </w:rPr>
        <w:t>9</w:t>
      </w:r>
      <w:r>
        <w:rPr>
          <w:rFonts w:hint="eastAsia" w:ascii="宋体" w:hAnsi="宋体" w:eastAsia="宋体" w:cs="宋体"/>
          <w:b/>
          <w:color w:val="auto"/>
          <w:sz w:val="24"/>
          <w:szCs w:val="24"/>
          <w:highlight w:val="none"/>
          <w:u w:val="single"/>
        </w:rPr>
        <w:t>0）天</w:t>
      </w:r>
      <w:r>
        <w:rPr>
          <w:rFonts w:hint="eastAsia" w:ascii="宋体" w:hAnsi="宋体" w:eastAsia="宋体" w:cs="宋体"/>
          <w:color w:val="auto"/>
          <w:sz w:val="24"/>
          <w:szCs w:val="24"/>
          <w:highlight w:val="none"/>
        </w:rPr>
        <w:t>。投标有效期比规定短的将被视为未实质性响应招标文件而予以拒绝。</w:t>
      </w:r>
    </w:p>
    <w:p w14:paraId="0A08692B">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16、投标有效期的延长</w:t>
      </w:r>
    </w:p>
    <w:p w14:paraId="580C2F5C">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16.1在特殊情况下，采购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于原投标有效期满之前，可向投标人提出延长投标有效期的要求。这种要求与答复均应采用书面形式。投标人可以拒绝采购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的这一要求而放弃投标。同意延长投标有效期的投标人既不能要求也不允许修改其投标文件，同时受投标有效期约束的所有权利与义务均延长至新的有效期。</w:t>
      </w:r>
    </w:p>
    <w:p w14:paraId="1E06A6BF">
      <w:pPr>
        <w:pStyle w:val="14"/>
        <w:keepNext w:val="0"/>
        <w:keepLines/>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color w:val="auto"/>
          <w:sz w:val="24"/>
          <w:szCs w:val="24"/>
          <w:highlight w:val="none"/>
        </w:rPr>
      </w:pPr>
      <w:bookmarkStart w:id="112" w:name="_Toc16938540"/>
      <w:bookmarkStart w:id="113" w:name="_Toc120614217"/>
      <w:bookmarkStart w:id="114" w:name="_Toc513029224"/>
      <w:bookmarkStart w:id="115" w:name="_Toc20823296"/>
      <w:bookmarkStart w:id="116" w:name="_Hlt26954852"/>
      <w:bookmarkStart w:id="117" w:name="_Hlt26954739"/>
      <w:r>
        <w:rPr>
          <w:rFonts w:hint="eastAsia" w:ascii="宋体" w:hAnsi="宋体" w:eastAsia="宋体" w:cs="宋体"/>
          <w:b/>
          <w:color w:val="auto"/>
          <w:sz w:val="24"/>
          <w:szCs w:val="24"/>
          <w:highlight w:val="none"/>
        </w:rPr>
        <w:t>四、投标文件的递交</w:t>
      </w:r>
      <w:bookmarkEnd w:id="112"/>
      <w:bookmarkEnd w:id="113"/>
      <w:bookmarkEnd w:id="114"/>
      <w:bookmarkEnd w:id="115"/>
    </w:p>
    <w:p w14:paraId="4C633EA9">
      <w:pPr>
        <w:pStyle w:val="14"/>
        <w:keepNext w:val="0"/>
        <w:keepLines/>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18" w:name="_Toc20823297"/>
      <w:bookmarkStart w:id="119" w:name="_Toc16938541"/>
      <w:bookmarkStart w:id="120" w:name="_Toc513029225"/>
      <w:bookmarkStart w:id="121" w:name="_Toc462564084"/>
      <w:r>
        <w:rPr>
          <w:rFonts w:hint="eastAsia" w:ascii="宋体" w:hAnsi="宋体" w:eastAsia="宋体" w:cs="宋体"/>
          <w:color w:val="auto"/>
          <w:sz w:val="24"/>
          <w:szCs w:val="24"/>
          <w:highlight w:val="none"/>
        </w:rPr>
        <w:t>17、投标文件</w:t>
      </w:r>
      <w:bookmarkEnd w:id="118"/>
      <w:bookmarkEnd w:id="119"/>
      <w:bookmarkEnd w:id="120"/>
      <w:bookmarkEnd w:id="121"/>
      <w:r>
        <w:rPr>
          <w:rFonts w:hint="eastAsia" w:ascii="宋体" w:hAnsi="宋体" w:eastAsia="宋体" w:cs="宋体"/>
          <w:color w:val="auto"/>
          <w:sz w:val="24"/>
          <w:szCs w:val="24"/>
          <w:highlight w:val="none"/>
        </w:rPr>
        <w:t>的递交</w:t>
      </w:r>
    </w:p>
    <w:p w14:paraId="05F49EF9">
      <w:pPr>
        <w:pStyle w:val="14"/>
        <w:keepNext w:val="0"/>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color w:val="auto"/>
          <w:kern w:val="2"/>
          <w:highlight w:val="none"/>
        </w:rPr>
      </w:pPr>
      <w:bookmarkStart w:id="122" w:name="_Toc513029226"/>
      <w:r>
        <w:rPr>
          <w:rFonts w:hint="eastAsia"/>
          <w:color w:val="auto"/>
          <w:kern w:val="2"/>
          <w:highlight w:val="none"/>
        </w:rPr>
        <w:t>1</w:t>
      </w:r>
      <w:r>
        <w:rPr>
          <w:rFonts w:hint="eastAsia"/>
          <w:color w:val="auto"/>
          <w:kern w:val="2"/>
          <w:highlight w:val="none"/>
          <w:lang w:val="en-US" w:eastAsia="zh-CN"/>
        </w:rPr>
        <w:t>7.1</w:t>
      </w:r>
      <w:r>
        <w:rPr>
          <w:rFonts w:hint="eastAsia"/>
          <w:color w:val="auto"/>
          <w:kern w:val="2"/>
          <w:highlight w:val="none"/>
        </w:rPr>
        <w:t>投标人上传投标文件的时间不得迟于招标公告中规定的投标截止时间。</w:t>
      </w:r>
    </w:p>
    <w:p w14:paraId="00EA9414">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投标人应充分考虑到网络环境、网络带宽等风险因素，如因投标人自身原因造成的投标文件上传不成功的按照本招标文件第二章第26.1.2条 规定做无效投标处理。</w:t>
      </w:r>
    </w:p>
    <w:p w14:paraId="503E24E0">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可以按照规定，通过修改招标文件酌情延长投标截止时间，在此情况下，投标人的所有权利和义务以及投标人受制的截止时间均应以延长后新的截止时间为准。</w:t>
      </w:r>
    </w:p>
    <w:p w14:paraId="3057AFB1">
      <w:pPr>
        <w:keepNext w:val="0"/>
        <w:keepLines w:val="0"/>
        <w:pageBreakBefore w:val="0"/>
        <w:widowControl w:val="0"/>
        <w:kinsoku w:val="0"/>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u w:val="none"/>
        </w:rPr>
        <w:t>1</w:t>
      </w:r>
      <w:r>
        <w:rPr>
          <w:rFonts w:hint="eastAsia" w:ascii="宋体" w:hAnsi="宋体" w:cs="宋体"/>
          <w:color w:val="auto"/>
          <w:sz w:val="24"/>
          <w:highlight w:val="none"/>
          <w:u w:val="none"/>
          <w:lang w:val="en-US" w:eastAsia="zh-CN"/>
        </w:rPr>
        <w:t>7</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3</w:t>
      </w:r>
      <w:r>
        <w:rPr>
          <w:rFonts w:hint="eastAsia" w:ascii="宋体" w:hAnsi="宋体" w:cs="宋体"/>
          <w:color w:val="auto"/>
          <w:sz w:val="24"/>
          <w:highlight w:val="none"/>
          <w:u w:val="none"/>
        </w:rPr>
        <w:t xml:space="preserve"> </w:t>
      </w:r>
      <w:r>
        <w:rPr>
          <w:rFonts w:hint="eastAsia" w:ascii="宋体" w:hAnsi="宋体" w:cs="宋体"/>
          <w:color w:val="auto"/>
          <w:sz w:val="24"/>
          <w:highlight w:val="none"/>
        </w:rPr>
        <w:t xml:space="preserve"> 各投标人需在开标前提前下载“腾讯会议”直播APP，参见开标会议，会议号：</w:t>
      </w:r>
      <w:r>
        <w:rPr>
          <w:rFonts w:hint="eastAsia" w:ascii="宋体" w:hAnsi="宋体" w:cs="宋体"/>
          <w:color w:val="auto"/>
          <w:sz w:val="24"/>
          <w:highlight w:val="none"/>
          <w:u w:val="single"/>
          <w:lang w:val="en-US" w:eastAsia="zh-CN"/>
        </w:rPr>
        <w:t>（招标公告）</w:t>
      </w:r>
      <w:r>
        <w:rPr>
          <w:rFonts w:hint="eastAsia" w:ascii="宋体" w:hAnsi="宋体" w:cs="宋体"/>
          <w:color w:val="auto"/>
          <w:sz w:val="24"/>
          <w:highlight w:val="none"/>
        </w:rPr>
        <w:t>，直接观看直播和在线交流。各投标人自行准备相关硬件设备，确保网络畅通，音响保持正常使用状态。不得因未能观看到视频直播对开标会议提出质疑。</w:t>
      </w:r>
    </w:p>
    <w:p w14:paraId="14AFD887">
      <w:pPr>
        <w:pageBreakBefore w:val="0"/>
        <w:widowControl w:val="0"/>
        <w:kinsoku/>
        <w:wordWrap/>
        <w:overflowPunct/>
        <w:topLinePunct w:val="0"/>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投标人必须在投标文件</w:t>
      </w:r>
      <w:r>
        <w:rPr>
          <w:rFonts w:hint="eastAsia" w:ascii="宋体" w:hAnsi="宋体" w:cs="宋体"/>
          <w:b/>
          <w:bCs/>
          <w:color w:val="auto"/>
          <w:sz w:val="24"/>
          <w:highlight w:val="none"/>
        </w:rPr>
        <w:t>提交截止时间后15分钟内</w:t>
      </w:r>
      <w:r>
        <w:rPr>
          <w:rFonts w:hint="eastAsia" w:ascii="宋体" w:hAnsi="宋体" w:cs="宋体"/>
          <w:color w:val="auto"/>
          <w:sz w:val="24"/>
          <w:highlight w:val="none"/>
        </w:rPr>
        <w:t>，将投标文件的解密密码发送至采购人指定的邮箱</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同投标文件递交邮箱</w:t>
      </w:r>
      <w:r>
        <w:rPr>
          <w:rFonts w:hint="eastAsia" w:ascii="宋体" w:hAnsi="宋体" w:cs="宋体"/>
          <w:color w:val="auto"/>
          <w:sz w:val="24"/>
          <w:highlight w:val="none"/>
          <w:lang w:eastAsia="zh-CN"/>
        </w:rPr>
        <w:t>）</w:t>
      </w:r>
      <w:r>
        <w:rPr>
          <w:rFonts w:hint="eastAsia" w:ascii="宋体" w:hAnsi="宋体" w:cs="宋体"/>
          <w:color w:val="auto"/>
          <w:sz w:val="24"/>
          <w:highlight w:val="none"/>
        </w:rPr>
        <w:t>，邮箱主题标明“</w:t>
      </w:r>
      <w:r>
        <w:rPr>
          <w:rFonts w:hint="eastAsia" w:ascii="宋体" w:hAnsi="宋体" w:cs="宋体"/>
          <w:b/>
          <w:bCs/>
          <w:color w:val="auto"/>
          <w:sz w:val="24"/>
          <w:highlight w:val="none"/>
        </w:rPr>
        <w:t>单位名称</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可简写</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+解密密码</w:t>
      </w:r>
      <w:r>
        <w:rPr>
          <w:rFonts w:hint="eastAsia" w:ascii="宋体" w:hAnsi="宋体" w:cs="宋体"/>
          <w:color w:val="auto"/>
          <w:sz w:val="24"/>
          <w:highlight w:val="none"/>
        </w:rPr>
        <w:t>”字样，逾期未发送或因自身原因未能发送的，其投标无效。</w:t>
      </w:r>
    </w:p>
    <w:p w14:paraId="5681B119">
      <w:pPr>
        <w:pageBreakBefore w:val="0"/>
        <w:widowControl w:val="0"/>
        <w:kinsoku/>
        <w:wordWrap/>
        <w:overflowPunct/>
        <w:topLinePunct w:val="0"/>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5 </w:t>
      </w:r>
      <w:r>
        <w:rPr>
          <w:rFonts w:hint="eastAsia" w:ascii="宋体" w:hAnsi="宋体" w:cs="宋体"/>
          <w:color w:val="auto"/>
          <w:sz w:val="24"/>
          <w:highlight w:val="none"/>
        </w:rPr>
        <w:t xml:space="preserve"> 投标文件有下列情形之一的，将被拒绝接收：</w:t>
      </w:r>
    </w:p>
    <w:p w14:paraId="156EAEA4">
      <w:pPr>
        <w:pageBreakBefore w:val="0"/>
        <w:widowControl w:val="0"/>
        <w:kinsoku/>
        <w:wordWrap/>
        <w:overflowPunct/>
        <w:topLinePunct w:val="0"/>
        <w:bidi w:val="0"/>
        <w:adjustRightInd w:val="0"/>
        <w:snapToGrid w:val="0"/>
        <w:spacing w:line="400" w:lineRule="exact"/>
        <w:ind w:left="0" w:right="0" w:firstLine="482" w:firstLineChars="200"/>
        <w:jc w:val="left"/>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rPr>
        <w:t>（1）投标人递交的投标文件和解密密码由不同邮箱发送的；</w:t>
      </w:r>
    </w:p>
    <w:p w14:paraId="1B1087C4">
      <w:pPr>
        <w:pageBreakBefore w:val="0"/>
        <w:widowControl w:val="0"/>
        <w:kinsoku/>
        <w:wordWrap/>
        <w:overflowPunct/>
        <w:topLinePunct w:val="0"/>
        <w:bidi w:val="0"/>
        <w:adjustRightInd w:val="0"/>
        <w:snapToGrid w:val="0"/>
        <w:spacing w:line="400" w:lineRule="exact"/>
        <w:ind w:left="0" w:right="0" w:firstLine="482" w:firstLineChars="200"/>
        <w:jc w:val="left"/>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rPr>
        <w:t>（2）投标人递交的投标文件逾期到达或未发送至指定邮箱的；</w:t>
      </w:r>
    </w:p>
    <w:p w14:paraId="044A8A92">
      <w:pPr>
        <w:pageBreakBefore w:val="0"/>
        <w:widowControl w:val="0"/>
        <w:kinsoku/>
        <w:wordWrap/>
        <w:overflowPunct/>
        <w:topLinePunct w:val="0"/>
        <w:bidi w:val="0"/>
        <w:adjustRightInd w:val="0"/>
        <w:snapToGrid w:val="0"/>
        <w:spacing w:line="400" w:lineRule="exact"/>
        <w:ind w:left="0" w:right="0" w:firstLine="482" w:firstLineChars="200"/>
        <w:jc w:val="left"/>
        <w:textAlignment w:val="auto"/>
        <w:outlineLvl w:val="9"/>
        <w:rPr>
          <w:rFonts w:hint="eastAsia" w:ascii="宋体" w:hAnsi="宋体" w:cs="宋体"/>
          <w:b/>
          <w:bCs/>
          <w:color w:val="auto"/>
          <w:sz w:val="24"/>
          <w:highlight w:val="none"/>
        </w:rPr>
      </w:pPr>
      <w:r>
        <w:rPr>
          <w:rFonts w:hint="eastAsia" w:ascii="宋体" w:hAnsi="宋体" w:cs="宋体"/>
          <w:b/>
          <w:bCs/>
          <w:color w:val="auto"/>
          <w:sz w:val="24"/>
          <w:highlight w:val="none"/>
        </w:rPr>
        <w:t>（3）投标人的解密密码在投标文件提交截止时间前发送的或在规定发送密码的截止时间后发送的；</w:t>
      </w:r>
    </w:p>
    <w:p w14:paraId="4028AD69">
      <w:pPr>
        <w:pStyle w:val="17"/>
        <w:pageBreakBefore w:val="0"/>
        <w:widowControl w:val="0"/>
        <w:kinsoku/>
        <w:wordWrap/>
        <w:overflowPunct/>
        <w:topLinePunct w:val="0"/>
        <w:bidi w:val="0"/>
        <w:adjustRightInd w:val="0"/>
        <w:snapToGrid w:val="0"/>
        <w:spacing w:line="400" w:lineRule="exact"/>
        <w:ind w:left="0" w:right="0" w:firstLine="482" w:firstLineChars="200"/>
        <w:jc w:val="left"/>
        <w:textAlignment w:val="auto"/>
        <w:outlineLvl w:val="9"/>
        <w:rPr>
          <w:rFonts w:hint="eastAsia" w:eastAsia="宋体"/>
          <w:b/>
          <w:bCs/>
          <w:color w:val="auto"/>
          <w:kern w:val="2"/>
          <w:highlight w:val="none"/>
        </w:rPr>
      </w:pPr>
      <w:r>
        <w:rPr>
          <w:rFonts w:hint="eastAsia" w:eastAsia="宋体"/>
          <w:b/>
          <w:bCs/>
          <w:color w:val="auto"/>
          <w:kern w:val="2"/>
          <w:highlight w:val="none"/>
        </w:rPr>
        <w:t>（4）解压后的文件无法正常打开；</w:t>
      </w:r>
    </w:p>
    <w:p w14:paraId="43BCBF98">
      <w:pPr>
        <w:pStyle w:val="17"/>
        <w:pageBreakBefore w:val="0"/>
        <w:widowControl w:val="0"/>
        <w:kinsoku/>
        <w:wordWrap/>
        <w:overflowPunct/>
        <w:topLinePunct w:val="0"/>
        <w:bidi w:val="0"/>
        <w:adjustRightInd w:val="0"/>
        <w:snapToGrid w:val="0"/>
        <w:spacing w:line="400" w:lineRule="exact"/>
        <w:ind w:left="0" w:right="0" w:firstLine="482" w:firstLineChars="200"/>
        <w:jc w:val="left"/>
        <w:textAlignment w:val="auto"/>
        <w:outlineLvl w:val="9"/>
        <w:rPr>
          <w:rFonts w:hint="eastAsia" w:eastAsia="宋体"/>
          <w:b/>
          <w:bCs/>
          <w:color w:val="auto"/>
          <w:kern w:val="2"/>
          <w:highlight w:val="none"/>
        </w:rPr>
      </w:pPr>
      <w:r>
        <w:rPr>
          <w:rFonts w:hint="eastAsia" w:eastAsia="宋体"/>
          <w:b/>
          <w:bCs/>
          <w:color w:val="auto"/>
          <w:kern w:val="2"/>
          <w:highlight w:val="none"/>
        </w:rPr>
        <w:t>（5）投标人递交的投标文件未加密的。</w:t>
      </w:r>
    </w:p>
    <w:p w14:paraId="43C281F1">
      <w:pPr>
        <w:pageBreakBefore w:val="0"/>
        <w:widowControl w:val="0"/>
        <w:kinsoku/>
        <w:wordWrap/>
        <w:overflowPunct/>
        <w:topLinePunct w:val="0"/>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 xml:space="preserve">  各投标人法定代表人或授权代表须持身份证原件出席视频直播会议，并保证在开标过程中随时出示，由采购人代表核验。</w:t>
      </w:r>
    </w:p>
    <w:p w14:paraId="4F21A69A">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b/>
          <w:bCs/>
          <w:color w:val="auto"/>
          <w:sz w:val="24"/>
          <w:szCs w:val="24"/>
          <w:highlight w:val="none"/>
        </w:rPr>
        <w:t>投标截止时间</w:t>
      </w:r>
    </w:p>
    <w:p w14:paraId="09A9210B">
      <w:pPr>
        <w:pageBreakBefore w:val="0"/>
        <w:widowControl w:val="0"/>
        <w:kinsoku/>
        <w:wordWrap/>
        <w:overflowPunct/>
        <w:topLinePunct w:val="0"/>
        <w:bidi w:val="0"/>
        <w:adjustRightInd w:val="0"/>
        <w:snapToGrid w:val="0"/>
        <w:spacing w:line="400" w:lineRule="exact"/>
        <w:ind w:left="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.1  投标截止时间：</w:t>
      </w:r>
      <w:r>
        <w:rPr>
          <w:rFonts w:hint="eastAsia" w:ascii="宋体" w:hAnsi="宋体" w:cs="宋体"/>
          <w:bCs/>
          <w:color w:val="auto"/>
          <w:sz w:val="24"/>
          <w:highlight w:val="none"/>
        </w:rPr>
        <w:t>详见公告</w:t>
      </w:r>
      <w:r>
        <w:rPr>
          <w:rFonts w:hint="eastAsia" w:ascii="宋体" w:hAnsi="宋体" w:cs="宋体"/>
          <w:color w:val="auto"/>
          <w:sz w:val="24"/>
          <w:highlight w:val="none"/>
        </w:rPr>
        <w:t>。</w:t>
      </w:r>
    </w:p>
    <w:p w14:paraId="47FBF47E">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b/>
          <w:bCs/>
          <w:color w:val="auto"/>
          <w:kern w:val="2"/>
          <w:highlight w:val="none"/>
          <w:lang w:eastAsia="zh-CN"/>
        </w:rPr>
      </w:pPr>
      <w:r>
        <w:rPr>
          <w:rFonts w:hint="eastAsia"/>
          <w:color w:val="auto"/>
          <w:highlight w:val="none"/>
        </w:rPr>
        <w:t>1</w:t>
      </w:r>
      <w:r>
        <w:rPr>
          <w:rFonts w:hint="eastAsia"/>
          <w:color w:val="auto"/>
          <w:highlight w:val="none"/>
          <w:lang w:val="en-US" w:eastAsia="zh-CN"/>
        </w:rPr>
        <w:t>8</w:t>
      </w:r>
      <w:r>
        <w:rPr>
          <w:rFonts w:hint="eastAsia"/>
          <w:color w:val="auto"/>
          <w:highlight w:val="none"/>
        </w:rPr>
        <w:t xml:space="preserve">.2  </w:t>
      </w:r>
      <w:r>
        <w:rPr>
          <w:rFonts w:hint="eastAsia"/>
          <w:color w:val="auto"/>
          <w:kern w:val="2"/>
          <w:highlight w:val="none"/>
        </w:rPr>
        <w:t>投标递交地点：上传加密的投标文件至采购人指定邮箱</w:t>
      </w:r>
      <w:r>
        <w:rPr>
          <w:rFonts w:hint="eastAsia"/>
          <w:b/>
          <w:bCs/>
          <w:color w:val="auto"/>
          <w:kern w:val="2"/>
          <w:highlight w:val="none"/>
          <w:lang w:eastAsia="zh-CN"/>
        </w:rPr>
        <w:t>（</w:t>
      </w:r>
      <w:r>
        <w:rPr>
          <w:rFonts w:hint="eastAsia"/>
          <w:b/>
          <w:bCs/>
          <w:color w:val="auto"/>
          <w:kern w:val="2"/>
          <w:highlight w:val="none"/>
          <w:lang w:val="en-US" w:eastAsia="zh-CN"/>
        </w:rPr>
        <w:t>详招标公告</w:t>
      </w:r>
      <w:r>
        <w:rPr>
          <w:rFonts w:hint="eastAsia"/>
          <w:b/>
          <w:bCs/>
          <w:color w:val="auto"/>
          <w:kern w:val="2"/>
          <w:highlight w:val="none"/>
          <w:lang w:eastAsia="zh-CN"/>
        </w:rPr>
        <w:t>）。</w:t>
      </w:r>
    </w:p>
    <w:p w14:paraId="60F0E3B1">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color w:val="auto"/>
          <w:kern w:val="2"/>
          <w:highlight w:val="none"/>
        </w:rPr>
      </w:pPr>
      <w:r>
        <w:rPr>
          <w:rFonts w:hint="eastAsia"/>
          <w:color w:val="auto"/>
          <w:kern w:val="2"/>
          <w:highlight w:val="none"/>
        </w:rPr>
        <w:t>1</w:t>
      </w:r>
      <w:r>
        <w:rPr>
          <w:rFonts w:hint="eastAsia"/>
          <w:color w:val="auto"/>
          <w:kern w:val="2"/>
          <w:highlight w:val="none"/>
          <w:lang w:val="en-US" w:eastAsia="zh-CN"/>
        </w:rPr>
        <w:t>8</w:t>
      </w:r>
      <w:r>
        <w:rPr>
          <w:rFonts w:hint="eastAsia"/>
          <w:color w:val="auto"/>
          <w:kern w:val="2"/>
          <w:highlight w:val="none"/>
        </w:rPr>
        <w:t>.3  采购人或采购代理机构有权延长投标截止期。在此情况下，采购人和投标人受投标截止期制约的所有权利和义务均应延长至新的截止期。</w:t>
      </w:r>
    </w:p>
    <w:p w14:paraId="3AECB744">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23" w:name="_Toc20823299"/>
      <w:bookmarkStart w:id="124" w:name="_Toc16938543"/>
      <w:bookmarkStart w:id="125" w:name="_Toc513029227"/>
      <w:r>
        <w:rPr>
          <w:rFonts w:hint="eastAsia" w:ascii="宋体" w:hAnsi="宋体" w:eastAsia="宋体" w:cs="宋体"/>
          <w:color w:val="auto"/>
          <w:sz w:val="24"/>
          <w:szCs w:val="24"/>
          <w:highlight w:val="none"/>
        </w:rPr>
        <w:t>19、投标文件</w:t>
      </w:r>
      <w:bookmarkEnd w:id="123"/>
      <w:bookmarkEnd w:id="124"/>
      <w:bookmarkEnd w:id="125"/>
      <w:r>
        <w:rPr>
          <w:rFonts w:hint="eastAsia" w:ascii="宋体" w:hAnsi="宋体" w:eastAsia="宋体" w:cs="宋体"/>
          <w:color w:val="auto"/>
          <w:sz w:val="24"/>
          <w:szCs w:val="24"/>
          <w:highlight w:val="none"/>
        </w:rPr>
        <w:t>的拒收</w:t>
      </w:r>
    </w:p>
    <w:p w14:paraId="2B48FBBD">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拒绝接收在其规定的投标截止时间后上传的任何投标文件。</w:t>
      </w:r>
    </w:p>
    <w:p w14:paraId="6520AEC0">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26" w:name="_Toc16938544"/>
      <w:bookmarkStart w:id="127" w:name="_Toc513029228"/>
      <w:bookmarkStart w:id="128" w:name="_Toc20823300"/>
      <w:r>
        <w:rPr>
          <w:rFonts w:hint="eastAsia" w:ascii="宋体" w:hAnsi="宋体" w:eastAsia="宋体" w:cs="宋体"/>
          <w:color w:val="auto"/>
          <w:sz w:val="24"/>
          <w:szCs w:val="24"/>
          <w:highlight w:val="none"/>
        </w:rPr>
        <w:t>20、投标文件的撤回和修改</w:t>
      </w:r>
      <w:bookmarkEnd w:id="126"/>
      <w:bookmarkEnd w:id="127"/>
      <w:bookmarkEnd w:id="128"/>
    </w:p>
    <w:p w14:paraId="2C6476A3">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20.1投标文件的撤回</w:t>
      </w:r>
    </w:p>
    <w:p w14:paraId="72EBA9C8">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.1.1投标文件的撤回</w:t>
      </w:r>
    </w:p>
    <w:p w14:paraId="26CBD294">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投标人可在投标截止时间前，撤回其投标文件。</w:t>
      </w:r>
    </w:p>
    <w:p w14:paraId="3ED51487">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.1.2投标人撤回投标文件，则认为其不再参与本项目投标活动。</w:t>
      </w:r>
    </w:p>
    <w:p w14:paraId="090FC03B">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投标文件的修改</w:t>
      </w:r>
    </w:p>
    <w:p w14:paraId="053F4E45">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20.2.1投标人可在投标截止时间前，对其投标文件进行修改。</w:t>
      </w:r>
    </w:p>
    <w:p w14:paraId="7AABAAF3">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20.2.2在投标截止时间之后，投标人不得对其投标文件作任何修改。</w:t>
      </w:r>
    </w:p>
    <w:p w14:paraId="1BEFAE9D">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20.3在投标截止时间至招标文件中规定的投标有效期满之间的这段时间内，投标人不得撤回其投标。</w:t>
      </w:r>
    </w:p>
    <w:p w14:paraId="1BB23621">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color w:val="auto"/>
          <w:sz w:val="24"/>
          <w:szCs w:val="24"/>
          <w:highlight w:val="none"/>
        </w:rPr>
      </w:pPr>
      <w:bookmarkStart w:id="129" w:name="_Toc16938545"/>
      <w:bookmarkStart w:id="130" w:name="_Toc20823301"/>
      <w:bookmarkStart w:id="131" w:name="_Toc120614218"/>
      <w:bookmarkStart w:id="132" w:name="_Toc513029229"/>
      <w:r>
        <w:rPr>
          <w:rFonts w:hint="eastAsia" w:ascii="宋体" w:hAnsi="宋体" w:eastAsia="宋体" w:cs="宋体"/>
          <w:b/>
          <w:color w:val="auto"/>
          <w:sz w:val="24"/>
          <w:szCs w:val="24"/>
          <w:highlight w:val="none"/>
        </w:rPr>
        <w:t>五、开标与评标</w:t>
      </w:r>
      <w:bookmarkEnd w:id="129"/>
      <w:bookmarkEnd w:id="130"/>
      <w:bookmarkEnd w:id="131"/>
      <w:bookmarkEnd w:id="132"/>
    </w:p>
    <w:p w14:paraId="2C4C772A">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33" w:name="_Toc513029230"/>
      <w:bookmarkStart w:id="134" w:name="_Toc16938546"/>
      <w:bookmarkStart w:id="135" w:name="_Toc20823302"/>
      <w:r>
        <w:rPr>
          <w:rFonts w:hint="eastAsia" w:ascii="宋体" w:hAnsi="宋体" w:eastAsia="宋体" w:cs="宋体"/>
          <w:color w:val="auto"/>
          <w:sz w:val="24"/>
          <w:szCs w:val="24"/>
          <w:highlight w:val="none"/>
        </w:rPr>
        <w:t>21、开标</w:t>
      </w:r>
      <w:bookmarkEnd w:id="133"/>
      <w:bookmarkEnd w:id="134"/>
      <w:bookmarkEnd w:id="135"/>
    </w:p>
    <w:p w14:paraId="3FFA4913">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将在招标公告中规定的时间和地点组织公开开标。投标人应当按照规定，参加开标活动和在规定的时间内对投标文件进行解密。</w:t>
      </w:r>
    </w:p>
    <w:p w14:paraId="79A3E99F">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21.2开标仪式由采购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组织。</w:t>
      </w:r>
    </w:p>
    <w:p w14:paraId="6DF31ED7">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投标人如果对开标过程和开标记录有疑义，应当</w:t>
      </w:r>
      <w:r>
        <w:rPr>
          <w:rFonts w:hint="eastAsia" w:ascii="宋体" w:hAnsi="宋体" w:eastAsia="宋体" w:cs="宋体"/>
          <w:color w:val="auto"/>
          <w:sz w:val="24"/>
          <w:szCs w:val="24"/>
          <w:highlight w:val="none"/>
          <w:lang w:val="en-US" w:eastAsia="zh-CN"/>
        </w:rPr>
        <w:t>在开标现场提出，如在开标结果</w:t>
      </w:r>
      <w:r>
        <w:rPr>
          <w:rFonts w:hint="eastAsia" w:ascii="宋体" w:hAnsi="宋体" w:eastAsia="宋体" w:cs="宋体"/>
          <w:color w:val="auto"/>
          <w:sz w:val="24"/>
          <w:szCs w:val="24"/>
          <w:highlight w:val="none"/>
        </w:rPr>
        <w:t>宣布后5分钟内未提出的，视同认可开标结果。</w:t>
      </w:r>
    </w:p>
    <w:p w14:paraId="388DE53A">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36" w:name="_Toc20823303"/>
      <w:bookmarkStart w:id="137" w:name="_Toc16938547"/>
      <w:bookmarkStart w:id="138" w:name="_Toc513029231"/>
      <w:r>
        <w:rPr>
          <w:rFonts w:hint="eastAsia" w:ascii="宋体" w:hAnsi="宋体" w:eastAsia="宋体" w:cs="宋体"/>
          <w:color w:val="auto"/>
          <w:sz w:val="24"/>
          <w:szCs w:val="24"/>
          <w:highlight w:val="none"/>
        </w:rPr>
        <w:t>22、评标委员会</w:t>
      </w:r>
      <w:bookmarkEnd w:id="136"/>
      <w:bookmarkEnd w:id="137"/>
      <w:bookmarkEnd w:id="138"/>
    </w:p>
    <w:p w14:paraId="2A744671">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22.1开标后，采购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将立即组织评标委员会（以下简称评委会）进行评标。</w:t>
      </w:r>
    </w:p>
    <w:p w14:paraId="20656C36">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22.2评委会由采购人代表和有关技术、经济等方面的专家组成，且人员构成符合政府采购有关规定。</w:t>
      </w:r>
    </w:p>
    <w:p w14:paraId="1DF8D947">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22.3评委会独立工作，负责评审所有投标文件并确定中标</w:t>
      </w:r>
      <w:r>
        <w:rPr>
          <w:rFonts w:hint="eastAsia" w:ascii="宋体" w:hAnsi="宋体" w:eastAsia="宋体" w:cs="宋体"/>
          <w:color w:val="auto"/>
          <w:sz w:val="24"/>
          <w:szCs w:val="24"/>
          <w:highlight w:val="none"/>
          <w:lang w:eastAsia="zh-CN"/>
        </w:rPr>
        <w:t>候选人</w:t>
      </w:r>
      <w:r>
        <w:rPr>
          <w:rFonts w:hint="eastAsia" w:ascii="宋体" w:hAnsi="宋体" w:eastAsia="宋体" w:cs="宋体"/>
          <w:color w:val="auto"/>
          <w:sz w:val="24"/>
          <w:szCs w:val="24"/>
          <w:highlight w:val="none"/>
        </w:rPr>
        <w:t>。</w:t>
      </w:r>
    </w:p>
    <w:p w14:paraId="28C925DA">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23、评标过程的保密与公正</w:t>
      </w:r>
    </w:p>
    <w:p w14:paraId="57F459E2">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23.1凡是与审查、澄清、评价和比较投标的有关资料以及授标建议等，采购人、评委、</w:t>
      </w:r>
      <w:r>
        <w:rPr>
          <w:rFonts w:hint="eastAsia" w:ascii="宋体" w:hAnsi="宋体" w:eastAsia="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rPr>
        <w:t>均不得向投标人或与评标无关的其他人员透露。</w:t>
      </w:r>
    </w:p>
    <w:p w14:paraId="390A3B58">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23.2在评标过程中，投标人不得以任何行为影响评标过程，否则其投标文件将被作为无效投标文件。</w:t>
      </w:r>
    </w:p>
    <w:p w14:paraId="50BCF125">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和评标委员会不向未中标的投标人解释未中标原因，也不公布评标过程中的相关细节。</w:t>
      </w:r>
    </w:p>
    <w:p w14:paraId="5811AC55">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23.4采用综合评分法的项目，未中标的投标人可于中标结果公告期限届满之日起通过苏采云系统查看自己的评审得分及排序情况。</w:t>
      </w:r>
    </w:p>
    <w:p w14:paraId="54153DDE">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39" w:name="_Toc16938548"/>
      <w:bookmarkStart w:id="140" w:name="_Toc513029232"/>
      <w:bookmarkStart w:id="141" w:name="_Toc20823304"/>
      <w:r>
        <w:rPr>
          <w:rFonts w:hint="eastAsia" w:ascii="宋体" w:hAnsi="宋体" w:eastAsia="宋体" w:cs="宋体"/>
          <w:color w:val="auto"/>
          <w:sz w:val="24"/>
          <w:szCs w:val="24"/>
          <w:highlight w:val="none"/>
        </w:rPr>
        <w:t>24、投标文件的澄清</w:t>
      </w:r>
      <w:bookmarkEnd w:id="139"/>
      <w:bookmarkEnd w:id="140"/>
      <w:bookmarkEnd w:id="141"/>
    </w:p>
    <w:p w14:paraId="26A54FE7">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24.1评标期间，评委会对投标文件中含义不明确、同类问题表述不一致或者有明显文字和计算错误的内容，有权要求投标人作出必要的澄清、说明或者补正。</w:t>
      </w:r>
    </w:p>
    <w:p w14:paraId="29F4FB70">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投标人的澄清、说明或者补正不得超出投标文件的范围或者改变投标文件的实质性内容。</w:t>
      </w:r>
    </w:p>
    <w:p w14:paraId="3B1C0700">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评标委员会并非对每个投标人都做澄清要求。</w:t>
      </w:r>
    </w:p>
    <w:p w14:paraId="36C4B1EC">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24.2需要供应商进行澄清、说明和补正的，评委会将通过</w:t>
      </w:r>
      <w:r>
        <w:rPr>
          <w:rFonts w:hint="eastAsia" w:ascii="宋体" w:hAnsi="宋体" w:eastAsia="宋体" w:cs="宋体"/>
          <w:color w:val="auto"/>
          <w:sz w:val="24"/>
          <w:szCs w:val="24"/>
          <w:highlight w:val="none"/>
          <w:lang w:val="en-US" w:eastAsia="zh-CN"/>
        </w:rPr>
        <w:t>评标现场电话和邮件形式</w:t>
      </w:r>
      <w:r>
        <w:rPr>
          <w:rFonts w:hint="eastAsia" w:ascii="宋体" w:hAnsi="宋体" w:eastAsia="宋体" w:cs="宋体"/>
          <w:color w:val="auto"/>
          <w:sz w:val="24"/>
          <w:szCs w:val="24"/>
          <w:highlight w:val="none"/>
        </w:rPr>
        <w:t>向供应商发出“澄清要求函”，接到“澄清要求函”的投标人应当按照要求在</w:t>
      </w:r>
      <w:r>
        <w:rPr>
          <w:rFonts w:hint="eastAsia" w:ascii="宋体" w:hAnsi="宋体" w:eastAsia="宋体" w:cs="宋体"/>
          <w:color w:val="auto"/>
          <w:sz w:val="24"/>
          <w:szCs w:val="24"/>
          <w:highlight w:val="none"/>
          <w:lang w:val="en-US" w:eastAsia="zh-CN"/>
        </w:rPr>
        <w:t>邮件回复</w:t>
      </w:r>
      <w:r>
        <w:rPr>
          <w:rFonts w:hint="eastAsia" w:ascii="宋体" w:hAnsi="宋体" w:eastAsia="宋体" w:cs="宋体"/>
          <w:color w:val="auto"/>
          <w:sz w:val="24"/>
          <w:szCs w:val="24"/>
          <w:highlight w:val="none"/>
        </w:rPr>
        <w:t>“澄清响应函”并加盖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公章。澄清、说明和补正的内容作为投标文件的补充部分。</w:t>
      </w:r>
    </w:p>
    <w:p w14:paraId="40AB8EBE">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24.3接到评委会澄清、说明和补正要求的投标人如未按规定</w:t>
      </w:r>
      <w:r>
        <w:rPr>
          <w:rFonts w:hint="eastAsia" w:ascii="宋体" w:hAnsi="宋体" w:eastAsia="宋体" w:cs="宋体"/>
          <w:color w:val="auto"/>
          <w:sz w:val="24"/>
          <w:szCs w:val="24"/>
          <w:highlight w:val="none"/>
          <w:lang w:eastAsia="zh-CN"/>
        </w:rPr>
        <w:t>作出</w:t>
      </w:r>
      <w:r>
        <w:rPr>
          <w:rFonts w:hint="eastAsia" w:ascii="宋体" w:hAnsi="宋体" w:eastAsia="宋体" w:cs="宋体"/>
          <w:color w:val="auto"/>
          <w:sz w:val="24"/>
          <w:szCs w:val="24"/>
          <w:highlight w:val="none"/>
        </w:rPr>
        <w:t>澄清、说明和补正，其风险由投标人自行承担。</w:t>
      </w:r>
    </w:p>
    <w:p w14:paraId="6E30B691">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42" w:name="_Toc16938549"/>
      <w:bookmarkStart w:id="143" w:name="_Toc513029233"/>
      <w:bookmarkStart w:id="144" w:name="_Toc20823305"/>
      <w:r>
        <w:rPr>
          <w:rFonts w:hint="eastAsia" w:ascii="宋体" w:hAnsi="宋体" w:eastAsia="宋体" w:cs="宋体"/>
          <w:color w:val="auto"/>
          <w:sz w:val="24"/>
          <w:szCs w:val="24"/>
          <w:highlight w:val="none"/>
        </w:rPr>
        <w:t>25、对投标文件的初审</w:t>
      </w:r>
      <w:bookmarkEnd w:id="142"/>
      <w:bookmarkEnd w:id="143"/>
      <w:bookmarkEnd w:id="144"/>
    </w:p>
    <w:p w14:paraId="71756E3B">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25.1投标文件初审分为资格审查和符合性审查。</w:t>
      </w:r>
    </w:p>
    <w:p w14:paraId="18F44AD5">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25.1.1资格审查：依据法律法规和招标文件的规定，由采购人对投标文件中的资格证明文件进行审查。资格审查的结论，采购人以书面形式向评委会进行反馈。</w:t>
      </w:r>
    </w:p>
    <w:p w14:paraId="45C5179D">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接受联合体的项目，两个以上的自然人、法人或者其他组织组成一个联合体，以一个供应商的身份共同参加采购活动的,联合体成员存在不良信用记录的，视同联合体存在不良应用记录。</w:t>
      </w:r>
    </w:p>
    <w:p w14:paraId="0E1B06C9">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25.1.2符合性审查：依据招标文件的规定，由评委会从投标文件的有效性、完整性和对招标文件的响应程度进行审查，以确定是否对招采购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标文件的实质性要求作出响应。</w:t>
      </w:r>
    </w:p>
    <w:p w14:paraId="0FC7AF8F">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25.1.3未通过资格审查或符合性审查的投标人，将</w:t>
      </w:r>
      <w:r>
        <w:rPr>
          <w:rFonts w:hint="eastAsia" w:ascii="宋体" w:hAnsi="宋体" w:eastAsia="宋体" w:cs="宋体"/>
          <w:color w:val="auto"/>
          <w:sz w:val="24"/>
          <w:szCs w:val="24"/>
          <w:highlight w:val="none"/>
          <w:lang w:val="en-US" w:eastAsia="zh-CN"/>
        </w:rPr>
        <w:t>在电话</w:t>
      </w:r>
      <w:r>
        <w:rPr>
          <w:rFonts w:hint="eastAsia" w:ascii="宋体" w:hAnsi="宋体" w:eastAsia="宋体" w:cs="宋体"/>
          <w:color w:val="auto"/>
          <w:sz w:val="24"/>
          <w:szCs w:val="24"/>
          <w:highlight w:val="none"/>
        </w:rPr>
        <w:t>中告知未通过资格审查或符合性审查的原因，评标结束后，采购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将不再告知未通过资格审查和符合性审查的原因。</w:t>
      </w:r>
    </w:p>
    <w:p w14:paraId="21A80F1A">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25.2在详细评标之前，评委会将首先审查每份投标文件是否实质性响应了招标文件的要求。实质性响应的投标应该是与招标文件要求的全部条款、条件和规格相符，没有重大偏离或保留的投标。</w:t>
      </w:r>
    </w:p>
    <w:p w14:paraId="3EF87519">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所谓重大偏离或保留是指与招标文件规定的实质性要求存在负偏离，或者在实质上与招标文件不一致，而且限制了合同中买方和采购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377D1C32">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25.3如果投标文件实质上没有响应招标文件的要求，评委会将予以拒绝，投标人不得通过修改或撤销不合要求的偏离或保留而使其投标成为实质性响应的投标。</w:t>
      </w:r>
    </w:p>
    <w:p w14:paraId="4FCA6640">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25.4评委会将对确定为实质性响应的投标进行进一步审核，确定其是否有计算上或累加上的算术错误，修正错误的原则如下：</w:t>
      </w:r>
    </w:p>
    <w:p w14:paraId="463946E2">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（1）投标文件中开标一览表内容与投标文件中相应内容不一致的，以开标一览表为准。</w:t>
      </w:r>
    </w:p>
    <w:p w14:paraId="4AA7B771">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w:t>
      </w:r>
      <w:r>
        <w:rPr>
          <w:rFonts w:hint="eastAsia" w:ascii="宋体" w:hAnsi="宋体" w:eastAsia="宋体" w:cs="宋体"/>
          <w:b/>
          <w:bCs/>
          <w:color w:val="auto"/>
          <w:sz w:val="24"/>
          <w:szCs w:val="24"/>
          <w:highlight w:val="none"/>
        </w:rPr>
        <w:t>以大写金额为准。</w:t>
      </w:r>
    </w:p>
    <w:p w14:paraId="44F56D61">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0157CF21">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2D36D6CA">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同时出现两种以上错误的，按照前款规定的顺序修正。</w:t>
      </w:r>
    </w:p>
    <w:p w14:paraId="1143D9AB">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25.5评委会将按上述修正错误的方法调整投标文件中的投标报价，并通过苏采云系统告知投标人，调整后的价格应对投标人具有约束力。如果投标人不接受修正后的价格，则其投标将被拒绝。</w:t>
      </w:r>
    </w:p>
    <w:p w14:paraId="1230C2C8">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45" w:name="_Toc513029234"/>
      <w:bookmarkStart w:id="146" w:name="_Toc16938550"/>
      <w:bookmarkStart w:id="147" w:name="_Toc20823306"/>
      <w:r>
        <w:rPr>
          <w:rFonts w:hint="eastAsia" w:ascii="宋体" w:hAnsi="宋体" w:eastAsia="宋体" w:cs="宋体"/>
          <w:color w:val="auto"/>
          <w:sz w:val="24"/>
          <w:szCs w:val="24"/>
          <w:highlight w:val="none"/>
        </w:rPr>
        <w:t>25.6投标人在开、评标全过程中应</w:t>
      </w:r>
      <w:r>
        <w:rPr>
          <w:rFonts w:hint="eastAsia" w:ascii="宋体" w:hAnsi="宋体" w:eastAsia="宋体" w:cs="宋体"/>
          <w:color w:val="auto"/>
          <w:sz w:val="24"/>
          <w:szCs w:val="24"/>
          <w:highlight w:val="none"/>
          <w:lang w:eastAsia="zh-CN"/>
        </w:rPr>
        <w:t>保持通信畅通</w:t>
      </w:r>
      <w:r>
        <w:rPr>
          <w:rFonts w:hint="eastAsia" w:ascii="宋体" w:hAnsi="宋体" w:eastAsia="宋体" w:cs="宋体"/>
          <w:color w:val="auto"/>
          <w:sz w:val="24"/>
          <w:szCs w:val="24"/>
          <w:highlight w:val="none"/>
        </w:rPr>
        <w:t>，及时登录苏采云系统查阅、答复相关信息，并安排专人与采购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及评标委员会联系。</w:t>
      </w:r>
      <w:bookmarkEnd w:id="145"/>
      <w:bookmarkEnd w:id="146"/>
      <w:bookmarkEnd w:id="147"/>
    </w:p>
    <w:p w14:paraId="25F3BE20">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26、无效投标条款和废标条款</w:t>
      </w:r>
    </w:p>
    <w:p w14:paraId="7FB12682">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48" w:name="_Toc16938551"/>
      <w:bookmarkStart w:id="149" w:name="_Toc20823307"/>
      <w:bookmarkStart w:id="150" w:name="_Toc513029235"/>
      <w:r>
        <w:rPr>
          <w:rFonts w:hint="eastAsia" w:ascii="宋体" w:hAnsi="宋体" w:eastAsia="宋体" w:cs="宋体"/>
          <w:color w:val="auto"/>
          <w:sz w:val="24"/>
          <w:szCs w:val="24"/>
          <w:highlight w:val="none"/>
        </w:rPr>
        <w:t>26.1无效投标条款</w:t>
      </w:r>
      <w:bookmarkEnd w:id="148"/>
      <w:bookmarkEnd w:id="149"/>
      <w:bookmarkEnd w:id="150"/>
    </w:p>
    <w:p w14:paraId="53B8CA9C">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26.1.1投标人在规定的时间内未成功</w:t>
      </w:r>
      <w:r>
        <w:rPr>
          <w:rFonts w:hint="eastAsia" w:ascii="宋体" w:hAnsi="宋体" w:eastAsia="宋体" w:cs="宋体"/>
          <w:color w:val="auto"/>
          <w:sz w:val="24"/>
          <w:szCs w:val="24"/>
          <w:highlight w:val="none"/>
          <w:lang w:val="en-US" w:eastAsia="zh-CN"/>
        </w:rPr>
        <w:t>提交解密密码和解密</w:t>
      </w:r>
      <w:r>
        <w:rPr>
          <w:rFonts w:hint="eastAsia" w:ascii="宋体" w:hAnsi="宋体" w:eastAsia="宋体" w:cs="宋体"/>
          <w:color w:val="auto"/>
          <w:sz w:val="24"/>
          <w:szCs w:val="24"/>
          <w:highlight w:val="none"/>
        </w:rPr>
        <w:t>投标文件的。</w:t>
      </w:r>
    </w:p>
    <w:p w14:paraId="66D8985D">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26.1.2投标人未按照招标文件要求</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投标文件的。</w:t>
      </w:r>
    </w:p>
    <w:p w14:paraId="435C93E7">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26.1.3同一投标人提交两个（含两个）以上不同的投标报价的。</w:t>
      </w:r>
    </w:p>
    <w:p w14:paraId="2DA1CF55">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26.1.4投标人不具备招标文件中规定资格要求的。</w:t>
      </w:r>
    </w:p>
    <w:p w14:paraId="3BA9591A">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26.1.5投标人的报价超过了采购预算或最高限价的。</w:t>
      </w:r>
    </w:p>
    <w:p w14:paraId="05DAFB39">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26.1.6未通过符合性审查的。</w:t>
      </w:r>
    </w:p>
    <w:p w14:paraId="41A1E490">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26.1.7不符合招标文件中规定的实质性要求和条件的（</w:t>
      </w:r>
      <w:r>
        <w:rPr>
          <w:rFonts w:hint="eastAsia" w:ascii="宋体" w:hAnsi="宋体" w:eastAsia="宋体" w:cs="宋体"/>
          <w:i/>
          <w:color w:val="auto"/>
          <w:sz w:val="24"/>
          <w:szCs w:val="24"/>
          <w:highlight w:val="none"/>
          <w:u w:val="single"/>
        </w:rPr>
        <w:t>本招标文件中斜体且有下划线部分为实质性要求和条件）。</w:t>
      </w:r>
    </w:p>
    <w:p w14:paraId="6882D577">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26.1.8投标人被“信用中国”网站（www.creditchina.gov.cn）列入失信被执行人或重大税收违法案件当事人名单或政府采购严重失信行为记录名单。</w:t>
      </w:r>
    </w:p>
    <w:p w14:paraId="3B16356A">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26.1.9投标文件含有采购人不能接受的附加条件的。</w:t>
      </w:r>
    </w:p>
    <w:p w14:paraId="30278C46">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26.1.10投标人不能证明其报价合理性的，评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委员会应当将其作为无效投标处理。</w:t>
      </w:r>
    </w:p>
    <w:p w14:paraId="6F27A046">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（一）评审过程中出现下列情形之一的，评标委员会应当启动异常低价投标审查程序：</w:t>
      </w:r>
    </w:p>
    <w:p w14:paraId="07D8563E">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1.投标报价低于采购项目预算50% 的，即投标报价&lt;采购项目预算×50%；</w:t>
      </w:r>
    </w:p>
    <w:p w14:paraId="504B0719">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2.投标报价低于采购项目最高限价45% 的，即投标报价&lt;采购项目最高限价×45%；</w:t>
      </w:r>
    </w:p>
    <w:p w14:paraId="05605E05">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3.评标委员会认定的供应商报价过低、有可能影响产品质量或者不能诚信履约的其他情形。</w:t>
      </w:r>
    </w:p>
    <w:p w14:paraId="7DA057D0">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二）启动异常低价投标审查后，评标委员会应当要求相关供应商在评标现场合理的时间内，提供项目具体成本测算等与报价合理性相关的书面说明及相关证明材料，对投标价格作出解释，由评标委员会结合同类产品在主要电商平台的价格、该行业当地薪资水平等情况，依据专业经验对供应商报价合理性进行判断。投标供应商不提供书面说明、证明材料，或者提供的书面说明、证明材料不能证明其报价合理性的，评标委员会应当将其作为无效投标处理。审查相关情况应当在评审报告中进行记录。</w:t>
      </w:r>
    </w:p>
    <w:p w14:paraId="18627F4F">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26.1.11投标文件未按照招标文件要求加盖</w:t>
      </w:r>
      <w:r>
        <w:rPr>
          <w:rFonts w:hint="eastAsia" w:ascii="宋体" w:hAnsi="宋体" w:eastAsia="宋体" w:cs="宋体"/>
          <w:color w:val="auto"/>
          <w:sz w:val="24"/>
          <w:szCs w:val="24"/>
          <w:highlight w:val="none"/>
          <w:lang w:val="en-US" w:eastAsia="zh-CN"/>
        </w:rPr>
        <w:t>投标供应商</w:t>
      </w:r>
      <w:r>
        <w:rPr>
          <w:rFonts w:hint="eastAsia" w:ascii="宋体" w:hAnsi="宋体" w:eastAsia="宋体" w:cs="宋体"/>
          <w:color w:val="auto"/>
          <w:sz w:val="24"/>
          <w:szCs w:val="24"/>
          <w:highlight w:val="none"/>
        </w:rPr>
        <w:t>公章的。</w:t>
      </w:r>
    </w:p>
    <w:p w14:paraId="742E7BA7">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26.1.12其他法律、法规及本招标文件规定的属无效投标的情形。</w:t>
      </w:r>
    </w:p>
    <w:p w14:paraId="2ACAC68A">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26.2废标条款</w:t>
      </w:r>
    </w:p>
    <w:p w14:paraId="5626BAE3">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26.2.1符合专业条件的供应商或者对招标文件作实质响应的供应商不足三家的。</w:t>
      </w:r>
    </w:p>
    <w:p w14:paraId="76ABCD28">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26.2.2出现影响采购公正的违法、违规行为的。</w:t>
      </w:r>
    </w:p>
    <w:p w14:paraId="6837BF2C">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26.2.3因重大变故，采购任务取消的。</w:t>
      </w:r>
    </w:p>
    <w:p w14:paraId="571B12E8">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26.2.4评标委员会认定招标文件存在歧义、重大缺陷导致评审工作无法进行。</w:t>
      </w:r>
    </w:p>
    <w:p w14:paraId="233CF4F2">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26.2.5因苏采云系统系统故障原因造成开标不成功的。</w:t>
      </w:r>
    </w:p>
    <w:p w14:paraId="25998E9E">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 投标截止时间结束后参加投标的供应商不足三家的处理：</w:t>
      </w:r>
    </w:p>
    <w:p w14:paraId="6F8D70A4">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26.3.1如出现投标截止时间结束后参加投标的供应商或者在评标期间对招标文件做出实质响应的供应商不足三家情况，按政府采购相关规定执行。</w:t>
      </w:r>
    </w:p>
    <w:p w14:paraId="54251A44">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color w:val="auto"/>
          <w:sz w:val="24"/>
          <w:szCs w:val="24"/>
          <w:highlight w:val="none"/>
        </w:rPr>
      </w:pPr>
      <w:bookmarkStart w:id="151" w:name="_Toc120614219"/>
      <w:r>
        <w:rPr>
          <w:rFonts w:hint="eastAsia" w:ascii="宋体" w:hAnsi="宋体" w:eastAsia="宋体" w:cs="宋体"/>
          <w:b/>
          <w:color w:val="auto"/>
          <w:sz w:val="24"/>
          <w:szCs w:val="24"/>
          <w:highlight w:val="none"/>
        </w:rPr>
        <w:t>六、定标</w:t>
      </w:r>
      <w:bookmarkEnd w:id="151"/>
    </w:p>
    <w:p w14:paraId="609C833C">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52" w:name="_Toc20823310"/>
      <w:bookmarkStart w:id="153" w:name="_Toc513029238"/>
      <w:bookmarkStart w:id="154" w:name="_Toc16938554"/>
      <w:r>
        <w:rPr>
          <w:rFonts w:hint="eastAsia" w:ascii="宋体" w:hAnsi="宋体" w:eastAsia="宋体" w:cs="宋体"/>
          <w:color w:val="auto"/>
          <w:sz w:val="24"/>
          <w:szCs w:val="24"/>
          <w:highlight w:val="none"/>
        </w:rPr>
        <w:t>27、</w:t>
      </w:r>
      <w:bookmarkEnd w:id="152"/>
      <w:r>
        <w:rPr>
          <w:rFonts w:hint="eastAsia" w:ascii="宋体" w:hAnsi="宋体" w:eastAsia="宋体" w:cs="宋体"/>
          <w:color w:val="auto"/>
          <w:sz w:val="24"/>
          <w:szCs w:val="24"/>
          <w:highlight w:val="none"/>
        </w:rPr>
        <w:t>确定</w:t>
      </w:r>
      <w:bookmarkEnd w:id="153"/>
      <w:bookmarkEnd w:id="154"/>
      <w:r>
        <w:rPr>
          <w:rFonts w:hint="eastAsia" w:ascii="宋体" w:hAnsi="宋体" w:eastAsia="宋体" w:cs="宋体"/>
          <w:color w:val="auto"/>
          <w:sz w:val="24"/>
          <w:szCs w:val="24"/>
          <w:highlight w:val="none"/>
        </w:rPr>
        <w:t>中标单位</w:t>
      </w:r>
    </w:p>
    <w:p w14:paraId="2AB6A907">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27.1中标候选人的选取原则和数量见招标文件第五章规定。 </w:t>
      </w:r>
    </w:p>
    <w:p w14:paraId="17FFA727">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27.2采购人应根据评委会推荐的中标候选人确定中标人。</w:t>
      </w:r>
    </w:p>
    <w:p w14:paraId="1FD1F372">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将</w:t>
      </w:r>
      <w:r>
        <w:rPr>
          <w:rFonts w:hint="eastAsia" w:ascii="宋体" w:hAnsi="宋体" w:eastAsia="宋体" w:cs="宋体"/>
          <w:color w:val="auto"/>
          <w:sz w:val="24"/>
          <w:szCs w:val="24"/>
          <w:highlight w:val="none"/>
          <w:lang w:val="en-US" w:eastAsia="zh-CN"/>
        </w:rPr>
        <w:t>同网址</w:t>
      </w:r>
      <w:r>
        <w:rPr>
          <w:rFonts w:hint="eastAsia" w:ascii="宋体" w:hAnsi="宋体" w:eastAsia="宋体" w:cs="宋体"/>
          <w:color w:val="auto"/>
          <w:sz w:val="24"/>
          <w:szCs w:val="24"/>
          <w:highlight w:val="none"/>
        </w:rPr>
        <w:t>”发布中标公告，公告期限为1个工作日。</w:t>
      </w:r>
    </w:p>
    <w:p w14:paraId="41C3973E">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27.4若有充分证据证明，中标人出现下列情况之一的，一经查实，将被取消中标资格：</w:t>
      </w:r>
    </w:p>
    <w:p w14:paraId="685A758D">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27.4.1提供虚假材料谋取中标的。</w:t>
      </w:r>
    </w:p>
    <w:p w14:paraId="5973AA07">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27.4.2向采购人、</w:t>
      </w:r>
      <w:r>
        <w:rPr>
          <w:rFonts w:hint="eastAsia" w:ascii="宋体" w:hAnsi="宋体" w:eastAsia="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rPr>
        <w:t>行贿或者提供其他不正当利益的。</w:t>
      </w:r>
    </w:p>
    <w:p w14:paraId="42C47A67">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27.4.3属于本文件规定的无效条件，但在评标过程中又未被评委会发现的。</w:t>
      </w:r>
    </w:p>
    <w:p w14:paraId="2557B7C1">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27.4.4与采购人或者其他供应商恶意串通的。</w:t>
      </w:r>
    </w:p>
    <w:p w14:paraId="39DB40B5">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27.4.5采取不正当手段诋毁、排挤其他供应商的。</w:t>
      </w:r>
    </w:p>
    <w:p w14:paraId="359F1DB9">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55" w:name="_Toc200451960"/>
      <w:r>
        <w:rPr>
          <w:rFonts w:hint="eastAsia" w:ascii="宋体" w:hAnsi="宋体" w:eastAsia="宋体" w:cs="宋体"/>
          <w:color w:val="auto"/>
          <w:sz w:val="24"/>
          <w:szCs w:val="24"/>
          <w:highlight w:val="none"/>
        </w:rPr>
        <w:t>27.5 有下列情形之一的，视为投标人串通投标，投标无效：</w:t>
      </w:r>
      <w:bookmarkEnd w:id="155"/>
    </w:p>
    <w:p w14:paraId="4A4B8D9A">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27.5.1不同投标人的投标文件由同一单位或者个人编制。</w:t>
      </w:r>
    </w:p>
    <w:p w14:paraId="59209E4B">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27.5.2不同投标人委托同一单位或者个人办理投标事宜。</w:t>
      </w:r>
    </w:p>
    <w:p w14:paraId="2A2191CD">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27.5.3不同投标人的投标文件载明的项目管理成员或者联系人员为同一人。</w:t>
      </w:r>
    </w:p>
    <w:p w14:paraId="1D9D00BF">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27.5.4不同投标人的投标文件异常一致或者投标报价呈规律性差异。</w:t>
      </w:r>
    </w:p>
    <w:p w14:paraId="1FA357F7">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28、质疑处理</w:t>
      </w:r>
    </w:p>
    <w:p w14:paraId="4C279A9B">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28.1提出质疑的供应商应当是参与所质疑项目采购活动的供应商。潜在供应商依法获取其可质疑的采购文件的，可以对采购文件提出质疑。</w:t>
      </w:r>
    </w:p>
    <w:p w14:paraId="717781AB">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28.2供应商认为采购文件、采购过程和采购结果使自己的权益受到损害的，可以在知道或应知其权益受到损害之日起七个工作日内，以书面形式根据下述28.4条款的规定向</w:t>
      </w:r>
      <w:r>
        <w:rPr>
          <w:rFonts w:hint="eastAsia" w:ascii="宋体" w:hAnsi="宋体" w:eastAsia="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rPr>
        <w:t>或采购人提出质疑。上述应知其权益受到损害之日，是指：</w:t>
      </w:r>
    </w:p>
    <w:p w14:paraId="686E0D9F">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28.2.1对可以质疑的采购文件提出质疑的，为收到采购文件之日或者采购文件公告期限届满之日；</w:t>
      </w:r>
    </w:p>
    <w:p w14:paraId="6BCE34BA">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28.2.2对采购过程提出质疑的，为各采购程序环节结束之日；</w:t>
      </w:r>
    </w:p>
    <w:p w14:paraId="5B797334">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28.2.3对中标或者成交结果提出质疑的，为中标或者成交结果公告期限届满之日。</w:t>
      </w:r>
    </w:p>
    <w:p w14:paraId="2D25EC6E">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供应商应当在法定质疑期内一次性提出针对同一采购程序环节的质疑。供应商如在法定期限内对同一采购程序环节提出多次质疑的，</w:t>
      </w:r>
      <w:r>
        <w:rPr>
          <w:rFonts w:hint="eastAsia" w:ascii="宋体" w:hAnsi="宋体" w:eastAsia="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rPr>
        <w:t>、采购人将只对供应商第一次质疑作出答复。</w:t>
      </w:r>
    </w:p>
    <w:p w14:paraId="76A90D99">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质疑函必须按照本招标文件中《质疑函范本》要求的格式和内容进行填写。供应商如组成联合体参加投标，则《质疑函范本》中要求签字、盖章、加盖公章之处，联合体各方均须按要求签字、盖章、加盖公章。</w:t>
      </w:r>
    </w:p>
    <w:p w14:paraId="0F5D9416">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供应商（含潜在供应商）对采购方式、采购需求、供应商资格条件及审查结果、评标方法和评标标准、合同文本的询问、质疑请向采购人提出，由采购人负责答复。供应商对除上述事项以外其他事项的询问、质疑请向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提出，由采购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负责答复。</w:t>
      </w:r>
    </w:p>
    <w:p w14:paraId="3DD6E26E">
      <w:pPr>
        <w:pageBreakBefore w:val="0"/>
        <w:widowControl w:val="0"/>
        <w:tabs>
          <w:tab w:val="left" w:pos="1331"/>
        </w:tabs>
        <w:kinsoku/>
        <w:wordWrap/>
        <w:overflowPunct/>
        <w:topLinePunct w:val="0"/>
        <w:bidi w:val="0"/>
        <w:adjustRightInd w:val="0"/>
        <w:snapToGrid w:val="0"/>
        <w:spacing w:line="400" w:lineRule="exact"/>
        <w:ind w:left="0" w:right="0"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采购人及代理机构只接收以纸质原件形式送达的质疑,采购人和招标代理机构不接受未填写快递运单的快件。质疑接收地址及电话等详采购公告。</w:t>
      </w:r>
    </w:p>
    <w:p w14:paraId="75557581">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 以下情形的质疑不予受理</w:t>
      </w:r>
    </w:p>
    <w:p w14:paraId="3875B54A">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超出政府采购法定期限的质疑。</w:t>
      </w:r>
    </w:p>
    <w:p w14:paraId="355CA4D7">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未参加投标活动的供应商或在投标活动中自身权益未受到损害的供应商所提出的质疑。</w:t>
      </w:r>
    </w:p>
    <w:p w14:paraId="111544C6">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供应商组成联合体参加投标，联合体中任何一方或多方未按要求签字、盖章、加盖公章的质疑。</w:t>
      </w:r>
    </w:p>
    <w:p w14:paraId="457CF031">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28.6供应商提出书面质疑必须有理、有据，不得捏造事实、提供虚假材料进行恶意质疑。否则，一经查实，采购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有权依据采购的有关规定，报请监管部门对该供应商进行相应的行政处罚和记录该供应商的失信信息。</w:t>
      </w:r>
    </w:p>
    <w:p w14:paraId="03A91BDE">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29、中标通知书</w:t>
      </w:r>
    </w:p>
    <w:p w14:paraId="505E029A">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29.l中标结果确定后，采购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将向中标人发出中标通知书。</w:t>
      </w:r>
    </w:p>
    <w:p w14:paraId="1CC1F91B">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29.2中标通知书将是合同的一个组成部分。对采购人和中标人均具有法律效力。中标通知书发出后，采购人改变中标结果的，或者中标人放弃中标项目的，应当依法承担法律责任。</w:t>
      </w:r>
    </w:p>
    <w:p w14:paraId="64DAAC83">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2" w:firstLineChars="200"/>
        <w:jc w:val="left"/>
        <w:textAlignment w:val="auto"/>
        <w:outlineLvl w:val="9"/>
        <w:rPr>
          <w:rFonts w:hint="eastAsia" w:ascii="宋体" w:hAnsi="宋体" w:eastAsia="宋体" w:cs="宋体"/>
          <w:color w:val="auto"/>
          <w:sz w:val="24"/>
          <w:szCs w:val="24"/>
          <w:highlight w:val="none"/>
        </w:rPr>
      </w:pPr>
      <w:bookmarkStart w:id="156" w:name="_Toc20823308"/>
      <w:bookmarkStart w:id="157" w:name="_Toc16938552"/>
      <w:bookmarkStart w:id="158" w:name="_Toc120614220"/>
      <w:bookmarkStart w:id="159" w:name="_Toc513029236"/>
      <w:r>
        <w:rPr>
          <w:rFonts w:hint="eastAsia" w:ascii="宋体" w:hAnsi="宋体" w:eastAsia="宋体" w:cs="宋体"/>
          <w:b/>
          <w:color w:val="auto"/>
          <w:sz w:val="24"/>
          <w:szCs w:val="24"/>
          <w:highlight w:val="none"/>
        </w:rPr>
        <w:t>七、授予合同</w:t>
      </w:r>
      <w:bookmarkEnd w:id="156"/>
      <w:bookmarkEnd w:id="157"/>
      <w:bookmarkEnd w:id="158"/>
      <w:bookmarkEnd w:id="159"/>
    </w:p>
    <w:p w14:paraId="6ACCED81">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60" w:name="_Toc16938553"/>
      <w:bookmarkStart w:id="161" w:name="_Toc513029237"/>
      <w:bookmarkStart w:id="162" w:name="_Toc20823309"/>
      <w:r>
        <w:rPr>
          <w:rFonts w:hint="eastAsia" w:ascii="宋体" w:hAnsi="宋体" w:eastAsia="宋体" w:cs="宋体"/>
          <w:color w:val="auto"/>
          <w:sz w:val="24"/>
          <w:szCs w:val="24"/>
          <w:highlight w:val="none"/>
        </w:rPr>
        <w:t>30.签订合同</w:t>
      </w:r>
      <w:bookmarkEnd w:id="160"/>
      <w:bookmarkEnd w:id="161"/>
      <w:bookmarkEnd w:id="162"/>
    </w:p>
    <w:p w14:paraId="49272DD0">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30.l中标人应当在中标通知书发出之日起三十日内，按照招标文件确定的事项与采购人签订政府采购合同。</w:t>
      </w:r>
    </w:p>
    <w:p w14:paraId="00518D93">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30.2招标文件、中标人的投标文件及招标过程中有关澄清、承诺文件均应作为合同附件。</w:t>
      </w:r>
    </w:p>
    <w:p w14:paraId="6C2608F8">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30.3签订合同后，</w:t>
      </w:r>
      <w:r>
        <w:rPr>
          <w:rFonts w:hint="eastAsia" w:ascii="宋体" w:hAnsi="宋体" w:eastAsia="宋体" w:cs="宋体"/>
          <w:i/>
          <w:color w:val="auto"/>
          <w:sz w:val="24"/>
          <w:szCs w:val="24"/>
          <w:highlight w:val="none"/>
          <w:u w:val="single"/>
        </w:rPr>
        <w:t>中标人不得将合同标的进行转包</w:t>
      </w:r>
      <w:r>
        <w:rPr>
          <w:rFonts w:hint="eastAsia" w:ascii="宋体" w:hAnsi="宋体" w:eastAsia="宋体" w:cs="宋体"/>
          <w:color w:val="auto"/>
          <w:sz w:val="24"/>
          <w:szCs w:val="24"/>
          <w:highlight w:val="none"/>
        </w:rPr>
        <w:t>。未经采购人同意，中标人也不得采用分包的形式履行合同，否则采购人有权终止合同。转包或分包造成采购人损失的，中标人应承担相应赔偿责任。</w:t>
      </w:r>
    </w:p>
    <w:p w14:paraId="77BCD65A">
      <w:pPr>
        <w:pStyle w:val="14"/>
        <w:keepNext/>
        <w:keepLines/>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31、服务（包含与服务相关的货物）的追加</w:t>
      </w:r>
    </w:p>
    <w:p w14:paraId="3B7551AE">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31.1政府采购合同履行中，采购人需追加与合同标的相同的服务（包含与服务相关的货物），在不改变合同其他条款的前提下，可以与中标人协商签订补充合同，但所有补充合同的采购金额不超过原合同金额10%。</w:t>
      </w:r>
    </w:p>
    <w:p w14:paraId="034807A4">
      <w:pPr>
        <w:keepNext w:val="0"/>
        <w:keepLines w:val="0"/>
        <w:pageBreakBefore w:val="0"/>
        <w:widowControl w:val="0"/>
        <w:tabs>
          <w:tab w:val="left" w:pos="1381"/>
        </w:tabs>
        <w:kinsoku w:val="0"/>
        <w:wordWrap/>
        <w:overflowPunct/>
        <w:topLinePunct w:val="0"/>
        <w:autoSpaceDE/>
        <w:autoSpaceDN/>
        <w:bidi w:val="0"/>
        <w:adjustRightInd w:val="0"/>
        <w:snapToGrid w:val="0"/>
        <w:spacing w:line="400" w:lineRule="exact"/>
        <w:ind w:left="0" w:right="0"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32履约保证金政策</w:t>
      </w:r>
    </w:p>
    <w:p w14:paraId="40F02B3A">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确需收取履约保证金的，履约保证金的缴纳形式：</w:t>
      </w:r>
    </w:p>
    <w:p w14:paraId="1AF1B51A">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供应商应当以支票、汇票、本票或者金融机构、担保机构出具的保函等非现金形式提交履约保证金。</w:t>
      </w:r>
    </w:p>
    <w:p w14:paraId="57E6C93D">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履约保证金金额不得超过合同金额的10%，采购人对第三方信用服务机构依据标准规范评定为 AA 级及以上的政府采购供应商（需在签订采购合同前提供信用管理 部门备案的第三方信用报告，且信用报告通过“信用盐城网”可查实），免收履约保证金或降低履约保证金缴纳比例。</w:t>
      </w:r>
    </w:p>
    <w:p w14:paraId="0C42887D">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2E44C3F7">
      <w:pPr>
        <w:pStyle w:val="14"/>
        <w:pageBreakBefore w:val="0"/>
        <w:widowControl w:val="0"/>
        <w:kinsoku/>
        <w:wordWrap/>
        <w:overflowPunct/>
        <w:topLinePunct w:val="0"/>
        <w:bidi w:val="0"/>
        <w:adjustRightInd w:val="0"/>
        <w:snapToGrid w:val="0"/>
        <w:spacing w:beforeAutospacing="0" w:afterAutospacing="0" w:line="4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D5A4711">
      <w:pPr>
        <w:pStyle w:val="14"/>
        <w:keepNext/>
        <w:pageBreakBefore w:val="0"/>
        <w:kinsoku/>
        <w:wordWrap/>
        <w:overflowPunct/>
        <w:bidi w:val="0"/>
        <w:adjustRightInd w:val="0"/>
        <w:snapToGrid w:val="0"/>
        <w:spacing w:beforeAutospacing="0" w:afterAutospacing="0" w:line="500" w:lineRule="exact"/>
        <w:ind w:right="0"/>
        <w:jc w:val="center"/>
        <w:textAlignment w:val="auto"/>
        <w:outlineLvl w:val="9"/>
        <w:rPr>
          <w:rFonts w:hint="eastAsia" w:ascii="黑体" w:hAnsi="宋体" w:eastAsia="黑体" w:cs="黑体"/>
          <w:color w:val="auto"/>
          <w:sz w:val="44"/>
          <w:szCs w:val="44"/>
          <w:highlight w:val="none"/>
        </w:rPr>
      </w:pPr>
      <w:r>
        <w:rPr>
          <w:rFonts w:hint="eastAsia" w:ascii="黑体" w:hAnsi="宋体" w:eastAsia="黑体" w:cs="黑体"/>
          <w:color w:val="auto"/>
          <w:sz w:val="44"/>
          <w:szCs w:val="44"/>
          <w:highlight w:val="none"/>
        </w:rPr>
        <w:t>第三章  合同文本</w:t>
      </w:r>
    </w:p>
    <w:p w14:paraId="358497D9">
      <w:pPr>
        <w:pStyle w:val="14"/>
        <w:pageBreakBefore w:val="0"/>
        <w:tabs>
          <w:tab w:val="left" w:pos="6205"/>
        </w:tabs>
        <w:kinsoku/>
        <w:wordWrap/>
        <w:overflowPunct/>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63" w:name="_Hlt16619369"/>
      <w:r>
        <w:rPr>
          <w:rFonts w:hint="eastAsia" w:ascii="宋体" w:hAnsi="宋体" w:eastAsia="宋体" w:cs="宋体"/>
          <w:color w:val="auto"/>
          <w:sz w:val="24"/>
          <w:szCs w:val="24"/>
          <w:highlight w:val="none"/>
        </w:rPr>
        <w:t> </w:t>
      </w:r>
    </w:p>
    <w:p w14:paraId="1151885B">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bookmarkStart w:id="164" w:name="_Toc120614281"/>
      <w:r>
        <w:rPr>
          <w:rFonts w:hint="eastAsia" w:ascii="宋体" w:hAnsi="宋体" w:eastAsia="宋体" w:cs="宋体"/>
          <w:color w:val="auto"/>
          <w:sz w:val="24"/>
          <w:szCs w:val="24"/>
          <w:highlight w:val="none"/>
        </w:rPr>
        <w:t>以下为</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签订</w:t>
      </w:r>
      <w:r>
        <w:rPr>
          <w:rFonts w:hint="eastAsia" w:ascii="宋体" w:hAnsi="宋体" w:eastAsia="宋体" w:cs="宋体"/>
          <w:color w:val="auto"/>
          <w:sz w:val="24"/>
          <w:szCs w:val="24"/>
          <w:highlight w:val="none"/>
        </w:rPr>
        <w:t>本项目合同的通用条款，</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供应商不得提出实质性的修改。</w:t>
      </w:r>
    </w:p>
    <w:p w14:paraId="4D03FC40">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p>
    <w:p w14:paraId="1FBD4CEE">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w:t>
      </w:r>
    </w:p>
    <w:p w14:paraId="1311B626">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5AD27A4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甲方：（买方）_________</w:t>
      </w:r>
    </w:p>
    <w:p w14:paraId="39E83BDB">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乙方：（卖方）_________</w:t>
      </w:r>
    </w:p>
    <w:p w14:paraId="10114A8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2" w:firstLineChars="200"/>
        <w:jc w:val="lef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p>
    <w:p w14:paraId="6177A6E5">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经评审，确定乙方为中标人，依据《中华人民共和国民法典》及有关</w:t>
      </w:r>
      <w:r>
        <w:rPr>
          <w:rFonts w:hint="eastAsia" w:ascii="宋体" w:hAnsi="宋体" w:eastAsia="宋体" w:cs="宋体"/>
          <w:bCs/>
          <w:color w:val="auto"/>
          <w:sz w:val="24"/>
          <w:szCs w:val="24"/>
          <w:highlight w:val="none"/>
          <w:lang w:eastAsia="zh-CN"/>
        </w:rPr>
        <w:t>法律法规</w:t>
      </w:r>
      <w:r>
        <w:rPr>
          <w:rFonts w:hint="eastAsia" w:ascii="宋体" w:hAnsi="宋体" w:eastAsia="宋体" w:cs="宋体"/>
          <w:bCs/>
          <w:color w:val="auto"/>
          <w:sz w:val="24"/>
          <w:szCs w:val="24"/>
          <w:highlight w:val="none"/>
        </w:rPr>
        <w:t>。双方就有关事项协商一致，订立本合同。</w:t>
      </w:r>
    </w:p>
    <w:p w14:paraId="405BB07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第一条 概况 </w:t>
      </w:r>
    </w:p>
    <w:p w14:paraId="67B1F6A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1.项目内容：  </w:t>
      </w:r>
    </w:p>
    <w:p w14:paraId="04658D2F">
      <w:pPr>
        <w:pStyle w:val="14"/>
        <w:pageBreakBefore w:val="0"/>
        <w:kinsoku/>
        <w:wordWrap/>
        <w:overflowPunct/>
        <w:topLinePunct w:val="0"/>
        <w:autoSpaceDE/>
        <w:autoSpaceDN/>
        <w:bidi w:val="0"/>
        <w:adjustRightInd w:val="0"/>
        <w:snapToGrid w:val="0"/>
        <w:spacing w:before="0" w:beforeAutospacing="0" w:after="0" w:afterAutospacing="0" w:line="400" w:lineRule="exact"/>
        <w:ind w:right="0" w:firstLine="480" w:firstLineChars="200"/>
        <w:jc w:val="left"/>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shd w:val="clear" w:color="auto" w:fill="auto"/>
          <w:lang w:val="en-US" w:eastAsia="zh-CN"/>
        </w:rPr>
        <w:t>1.1对本公司92辆</w:t>
      </w:r>
      <w:r>
        <w:rPr>
          <w:rFonts w:hint="eastAsia" w:ascii="宋体" w:hAnsi="宋体" w:eastAsia="宋体" w:cs="宋体"/>
          <w:b w:val="0"/>
          <w:bCs w:val="0"/>
          <w:color w:val="auto"/>
          <w:sz w:val="24"/>
          <w:szCs w:val="24"/>
          <w:highlight w:val="none"/>
          <w:u w:val="none"/>
          <w:lang w:val="en-US" w:eastAsia="zh-CN"/>
        </w:rPr>
        <w:t>柴油车</w:t>
      </w:r>
      <w:r>
        <w:rPr>
          <w:rFonts w:hint="eastAsia" w:ascii="宋体" w:hAnsi="宋体" w:eastAsia="宋体" w:cs="宋体"/>
          <w:b w:val="0"/>
          <w:bCs w:val="0"/>
          <w:color w:val="auto"/>
          <w:sz w:val="24"/>
          <w:szCs w:val="24"/>
          <w:highlight w:val="none"/>
          <w:u w:val="none"/>
          <w:shd w:val="clear" w:color="auto" w:fill="auto"/>
          <w:lang w:val="en-US" w:eastAsia="zh-CN"/>
        </w:rPr>
        <w:t>汽车进行车辆保险服务进行</w:t>
      </w:r>
      <w:r>
        <w:rPr>
          <w:rFonts w:hint="eastAsia" w:ascii="宋体" w:hAnsi="宋体" w:eastAsia="宋体" w:cs="宋体"/>
          <w:b w:val="0"/>
          <w:bCs w:val="0"/>
          <w:color w:val="auto"/>
          <w:sz w:val="24"/>
          <w:szCs w:val="24"/>
          <w:highlight w:val="none"/>
          <w:u w:val="none"/>
          <w:lang w:val="en-US" w:eastAsia="zh-CN"/>
        </w:rPr>
        <w:t>采购；</w:t>
      </w:r>
    </w:p>
    <w:p w14:paraId="3A313DDD">
      <w:pPr>
        <w:pStyle w:val="14"/>
        <w:pageBreakBefore w:val="0"/>
        <w:kinsoku/>
        <w:wordWrap/>
        <w:overflowPunct/>
        <w:topLinePunct w:val="0"/>
        <w:autoSpaceDE/>
        <w:autoSpaceDN/>
        <w:bidi w:val="0"/>
        <w:adjustRightInd w:val="0"/>
        <w:snapToGrid w:val="0"/>
        <w:spacing w:before="0" w:beforeAutospacing="0" w:after="0" w:afterAutospacing="0" w:line="400" w:lineRule="exact"/>
        <w:ind w:right="0" w:firstLine="480" w:firstLineChars="200"/>
        <w:jc w:val="left"/>
        <w:textAlignment w:val="auto"/>
        <w:outlineLvl w:val="9"/>
        <w:rPr>
          <w:rFonts w:hint="eastAsia" w:ascii="宋体" w:hAnsi="宋体" w:eastAsia="宋体" w:cs="宋体"/>
          <w:b/>
          <w:bCs/>
          <w:color w:val="auto"/>
          <w:sz w:val="24"/>
          <w:szCs w:val="24"/>
          <w:highlight w:val="none"/>
          <w:u w:val="single"/>
          <w:lang w:val="en-US" w:eastAsia="zh-CN"/>
        </w:rPr>
      </w:pPr>
      <w:r>
        <w:rPr>
          <w:rFonts w:hint="eastAsia" w:ascii="宋体" w:hAnsi="宋体" w:cs="宋体"/>
          <w:color w:val="auto"/>
          <w:sz w:val="24"/>
          <w:szCs w:val="24"/>
          <w:highlight w:val="none"/>
          <w:lang w:val="en-US" w:eastAsia="zh-CN"/>
        </w:rPr>
        <w:t>1.2车险</w:t>
      </w:r>
      <w:r>
        <w:rPr>
          <w:rFonts w:hint="eastAsia" w:ascii="宋体" w:hAnsi="宋体" w:cs="宋体"/>
          <w:color w:val="auto"/>
          <w:sz w:val="24"/>
          <w:szCs w:val="24"/>
          <w:highlight w:val="none"/>
        </w:rPr>
        <w:t>含</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交通事故责任强制保险（不含车船使用税）</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第三者责任保险</w:t>
      </w:r>
      <w:r>
        <w:rPr>
          <w:rFonts w:hint="eastAsia" w:ascii="宋体" w:hAnsi="宋体" w:cs="宋体"/>
          <w:color w:val="auto"/>
          <w:sz w:val="24"/>
          <w:szCs w:val="24"/>
          <w:highlight w:val="none"/>
          <w:lang w:val="en-US" w:eastAsia="zh-CN"/>
        </w:rPr>
        <w:t>300万</w:t>
      </w:r>
      <w:r>
        <w:rPr>
          <w:rFonts w:hint="eastAsia" w:ascii="宋体" w:hAnsi="宋体" w:cs="宋体"/>
          <w:color w:val="auto"/>
          <w:sz w:val="24"/>
          <w:szCs w:val="24"/>
          <w:highlight w:val="none"/>
        </w:rPr>
        <w:t>（不计免赔）</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车辆损失险（不计免赔）、</w:t>
      </w:r>
      <w:r>
        <w:rPr>
          <w:rFonts w:hint="eastAsia" w:ascii="宋体" w:hAnsi="宋体" w:cs="宋体"/>
          <w:color w:val="auto"/>
          <w:sz w:val="24"/>
          <w:szCs w:val="24"/>
          <w:highlight w:val="none"/>
          <w:lang w:val="en-US" w:eastAsia="zh-CN"/>
        </w:rPr>
        <w:t>承运人责任险</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150</w:t>
      </w:r>
      <w:r>
        <w:rPr>
          <w:rFonts w:hint="eastAsia" w:ascii="宋体" w:hAnsi="宋体" w:cs="宋体"/>
          <w:color w:val="auto"/>
          <w:sz w:val="24"/>
          <w:szCs w:val="24"/>
          <w:highlight w:val="none"/>
        </w:rPr>
        <w:t>万</w:t>
      </w:r>
      <w:r>
        <w:rPr>
          <w:rFonts w:hint="eastAsia" w:ascii="宋体" w:hAnsi="宋体" w:cs="宋体"/>
          <w:color w:val="auto"/>
          <w:sz w:val="24"/>
          <w:szCs w:val="24"/>
          <w:highlight w:val="none"/>
          <w:lang w:val="en-US" w:eastAsia="zh-CN"/>
        </w:rPr>
        <w:t>/座；</w:t>
      </w:r>
      <w:r>
        <w:rPr>
          <w:rFonts w:hint="eastAsia" w:ascii="宋体" w:hAnsi="宋体" w:cs="宋体"/>
          <w:color w:val="auto"/>
          <w:sz w:val="24"/>
          <w:szCs w:val="24"/>
          <w:highlight w:val="none"/>
        </w:rPr>
        <w:t>含不计免赔）</w:t>
      </w:r>
    </w:p>
    <w:p w14:paraId="1AD2BDD6">
      <w:pPr>
        <w:pStyle w:val="14"/>
        <w:pageBreakBefore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最终以实际保险车辆为准。</w:t>
      </w:r>
    </w:p>
    <w:p w14:paraId="76E0DE60">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2.保险服务要求及内容：</w:t>
      </w:r>
    </w:p>
    <w:p w14:paraId="6F171615">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2.1承保服务</w:t>
      </w:r>
    </w:p>
    <w:p w14:paraId="12DEE0A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（1）保险机构应主动上门联系与服务，并派专人与各被保险车辆签订机动车辆保险单。</w:t>
      </w:r>
    </w:p>
    <w:p w14:paraId="4F22C1B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（2）乙方应按</w:t>
      </w:r>
      <w:r>
        <w:rPr>
          <w:rFonts w:hint="eastAsia" w:ascii="宋体" w:hAnsi="宋体" w:eastAsia="宋体" w:cs="宋体"/>
          <w:bCs/>
          <w:color w:val="auto"/>
          <w:sz w:val="24"/>
          <w:szCs w:val="24"/>
          <w:highlight w:val="none"/>
          <w:lang w:eastAsia="zh-CN"/>
        </w:rPr>
        <w:t>中国银行保险监督管理委员会</w:t>
      </w:r>
      <w:r>
        <w:rPr>
          <w:rFonts w:hint="eastAsia" w:ascii="宋体" w:hAnsi="宋体" w:eastAsia="宋体" w:cs="宋体"/>
          <w:bCs/>
          <w:color w:val="auto"/>
          <w:sz w:val="24"/>
          <w:szCs w:val="24"/>
          <w:highlight w:val="none"/>
        </w:rPr>
        <w:t>批准的《机动车辆保险条款》及中标报价收取保险费用。</w:t>
      </w:r>
    </w:p>
    <w:p w14:paraId="3BDF144C">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（3）本次所有车辆保障内容包括：</w:t>
      </w:r>
    </w:p>
    <w:p w14:paraId="2A3C7646">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理赔服务措施：实行365天×24小时报案受理、咨询服务，接到报案后30分钟内</w:t>
      </w:r>
      <w:r>
        <w:rPr>
          <w:rFonts w:hint="eastAsia" w:ascii="宋体" w:hAnsi="宋体" w:eastAsia="宋体" w:cs="宋体"/>
          <w:color w:val="auto"/>
          <w:sz w:val="24"/>
          <w:szCs w:val="24"/>
          <w:highlight w:val="none"/>
          <w:lang w:eastAsia="zh-CN"/>
        </w:rPr>
        <w:t>到达</w:t>
      </w:r>
      <w:r>
        <w:rPr>
          <w:rFonts w:hint="eastAsia" w:ascii="宋体" w:hAnsi="宋体" w:eastAsia="宋体" w:cs="宋体"/>
          <w:color w:val="auto"/>
          <w:sz w:val="24"/>
          <w:szCs w:val="24"/>
          <w:highlight w:val="none"/>
        </w:rPr>
        <w:t>现场处理，报案后24小时内提供主动上门理赔服务。建立理赔绿色通道，并限时结案，材料齐全3天内。</w:t>
      </w:r>
    </w:p>
    <w:p w14:paraId="2EC156E4">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（5）被保车辆出厂原配置必须包含在理赔范围内。</w:t>
      </w:r>
    </w:p>
    <w:p w14:paraId="1195A1A7">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）保费按年缴纳，以车辆各自的实际年度保险到期时间和实际要求为准，每</w:t>
      </w:r>
      <w:r>
        <w:rPr>
          <w:rFonts w:hint="eastAsia" w:ascii="宋体" w:hAnsi="宋体" w:eastAsia="宋体" w:cs="宋体"/>
          <w:bCs/>
          <w:color w:val="auto"/>
          <w:sz w:val="24"/>
          <w:szCs w:val="24"/>
          <w:highlight w:val="none"/>
          <w:lang w:eastAsia="zh-CN"/>
        </w:rPr>
        <w:t>一辆车</w:t>
      </w:r>
      <w:r>
        <w:rPr>
          <w:rFonts w:hint="eastAsia" w:ascii="宋体" w:hAnsi="宋体" w:eastAsia="宋体" w:cs="宋体"/>
          <w:bCs/>
          <w:color w:val="auto"/>
          <w:sz w:val="24"/>
          <w:szCs w:val="24"/>
          <w:highlight w:val="none"/>
        </w:rPr>
        <w:t>提供一份相应的保险。如理赔服务处理过程中发生违反保险合同约定的情况，采购人有权扣除履约保证金。</w:t>
      </w:r>
    </w:p>
    <w:p w14:paraId="5CF53F54">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（8）所有车辆的险种在到期之前仍维持现状；到期后，由原承保公司转为车辆相应的中标</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续保。在此期间，由</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提供目前各车辆保险缴纳的现状单位和期限，到期后，由中标单位主动续保，因中标单位未书面提醒或按期送保上门，导致脱保、漏保并造成采购人因事故未能获得保险理赔等损失的，中标</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应予以全额赔偿。</w:t>
      </w:r>
    </w:p>
    <w:p w14:paraId="76FAEAAC">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（9）车辆因报废或政府指令性停运，须按相关规定办理退保等相关手续。</w:t>
      </w:r>
    </w:p>
    <w:p w14:paraId="1AA17144">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（10）投标人针对本项目提供的增值服务内容或优惠承诺内容，中标后必须如实履行。否则采购人将按虚假应标处理，对此造成的一切责任和后果由中标人承担。</w:t>
      </w:r>
    </w:p>
    <w:p w14:paraId="136A838A">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2.2理赔服务</w:t>
      </w:r>
    </w:p>
    <w:p w14:paraId="33105708">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（1）设有24小时报案、理赔服务电话</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并设专人受理索赔接待、报案。有充足的现场勘查人员和车辆。</w:t>
      </w:r>
    </w:p>
    <w:p w14:paraId="167EDA20">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（2）中标人应对投保车辆建立用户档案、包括不限于每月向采购人报送《车辆保险情况统计表》《车辆出险理赔情况统计表》，并承诺统计填报数据</w:t>
      </w:r>
      <w:r>
        <w:rPr>
          <w:rFonts w:hint="eastAsia" w:ascii="宋体" w:hAnsi="宋体" w:eastAsia="宋体" w:cs="宋体"/>
          <w:bCs/>
          <w:color w:val="auto"/>
          <w:sz w:val="24"/>
          <w:szCs w:val="24"/>
          <w:highlight w:val="none"/>
          <w:lang w:eastAsia="zh-CN"/>
        </w:rPr>
        <w:t>的</w:t>
      </w:r>
      <w:r>
        <w:rPr>
          <w:rFonts w:hint="eastAsia" w:ascii="宋体" w:hAnsi="宋体" w:eastAsia="宋体" w:cs="宋体"/>
          <w:bCs/>
          <w:color w:val="auto"/>
          <w:sz w:val="24"/>
          <w:szCs w:val="24"/>
          <w:highlight w:val="none"/>
        </w:rPr>
        <w:t>正确性、完整性。</w:t>
      </w:r>
    </w:p>
    <w:p w14:paraId="39C09E87">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（3）人伤费用垫付：人伤事故中，伤员进行救治时，经采购人现场确认后，中标人应按规定先行垫付医疗费用（或开通医院绿色通道的形式）。</w:t>
      </w:r>
    </w:p>
    <w:p w14:paraId="2520A86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因第三方对被保险机动车的损害而造成保险事故，采购人向第三方索赔的，中标人应积极协助；采购人也可以直接向中标人索赔，中标人在保险金额内先行赔付采购人，并在赔偿金额内代位行使采购人对第三方请求赔偿的权利。</w:t>
      </w:r>
    </w:p>
    <w:p w14:paraId="6EF73008">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（5）如期间遇保险费政策性调整，项目合同价款</w:t>
      </w:r>
      <w:r>
        <w:rPr>
          <w:rFonts w:hint="eastAsia" w:ascii="宋体" w:hAnsi="宋体" w:eastAsia="宋体" w:cs="宋体"/>
          <w:bCs/>
          <w:color w:val="auto"/>
          <w:sz w:val="24"/>
          <w:szCs w:val="24"/>
          <w:highlight w:val="none"/>
          <w:lang w:val="en-US" w:eastAsia="zh-CN"/>
        </w:rPr>
        <w:t>需</w:t>
      </w:r>
      <w:r>
        <w:rPr>
          <w:rFonts w:hint="eastAsia" w:ascii="宋体" w:hAnsi="宋体" w:eastAsia="宋体" w:cs="宋体"/>
          <w:bCs/>
          <w:color w:val="auto"/>
          <w:sz w:val="24"/>
          <w:szCs w:val="24"/>
          <w:highlight w:val="none"/>
        </w:rPr>
        <w:t>同时</w:t>
      </w:r>
      <w:r>
        <w:rPr>
          <w:rFonts w:hint="eastAsia" w:ascii="宋体" w:hAnsi="宋体" w:eastAsia="宋体" w:cs="宋体"/>
          <w:bCs/>
          <w:color w:val="auto"/>
          <w:sz w:val="24"/>
          <w:szCs w:val="24"/>
          <w:highlight w:val="none"/>
          <w:lang w:val="en-US" w:eastAsia="zh-CN"/>
        </w:rPr>
        <w:t>做出</w:t>
      </w:r>
      <w:r>
        <w:rPr>
          <w:rFonts w:hint="eastAsia" w:ascii="宋体" w:hAnsi="宋体" w:eastAsia="宋体" w:cs="宋体"/>
          <w:bCs/>
          <w:color w:val="auto"/>
          <w:sz w:val="24"/>
          <w:szCs w:val="24"/>
          <w:highlight w:val="none"/>
        </w:rPr>
        <w:t>调整。</w:t>
      </w:r>
    </w:p>
    <w:p w14:paraId="6D7527C3">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第二条 结算及付款方式 </w:t>
      </w:r>
    </w:p>
    <w:p w14:paraId="41135C60">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中标</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按车辆清单</w:t>
      </w:r>
      <w:r>
        <w:rPr>
          <w:rFonts w:hint="eastAsia" w:ascii="宋体" w:hAnsi="宋体" w:eastAsia="宋体" w:cs="宋体"/>
          <w:bCs/>
          <w:color w:val="auto"/>
          <w:sz w:val="24"/>
          <w:szCs w:val="24"/>
          <w:highlight w:val="none"/>
          <w:lang w:val="en-US" w:eastAsia="zh-CN"/>
        </w:rPr>
        <w:t>至少</w:t>
      </w:r>
      <w:r>
        <w:rPr>
          <w:rFonts w:hint="eastAsia" w:ascii="宋体" w:hAnsi="宋体" w:eastAsia="宋体" w:cs="宋体"/>
          <w:bCs/>
          <w:color w:val="auto"/>
          <w:sz w:val="24"/>
          <w:szCs w:val="24"/>
          <w:highlight w:val="none"/>
        </w:rPr>
        <w:t>提前一个月上门提供车辆投保单供财务付账，缴费后出具保险单</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none"/>
          <w:lang w:val="en-US" w:eastAsia="zh-CN"/>
        </w:rPr>
        <w:t>按各自车辆单独投保合同的实际金额支付</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w:t>
      </w:r>
    </w:p>
    <w:p w14:paraId="39E12A90">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.保险金额：</w:t>
      </w:r>
    </w:p>
    <w:p w14:paraId="49547C59">
      <w:pPr>
        <w:pStyle w:val="10"/>
        <w:keepNext w:val="0"/>
        <w:keepLines w:val="0"/>
        <w:pageBreakBefore w:val="0"/>
        <w:kinsoku/>
        <w:wordWrap/>
        <w:overflowPunct/>
        <w:topLinePunct w:val="0"/>
        <w:autoSpaceDE/>
        <w:autoSpaceDN/>
        <w:bidi w:val="0"/>
        <w:spacing w:line="400" w:lineRule="exact"/>
        <w:ind w:firstLine="482" w:firstLineChars="20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lang w:val="en-US" w:eastAsia="zh-CN"/>
        </w:rPr>
        <w:t>交强险：根据车辆固定基本保费及实际使用情况确定，其保险条款、基础费率等均由保监会统一规定固定费率与责任限额（此部分不进行报价）。</w:t>
      </w:r>
    </w:p>
    <w:p w14:paraId="5D3C0556">
      <w:pPr>
        <w:keepNext w:val="0"/>
        <w:keepLines w:val="0"/>
        <w:pageBreakBefore w:val="0"/>
        <w:widowControl/>
        <w:kinsoku/>
        <w:wordWrap/>
        <w:overflowPunct/>
        <w:topLinePunct w:val="0"/>
        <w:autoSpaceDE/>
        <w:autoSpaceDN/>
        <w:bidi w:val="0"/>
        <w:spacing w:line="400" w:lineRule="exact"/>
        <w:ind w:left="239" w:leftChars="114" w:firstLine="241" w:firstLineChars="1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商业险自主定价系数折扣率</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7711C62A">
      <w:pPr>
        <w:pStyle w:val="7"/>
        <w:rPr>
          <w:rFonts w:hint="eastAsia" w:ascii="宋体" w:hAnsi="宋体" w:eastAsia="宋体" w:cs="宋体"/>
          <w:b/>
          <w:color w:val="auto"/>
          <w:kern w:val="2"/>
          <w:sz w:val="24"/>
          <w:szCs w:val="24"/>
          <w:highlight w:val="none"/>
          <w:lang w:val="en-US" w:eastAsia="zh-CN" w:bidi="ar-SA"/>
        </w:rPr>
      </w:pPr>
      <w:r>
        <w:rPr>
          <w:rFonts w:hint="eastAsia" w:hAnsi="宋体" w:eastAsia="宋体" w:cs="宋体"/>
          <w:color w:val="auto"/>
          <w:kern w:val="0"/>
          <w:sz w:val="24"/>
          <w:szCs w:val="24"/>
          <w:highlight w:val="none"/>
          <w:lang w:val="en-US" w:eastAsia="zh-CN"/>
        </w:rPr>
        <w:t>3）</w:t>
      </w:r>
      <w:r>
        <w:rPr>
          <w:rFonts w:hint="eastAsia" w:ascii="宋体" w:hAnsi="宋体" w:eastAsia="宋体" w:cs="宋体"/>
          <w:b/>
          <w:color w:val="auto"/>
          <w:kern w:val="2"/>
          <w:sz w:val="24"/>
          <w:szCs w:val="24"/>
          <w:highlight w:val="none"/>
          <w:lang w:val="en-US" w:eastAsia="zh-CN" w:bidi="ar-SA"/>
        </w:rPr>
        <w:t>承运人责任险：保费为</w:t>
      </w:r>
      <w:r>
        <w:rPr>
          <w:rFonts w:hint="eastAsia" w:ascii="宋体" w:hAnsi="宋体" w:eastAsia="宋体" w:cs="宋体"/>
          <w:b/>
          <w:color w:val="auto"/>
          <w:kern w:val="2"/>
          <w:sz w:val="24"/>
          <w:szCs w:val="24"/>
          <w:highlight w:val="none"/>
          <w:u w:val="single"/>
          <w:lang w:val="en-US" w:eastAsia="zh-CN" w:bidi="ar-SA"/>
        </w:rPr>
        <w:t xml:space="preserve">        </w:t>
      </w:r>
      <w:r>
        <w:rPr>
          <w:rFonts w:hint="eastAsia" w:ascii="宋体" w:hAnsi="宋体" w:eastAsia="宋体" w:cs="宋体"/>
          <w:b/>
          <w:color w:val="auto"/>
          <w:kern w:val="2"/>
          <w:sz w:val="24"/>
          <w:szCs w:val="24"/>
          <w:highlight w:val="none"/>
          <w:lang w:val="en-US" w:eastAsia="zh-CN" w:bidi="ar-SA"/>
        </w:rPr>
        <w:t>元/人（大写）</w:t>
      </w:r>
      <w:r>
        <w:rPr>
          <w:rFonts w:hint="eastAsia" w:ascii="宋体" w:hAnsi="宋体" w:eastAsia="宋体" w:cs="宋体"/>
          <w:b/>
          <w:color w:val="auto"/>
          <w:kern w:val="2"/>
          <w:sz w:val="24"/>
          <w:szCs w:val="24"/>
          <w:highlight w:val="none"/>
          <w:u w:val="single"/>
          <w:lang w:val="en-US" w:eastAsia="zh-CN" w:bidi="ar-SA"/>
        </w:rPr>
        <w:t xml:space="preserve">        </w:t>
      </w:r>
      <w:r>
        <w:rPr>
          <w:rFonts w:hint="eastAsia" w:ascii="宋体" w:hAnsi="宋体" w:eastAsia="宋体" w:cs="宋体"/>
          <w:b/>
          <w:color w:val="auto"/>
          <w:kern w:val="2"/>
          <w:sz w:val="24"/>
          <w:szCs w:val="24"/>
          <w:highlight w:val="none"/>
          <w:lang w:val="en-US" w:eastAsia="zh-CN" w:bidi="ar-SA"/>
        </w:rPr>
        <w:t>元/人（小写）。</w:t>
      </w:r>
    </w:p>
    <w:p w14:paraId="0183AD2F">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上述金额已包括</w:t>
      </w:r>
      <w:r>
        <w:rPr>
          <w:rFonts w:hint="eastAsia" w:ascii="宋体" w:hAnsi="宋体" w:cs="宋体"/>
          <w:b w:val="0"/>
          <w:bCs w:val="0"/>
          <w:color w:val="auto"/>
          <w:sz w:val="24"/>
          <w:highlight w:val="none"/>
        </w:rPr>
        <w:t>（但不限于）：服务酬金</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服务人员工资、保险费、附加费用、税费及其他可能产生的费用、利润、管理费、代理费、交易服务费等政策性文件规定的各项所需的全部费用和不可预见费（指在酬金和可报销费用之外，在履行合同过程中所发生的额外的其它所有费用）。</w:t>
      </w:r>
      <w:r>
        <w:rPr>
          <w:rFonts w:hint="eastAsia" w:ascii="宋体" w:hAnsi="宋体" w:eastAsia="宋体" w:cs="宋体"/>
          <w:bCs/>
          <w:color w:val="auto"/>
          <w:sz w:val="24"/>
          <w:szCs w:val="24"/>
          <w:highlight w:val="none"/>
        </w:rPr>
        <w:t xml:space="preserve">   </w:t>
      </w:r>
    </w:p>
    <w:p w14:paraId="2CEE2B79">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第三条 </w:t>
      </w:r>
      <w:r>
        <w:rPr>
          <w:rFonts w:hint="eastAsia" w:ascii="宋体" w:hAnsi="宋体" w:eastAsia="宋体" w:cs="宋体"/>
          <w:bCs/>
          <w:color w:val="auto"/>
          <w:sz w:val="24"/>
          <w:szCs w:val="24"/>
          <w:highlight w:val="none"/>
          <w:lang w:val="en-US" w:eastAsia="zh-CN"/>
        </w:rPr>
        <w:t>服务期限</w:t>
      </w:r>
    </w:p>
    <w:p w14:paraId="39AC8E96">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1.服务期限：1年</w:t>
      </w:r>
      <w:r>
        <w:rPr>
          <w:rFonts w:hint="eastAsia" w:ascii="宋体" w:hAnsi="宋体" w:eastAsia="宋体" w:cs="宋体"/>
          <w:bCs/>
          <w:color w:val="auto"/>
          <w:sz w:val="24"/>
          <w:szCs w:val="24"/>
          <w:highlight w:val="none"/>
        </w:rPr>
        <w:t> </w:t>
      </w:r>
    </w:p>
    <w:p w14:paraId="226B029A">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2.车辆保险续保时长：1年</w:t>
      </w:r>
    </w:p>
    <w:p w14:paraId="7DE2ACB0">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第四条  甲方责任、权利、义务 </w:t>
      </w:r>
    </w:p>
    <w:p w14:paraId="2B5F325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1.甲方按照合同的约定提供</w:t>
      </w:r>
      <w:r>
        <w:rPr>
          <w:rFonts w:hint="eastAsia" w:ascii="宋体" w:hAnsi="宋体" w:eastAsia="宋体" w:cs="宋体"/>
          <w:bCs/>
          <w:color w:val="auto"/>
          <w:sz w:val="24"/>
          <w:szCs w:val="24"/>
          <w:highlight w:val="none"/>
          <w:lang w:val="en-US" w:eastAsia="zh-CN"/>
        </w:rPr>
        <w:t>年度内所有</w:t>
      </w:r>
      <w:r>
        <w:rPr>
          <w:rFonts w:hint="eastAsia" w:ascii="宋体" w:hAnsi="宋体" w:eastAsia="宋体" w:cs="宋体"/>
          <w:bCs/>
          <w:color w:val="auto"/>
          <w:sz w:val="24"/>
          <w:szCs w:val="24"/>
          <w:highlight w:val="none"/>
        </w:rPr>
        <w:t>辆车的购买保险所需的基本资料，并及时支付保费； </w:t>
      </w:r>
    </w:p>
    <w:p w14:paraId="7273BC6B">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2.甲方负责监督乙方的保险条款、理赔进度、定点维修等，并提出整改的权利； </w:t>
      </w:r>
    </w:p>
    <w:p w14:paraId="68E74454">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3.做好各工序的统筹安排。  </w:t>
      </w:r>
    </w:p>
    <w:p w14:paraId="72BE7318">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第五条 乙方责任、权利、义务 </w:t>
      </w:r>
    </w:p>
    <w:p w14:paraId="54BF5F49">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1.乙方所提供的险种必须符合国家规定的保险标准。 </w:t>
      </w:r>
    </w:p>
    <w:p w14:paraId="7A16FC1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2.乙方应遵守、严格执行甲方每辆车所购买的险种的规章制度。 </w:t>
      </w:r>
    </w:p>
    <w:p w14:paraId="66D1D992">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3.乙方应根据甲方每辆车的实际要求、保险到期时间，每辆车单独签一份保险合同。</w:t>
      </w:r>
    </w:p>
    <w:p w14:paraId="4E3EDA49">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4.乙方应提供良好的售后服务：实行365天×24小时报案受理、咨询服务，包括报案、</w:t>
      </w:r>
      <w:r>
        <w:rPr>
          <w:rFonts w:hint="eastAsia" w:ascii="宋体" w:hAnsi="宋体" w:eastAsia="宋体" w:cs="宋体"/>
          <w:bCs/>
          <w:color w:val="auto"/>
          <w:sz w:val="24"/>
          <w:szCs w:val="24"/>
          <w:highlight w:val="none"/>
          <w:lang w:eastAsia="zh-CN"/>
        </w:rPr>
        <w:t>现场勘查</w:t>
      </w:r>
      <w:r>
        <w:rPr>
          <w:rFonts w:hint="eastAsia" w:ascii="宋体" w:hAnsi="宋体" w:eastAsia="宋体" w:cs="宋体"/>
          <w:bCs/>
          <w:color w:val="auto"/>
          <w:sz w:val="24"/>
          <w:szCs w:val="24"/>
          <w:highlight w:val="none"/>
        </w:rPr>
        <w:t>、定损点、维修、理赔等的服务，当甲方车辆报案时，乙方必须在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30  </w:t>
      </w:r>
      <w:r>
        <w:rPr>
          <w:rFonts w:hint="eastAsia" w:ascii="宋体" w:hAnsi="宋体" w:eastAsia="宋体" w:cs="宋体"/>
          <w:bCs/>
          <w:color w:val="auto"/>
          <w:sz w:val="24"/>
          <w:szCs w:val="24"/>
          <w:highlight w:val="none"/>
        </w:rPr>
        <w:t>分钟内到达事故现场勘察，做好理赔工作，提供方便甲方的定损点和维修点，以及专员处理索赔，接到报案后</w:t>
      </w:r>
      <w:r>
        <w:rPr>
          <w:rFonts w:hint="eastAsia" w:ascii="宋体" w:hAnsi="宋体" w:eastAsia="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小时完成理赔事项服务，从索赔到赔款时间不得超</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个工作日。 </w:t>
      </w:r>
    </w:p>
    <w:p w14:paraId="7A37730B">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5.甲方向乙方提供险种保期，如脱保则由乙方承担一切责任。 </w:t>
      </w:r>
    </w:p>
    <w:p w14:paraId="74D33BB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6.根据现行税法规定对乙方征收的、与本合同有关的一切税费，均由乙方承担。 </w:t>
      </w:r>
    </w:p>
    <w:p w14:paraId="01A16B44">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第六条 履约保证金</w:t>
      </w:r>
    </w:p>
    <w:p w14:paraId="043F94B1">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1.乙方交纳人民币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拾万元</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作为本合同的履约保证金。</w:t>
      </w:r>
    </w:p>
    <w:p w14:paraId="0A47E60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2.履约保证金缴纳形式：乙方自主选择以支票、汇票、本票或者金融机构、担保机构出具的保函（保险）等非现金形式提交（根据苏财购</w:t>
      </w:r>
      <w:r>
        <w:rPr>
          <w:rFonts w:hint="eastAsia" w:ascii="宋体" w:hAnsi="宋体" w:eastAsia="宋体" w:cs="宋体"/>
          <w:bCs/>
          <w:color w:val="auto"/>
          <w:sz w:val="24"/>
          <w:szCs w:val="24"/>
          <w:highlight w:val="none"/>
          <w:lang w:eastAsia="zh-CN"/>
        </w:rPr>
        <w:t>〔2023〕150号</w:t>
      </w:r>
      <w:r>
        <w:rPr>
          <w:rFonts w:hint="eastAsia" w:ascii="宋体" w:hAnsi="宋体" w:eastAsia="宋体" w:cs="宋体"/>
          <w:bCs/>
          <w:color w:val="auto"/>
          <w:sz w:val="24"/>
          <w:szCs w:val="24"/>
          <w:highlight w:val="none"/>
        </w:rPr>
        <w:t>《关于在全省政府采购领域推行电子履约保函</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保险</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的通知》乙方可选择电子保函</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保险</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的形式），鼓励供应商自愿使用履约保函（保险）代替缴纳履约保证金。</w:t>
      </w:r>
    </w:p>
    <w:p w14:paraId="5D014E75">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3.按《关于在政府采购活动中应用第三方信用报告落实“信易购”应用场景的通知》（东财购</w:t>
      </w:r>
      <w:r>
        <w:rPr>
          <w:rFonts w:hint="eastAsia" w:ascii="宋体" w:hAnsi="宋体" w:eastAsia="宋体" w:cs="宋体"/>
          <w:bCs/>
          <w:color w:val="auto"/>
          <w:sz w:val="24"/>
          <w:szCs w:val="24"/>
          <w:highlight w:val="none"/>
          <w:lang w:eastAsia="zh-CN"/>
        </w:rPr>
        <w:t>〔2021〕15号</w:t>
      </w:r>
      <w:r>
        <w:rPr>
          <w:rFonts w:hint="eastAsia" w:ascii="宋体" w:hAnsi="宋体" w:eastAsia="宋体" w:cs="宋体"/>
          <w:bCs/>
          <w:color w:val="auto"/>
          <w:sz w:val="24"/>
          <w:szCs w:val="24"/>
          <w:highlight w:val="none"/>
        </w:rPr>
        <w:t>）要求，乙方在签订采购合同前提供信用管理部门备案的第三方信用报告，且信用报告通过“信用盐城网”可查实的，则免收履约保证金。</w:t>
      </w:r>
    </w:p>
    <w:p w14:paraId="63D27F4E">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4.合同履行结束后，甲方应及时退还交纳的履约保证金。</w:t>
      </w:r>
    </w:p>
    <w:p w14:paraId="1AFFAF10">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5.履约保证金的退还：</w:t>
      </w:r>
    </w:p>
    <w:p w14:paraId="7D2EC258">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5.1方式：无息退还至投标人缴纳履约保证金的账户。如为保函，在到期时自行失效。</w:t>
      </w:r>
    </w:p>
    <w:p w14:paraId="30B4A35D">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5.2时间：验收合格且采购人收到发票后30日内。</w:t>
      </w:r>
    </w:p>
    <w:p w14:paraId="4D172397">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5.3条件：按合同要求全部履约完成并经采购人验收合格，且采购人收到中标人出具的发票。</w:t>
      </w:r>
    </w:p>
    <w:p w14:paraId="2D018A35">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5.4不予退还情形：</w:t>
      </w:r>
    </w:p>
    <w:p w14:paraId="25A45EEC">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除不可抗力情况外，投标人出现下列情形之一的，其履约保证金，招标人将视情节决定不予退还或部分不予退还。</w:t>
      </w:r>
    </w:p>
    <w:p w14:paraId="1EE967D3">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（1）中标人无正当理由拒绝签订合同的，或者在签订合同时向采购人提出附加条件或者更改合同实质性内容要求的；</w:t>
      </w:r>
    </w:p>
    <w:p w14:paraId="1D3D90AB">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（2）中标人不履行与采购人订立的合同的；</w:t>
      </w:r>
    </w:p>
    <w:p w14:paraId="19140028">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（3）中标人所供货物或服务不符合招标文件规定要求的；</w:t>
      </w:r>
    </w:p>
    <w:p w14:paraId="2527A3DB">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（4）中标人采取欺骗、弄虚作假方式投标的或与</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投标人串通投标的；</w:t>
      </w:r>
    </w:p>
    <w:p w14:paraId="2A59FD8B">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（5）中标人将合同内容转包、违法分包的；</w:t>
      </w:r>
    </w:p>
    <w:p w14:paraId="7EEBFD7D">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（6）中标人故意捏造事实或伪造证明材料，进行虚假恶意投诉或反映的。</w:t>
      </w:r>
    </w:p>
    <w:p w14:paraId="2E9685F7">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5.5逾期退还的违约责任：采购人逾期无故未退还履约保证金的，按中国人民银行同期贷款基准利率上浮20%后的利率支付超期资金占用费，但因供应商自身原因导致无法及时退还的除外。</w:t>
      </w:r>
    </w:p>
    <w:p w14:paraId="766D5946">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第七条 由于每辆车保险到期时间不同，在签订本合同后，根据每辆车实际到期时间，单独</w:t>
      </w:r>
      <w:r>
        <w:rPr>
          <w:rFonts w:hint="eastAsia" w:ascii="宋体" w:hAnsi="宋体" w:eastAsia="宋体" w:cs="宋体"/>
          <w:bCs/>
          <w:color w:val="auto"/>
          <w:sz w:val="24"/>
          <w:szCs w:val="24"/>
          <w:highlight w:val="none"/>
          <w:lang w:eastAsia="zh-CN"/>
        </w:rPr>
        <w:t>签订</w:t>
      </w:r>
      <w:r>
        <w:rPr>
          <w:rFonts w:hint="eastAsia" w:ascii="宋体" w:hAnsi="宋体" w:eastAsia="宋体" w:cs="宋体"/>
          <w:bCs/>
          <w:color w:val="auto"/>
          <w:sz w:val="24"/>
          <w:szCs w:val="24"/>
          <w:highlight w:val="none"/>
        </w:rPr>
        <w:t xml:space="preserve">保险合同。合同未尽事宜，双方另行协商解决。本合同在执行中发生的争议应及时协商解决，协商不成，可提交 </w:t>
      </w:r>
      <w:r>
        <w:rPr>
          <w:rFonts w:hint="eastAsia" w:ascii="宋体" w:hAnsi="宋体" w:eastAsia="宋体" w:cs="宋体"/>
          <w:bCs/>
          <w:color w:val="auto"/>
          <w:sz w:val="24"/>
          <w:szCs w:val="24"/>
          <w:highlight w:val="none"/>
          <w:u w:val="single"/>
          <w:lang w:val="en-US" w:eastAsia="zh-CN"/>
        </w:rPr>
        <w:t xml:space="preserve">  响水县      </w:t>
      </w:r>
      <w:r>
        <w:rPr>
          <w:rFonts w:hint="eastAsia" w:ascii="宋体" w:hAnsi="宋体" w:eastAsia="宋体" w:cs="宋体"/>
          <w:bCs/>
          <w:color w:val="auto"/>
          <w:sz w:val="24"/>
          <w:szCs w:val="24"/>
          <w:highlight w:val="none"/>
        </w:rPr>
        <w:t>人民法院审理。  </w:t>
      </w:r>
    </w:p>
    <w:p w14:paraId="31EADEAE">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第八条 违约终止合同</w:t>
      </w:r>
    </w:p>
    <w:p w14:paraId="6779719C">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1.在本合同执行过程中，甲方将定期对乙方执行合同的情况进行检查，如有下列情况出现，甲方可向乙方发出终止合同的书面通知书：</w:t>
      </w:r>
    </w:p>
    <w:p w14:paraId="45E59A1F">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（1）接到甲方通知后，乙方未及时上门签订机动车辆保险单，给甲方造成重大损失的；</w:t>
      </w:r>
    </w:p>
    <w:p w14:paraId="0A24B313">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（2）未经甲方同意，乙方擅自增加保险险种签订机动车辆保险单的；</w:t>
      </w:r>
    </w:p>
    <w:p w14:paraId="4F4CCC64">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（3）如果手续齐全的赔案在乙方承诺的支付赔款时限内未能支付完毕，情节严重的；</w:t>
      </w:r>
    </w:p>
    <w:p w14:paraId="7D9093B3">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（4）严重违反本合同条款的情况。</w:t>
      </w:r>
    </w:p>
    <w:p w14:paraId="71981049">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2.乙方在任何情况下都不得向甲方经办人提供任何形式的回扣，一经发现，甲方可立即全面终止合同的执行，并没收履约保证金，同时提请有关部门追究有关当事人的责任。</w:t>
      </w:r>
    </w:p>
    <w:p w14:paraId="1A611A8F">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3.在甲方根据上述规定，终止了全部或部分合同后，甲方可以依其认为适当的条件和方法与其他保险机构签订保险合同，乙方应对甲方签订新的保险合同所超出的那部分费用负责。</w:t>
      </w:r>
    </w:p>
    <w:p w14:paraId="32365B8C">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4.乙方签订的机动车辆保险单的保险期限违反合同所约定的有效期限规定的，一经发现，甲方可立即全面终止合同的执行，并没收履约保证金。</w:t>
      </w:r>
    </w:p>
    <w:p w14:paraId="4950FCA6">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第九条 转让</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除甲方事先书面同意外，乙方不得部分转让或全部转让其应履行的合同义务。</w:t>
      </w:r>
    </w:p>
    <w:p w14:paraId="358A5E40">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第十条 变动约定</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在合同有效期内，如因国家保险政策变化而引起保险费用发生较大幅度变动的，由甲、乙双方协商解决。</w:t>
      </w:r>
    </w:p>
    <w:p w14:paraId="79BDE98E">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第十一条 </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事项 </w:t>
      </w:r>
    </w:p>
    <w:p w14:paraId="796A0AAE">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1.根据省、市有关规定，本合同保险项目严禁转包及分包，否则，由此造成的一切后果概由乙方负责。 </w:t>
      </w:r>
    </w:p>
    <w:p w14:paraId="1B19358A">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2.本保险采购文件为本合同附件，与本合同具有同等效力。</w:t>
      </w:r>
    </w:p>
    <w:p w14:paraId="5CB2B53E">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第十二条 本合同未尽事宜，由甲、乙双方依据采购文件、中标人的投标文件另行协商解决。</w:t>
      </w:r>
    </w:p>
    <w:p w14:paraId="3F600738">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第十三条 本合同由下列文件共同构成：</w:t>
      </w:r>
    </w:p>
    <w:p w14:paraId="4B03D17A">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1.本合同书；</w:t>
      </w:r>
    </w:p>
    <w:p w14:paraId="2AB9A294">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2.中标通知书；</w:t>
      </w:r>
    </w:p>
    <w:p w14:paraId="606BE075">
      <w:pPr>
        <w:pStyle w:val="14"/>
        <w:keepNext w:val="0"/>
        <w:keepLines w:val="0"/>
        <w:pageBreakBefore w:val="0"/>
        <w:widowControl w:val="0"/>
        <w:numPr>
          <w:ilvl w:val="0"/>
          <w:numId w:val="0"/>
        </w:numPr>
        <w:tabs>
          <w:tab w:val="center" w:pos="4873"/>
        </w:tabs>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3.招标人的招标文件及其补充（答疑）资料；</w:t>
      </w:r>
      <w:r>
        <w:rPr>
          <w:rFonts w:hint="eastAsia" w:ascii="宋体" w:hAnsi="宋体" w:eastAsia="宋体" w:cs="宋体"/>
          <w:bCs/>
          <w:color w:val="auto"/>
          <w:sz w:val="24"/>
          <w:szCs w:val="24"/>
          <w:highlight w:val="none"/>
          <w:lang w:eastAsia="zh-CN"/>
        </w:rPr>
        <w:tab/>
      </w:r>
    </w:p>
    <w:p w14:paraId="180B7159">
      <w:pPr>
        <w:pStyle w:val="14"/>
        <w:keepNext w:val="0"/>
        <w:keepLines w:val="0"/>
        <w:pageBreakBefore w:val="0"/>
        <w:widowControl w:val="0"/>
        <w:numPr>
          <w:ilvl w:val="0"/>
          <w:numId w:val="0"/>
        </w:numPr>
        <w:tabs>
          <w:tab w:val="center" w:pos="4873"/>
        </w:tabs>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4.中标人的投标文件及其补充（澄清）资料。</w:t>
      </w:r>
    </w:p>
    <w:p w14:paraId="2FE15CC6">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十四、解决争议的方法</w:t>
      </w:r>
    </w:p>
    <w:p w14:paraId="3643380D">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双方在签订、履行合同中所发生的一切争议，应通过友好协商解决。如协商不成，由甲方住所地人民法院管辖。</w:t>
      </w:r>
    </w:p>
    <w:p w14:paraId="3698C2EA">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十五、合同生效及其</w:t>
      </w:r>
      <w:r>
        <w:rPr>
          <w:rFonts w:hint="eastAsia" w:ascii="宋体" w:hAnsi="宋体" w:eastAsia="宋体" w:cs="宋体"/>
          <w:bCs/>
          <w:color w:val="auto"/>
          <w:sz w:val="24"/>
          <w:szCs w:val="24"/>
          <w:highlight w:val="none"/>
          <w:lang w:eastAsia="zh-CN"/>
        </w:rPr>
        <w:t>他</w:t>
      </w:r>
    </w:p>
    <w:p w14:paraId="52CE8E85">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1.合同经双方法定代表人或授权委托代表人签字并加盖单位公章后生效。</w:t>
      </w:r>
    </w:p>
    <w:p w14:paraId="41703321">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2.本合同未尽事宜，遵照《</w:t>
      </w:r>
      <w:r>
        <w:rPr>
          <w:rFonts w:hint="eastAsia" w:ascii="宋体" w:hAnsi="宋体" w:eastAsia="宋体" w:cs="宋体"/>
          <w:bCs/>
          <w:color w:val="auto"/>
          <w:sz w:val="24"/>
          <w:szCs w:val="24"/>
          <w:highlight w:val="none"/>
          <w:lang w:eastAsia="zh-CN"/>
        </w:rPr>
        <w:t>中华人民共和国民法典</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中华人民共和国政府采购法</w:t>
      </w:r>
      <w:r>
        <w:rPr>
          <w:rFonts w:hint="eastAsia" w:ascii="宋体" w:hAnsi="宋体" w:eastAsia="宋体" w:cs="宋体"/>
          <w:bCs/>
          <w:color w:val="auto"/>
          <w:sz w:val="24"/>
          <w:szCs w:val="24"/>
          <w:highlight w:val="none"/>
        </w:rPr>
        <w:t>》有关条文执行。</w:t>
      </w:r>
    </w:p>
    <w:p w14:paraId="75DC45B8">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3.本合同一式</w:t>
      </w:r>
      <w:r>
        <w:rPr>
          <w:rFonts w:hint="eastAsia" w:ascii="宋体" w:hAnsi="宋体" w:eastAsia="宋体" w:cs="宋体"/>
          <w:bCs/>
          <w:color w:val="auto"/>
          <w:sz w:val="24"/>
          <w:szCs w:val="24"/>
          <w:highlight w:val="none"/>
          <w:u w:val="single"/>
        </w:rPr>
        <w:t xml:space="preserve"> 六 </w:t>
      </w:r>
      <w:r>
        <w:rPr>
          <w:rFonts w:hint="eastAsia" w:ascii="宋体" w:hAnsi="宋体" w:eastAsia="宋体" w:cs="宋体"/>
          <w:bCs/>
          <w:color w:val="auto"/>
          <w:sz w:val="24"/>
          <w:szCs w:val="24"/>
          <w:highlight w:val="none"/>
        </w:rPr>
        <w:t>份，甲乙双方各执两份，其余用于相关单位存档。</w:t>
      </w:r>
    </w:p>
    <w:p w14:paraId="51A2520D">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3465FB5">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乙方： </w:t>
      </w:r>
    </w:p>
    <w:p w14:paraId="131886D6">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地址： </w:t>
      </w:r>
    </w:p>
    <w:p w14:paraId="180571E0">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        法定代表人或授权代表：</w:t>
      </w:r>
    </w:p>
    <w:p w14:paraId="52FB12F6">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                 联系电话：          </w:t>
      </w:r>
    </w:p>
    <w:p w14:paraId="1F2B03F5">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p>
    <w:p w14:paraId="48ABA1C0">
      <w:pPr>
        <w:pStyle w:val="1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p>
    <w:p w14:paraId="1FDFB706">
      <w:pPr>
        <w:pStyle w:val="14"/>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00" w:lineRule="exact"/>
        <w:ind w:left="0" w:leftChars="0" w:right="0" w:firstLine="480" w:firstLineChars="200"/>
        <w:jc w:val="center"/>
        <w:textAlignment w:val="auto"/>
        <w:outlineLvl w:val="9"/>
        <w:rPr>
          <w:color w:val="auto"/>
          <w:highlight w:val="none"/>
        </w:rPr>
      </w:pPr>
      <w:r>
        <w:rPr>
          <w:rFonts w:hint="eastAsia" w:ascii="宋体" w:hAnsi="宋体" w:eastAsia="宋体" w:cs="宋体"/>
          <w:color w:val="auto"/>
          <w:sz w:val="24"/>
          <w:szCs w:val="24"/>
          <w:highlight w:val="none"/>
        </w:rPr>
        <w:t>签订日期：      年    月   日</w:t>
      </w:r>
      <w:r>
        <w:rPr>
          <w:rFonts w:hint="eastAsia" w:ascii="宋体" w:hAnsi="宋体" w:eastAsia="宋体" w:cs="宋体"/>
          <w:color w:val="auto"/>
          <w:sz w:val="24"/>
          <w:szCs w:val="24"/>
          <w:highlight w:val="none"/>
        </w:rPr>
        <w:br w:type="page" w:clear="all"/>
      </w:r>
      <w:r>
        <w:rPr>
          <w:rFonts w:hint="eastAsia" w:ascii="黑体" w:hAnsi="宋体" w:eastAsia="黑体" w:cs="黑体"/>
          <w:color w:val="auto"/>
          <w:sz w:val="44"/>
          <w:szCs w:val="44"/>
          <w:highlight w:val="none"/>
        </w:rPr>
        <w:t>第四章 采购需求</w:t>
      </w:r>
      <w:bookmarkStart w:id="165" w:name="_Toc26554093"/>
      <w:bookmarkEnd w:id="165"/>
      <w:bookmarkStart w:id="166" w:name="_Toc49090575"/>
      <w:bookmarkEnd w:id="166"/>
    </w:p>
    <w:p w14:paraId="2FA4A397">
      <w:pPr>
        <w:pStyle w:val="14"/>
        <w:keepLines w:val="0"/>
        <w:pageBreakBefore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eastAsia="宋体" w:cs="宋体"/>
          <w:color w:val="auto"/>
          <w:sz w:val="24"/>
          <w:szCs w:val="24"/>
          <w:highlight w:val="none"/>
          <w:lang w:val="en-US" w:eastAsia="zh-CN"/>
        </w:rPr>
        <w:t xml:space="preserve"> 一、</w:t>
      </w:r>
      <w:r>
        <w:rPr>
          <w:rFonts w:hint="eastAsia" w:ascii="宋体" w:hAnsi="宋体" w:eastAsia="宋体" w:cs="宋体"/>
          <w:i w:val="0"/>
          <w:iCs w:val="0"/>
          <w:caps w:val="0"/>
          <w:color w:val="auto"/>
          <w:spacing w:val="0"/>
          <w:sz w:val="24"/>
          <w:szCs w:val="24"/>
          <w:highlight w:val="none"/>
          <w:shd w:val="clear" w:color="auto" w:fill="auto"/>
        </w:rPr>
        <w:t>采购需求：</w:t>
      </w:r>
    </w:p>
    <w:p w14:paraId="15CA249A">
      <w:pPr>
        <w:pStyle w:val="14"/>
        <w:pageBreakBefore w:val="0"/>
        <w:kinsoku/>
        <w:wordWrap/>
        <w:overflowPunct/>
        <w:topLinePunct w:val="0"/>
        <w:autoSpaceDE/>
        <w:autoSpaceDN/>
        <w:bidi w:val="0"/>
        <w:adjustRightInd w:val="0"/>
        <w:snapToGrid w:val="0"/>
        <w:spacing w:before="0" w:beforeAutospacing="0" w:after="0" w:afterAutospacing="0" w:line="400" w:lineRule="exact"/>
        <w:ind w:right="0" w:firstLine="480" w:firstLineChars="200"/>
        <w:jc w:val="left"/>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shd w:val="clear" w:color="auto" w:fill="auto"/>
          <w:lang w:val="en-US" w:eastAsia="zh-CN"/>
        </w:rPr>
        <w:t>1.1对本公司92辆</w:t>
      </w:r>
      <w:r>
        <w:rPr>
          <w:rFonts w:hint="eastAsia" w:ascii="宋体" w:hAnsi="宋体" w:eastAsia="宋体" w:cs="宋体"/>
          <w:b w:val="0"/>
          <w:bCs w:val="0"/>
          <w:color w:val="auto"/>
          <w:sz w:val="24"/>
          <w:szCs w:val="24"/>
          <w:highlight w:val="none"/>
          <w:u w:val="none"/>
          <w:lang w:val="en-US" w:eastAsia="zh-CN"/>
        </w:rPr>
        <w:t>柴油车</w:t>
      </w:r>
      <w:r>
        <w:rPr>
          <w:rFonts w:hint="eastAsia" w:ascii="宋体" w:hAnsi="宋体" w:eastAsia="宋体" w:cs="宋体"/>
          <w:b w:val="0"/>
          <w:bCs w:val="0"/>
          <w:color w:val="auto"/>
          <w:sz w:val="24"/>
          <w:szCs w:val="24"/>
          <w:highlight w:val="none"/>
          <w:u w:val="none"/>
          <w:shd w:val="clear" w:color="auto" w:fill="auto"/>
          <w:lang w:val="en-US" w:eastAsia="zh-CN"/>
        </w:rPr>
        <w:t>汽车进行车辆保险服务进行</w:t>
      </w:r>
      <w:r>
        <w:rPr>
          <w:rFonts w:hint="eastAsia" w:ascii="宋体" w:hAnsi="宋体" w:eastAsia="宋体" w:cs="宋体"/>
          <w:b w:val="0"/>
          <w:bCs w:val="0"/>
          <w:color w:val="auto"/>
          <w:sz w:val="24"/>
          <w:szCs w:val="24"/>
          <w:highlight w:val="none"/>
          <w:u w:val="none"/>
          <w:lang w:val="en-US" w:eastAsia="zh-CN"/>
        </w:rPr>
        <w:t>采购；</w:t>
      </w:r>
    </w:p>
    <w:p w14:paraId="79D0A0CD">
      <w:pPr>
        <w:pStyle w:val="14"/>
        <w:pageBreakBefore w:val="0"/>
        <w:kinsoku/>
        <w:wordWrap/>
        <w:overflowPunct/>
        <w:topLinePunct w:val="0"/>
        <w:autoSpaceDE/>
        <w:autoSpaceDN/>
        <w:bidi w:val="0"/>
        <w:adjustRightInd w:val="0"/>
        <w:snapToGrid w:val="0"/>
        <w:spacing w:before="0" w:beforeAutospacing="0" w:after="0" w:afterAutospacing="0" w:line="400" w:lineRule="exact"/>
        <w:ind w:right="0" w:firstLine="480" w:firstLineChars="200"/>
        <w:jc w:val="left"/>
        <w:textAlignment w:val="auto"/>
        <w:outlineLvl w:val="9"/>
        <w:rPr>
          <w:rFonts w:hint="eastAsia" w:ascii="宋体" w:hAnsi="宋体" w:eastAsia="宋体" w:cs="宋体"/>
          <w:b/>
          <w:bCs/>
          <w:color w:val="auto"/>
          <w:sz w:val="24"/>
          <w:szCs w:val="24"/>
          <w:highlight w:val="none"/>
          <w:u w:val="single"/>
          <w:lang w:val="en-US" w:eastAsia="zh-CN"/>
        </w:rPr>
      </w:pPr>
      <w:r>
        <w:rPr>
          <w:rFonts w:hint="eastAsia" w:ascii="宋体" w:hAnsi="宋体" w:cs="宋体"/>
          <w:color w:val="auto"/>
          <w:sz w:val="24"/>
          <w:szCs w:val="24"/>
          <w:highlight w:val="none"/>
          <w:lang w:val="en-US" w:eastAsia="zh-CN"/>
        </w:rPr>
        <w:t>1.2车险</w:t>
      </w:r>
      <w:r>
        <w:rPr>
          <w:rFonts w:hint="eastAsia" w:ascii="宋体" w:hAnsi="宋体" w:cs="宋体"/>
          <w:color w:val="auto"/>
          <w:sz w:val="24"/>
          <w:szCs w:val="24"/>
          <w:highlight w:val="none"/>
        </w:rPr>
        <w:t>含</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交通事故责任强制保险（不含车船使用税）</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第三者责任保险</w:t>
      </w:r>
      <w:r>
        <w:rPr>
          <w:rFonts w:hint="eastAsia" w:ascii="宋体" w:hAnsi="宋体" w:cs="宋体"/>
          <w:color w:val="auto"/>
          <w:sz w:val="24"/>
          <w:szCs w:val="24"/>
          <w:highlight w:val="none"/>
          <w:lang w:val="en-US" w:eastAsia="zh-CN"/>
        </w:rPr>
        <w:t>300万</w:t>
      </w:r>
      <w:r>
        <w:rPr>
          <w:rFonts w:hint="eastAsia" w:ascii="宋体" w:hAnsi="宋体" w:cs="宋体"/>
          <w:color w:val="auto"/>
          <w:sz w:val="24"/>
          <w:szCs w:val="24"/>
          <w:highlight w:val="none"/>
        </w:rPr>
        <w:t>（不计免赔）</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车辆损失险（不计免赔）、</w:t>
      </w:r>
      <w:r>
        <w:rPr>
          <w:rFonts w:hint="eastAsia" w:ascii="宋体" w:hAnsi="宋体" w:cs="宋体"/>
          <w:color w:val="auto"/>
          <w:sz w:val="24"/>
          <w:szCs w:val="24"/>
          <w:highlight w:val="none"/>
          <w:lang w:val="en-US" w:eastAsia="zh-CN"/>
        </w:rPr>
        <w:t>承运人责任险</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150</w:t>
      </w:r>
      <w:r>
        <w:rPr>
          <w:rFonts w:hint="eastAsia" w:ascii="宋体" w:hAnsi="宋体" w:cs="宋体"/>
          <w:color w:val="auto"/>
          <w:sz w:val="24"/>
          <w:szCs w:val="24"/>
          <w:highlight w:val="none"/>
        </w:rPr>
        <w:t>万</w:t>
      </w:r>
      <w:r>
        <w:rPr>
          <w:rFonts w:hint="eastAsia" w:ascii="宋体" w:hAnsi="宋体" w:cs="宋体"/>
          <w:color w:val="auto"/>
          <w:sz w:val="24"/>
          <w:szCs w:val="24"/>
          <w:highlight w:val="none"/>
          <w:lang w:val="en-US" w:eastAsia="zh-CN"/>
        </w:rPr>
        <w:t>/座；</w:t>
      </w:r>
      <w:r>
        <w:rPr>
          <w:rFonts w:hint="eastAsia" w:ascii="宋体" w:hAnsi="宋体" w:cs="宋体"/>
          <w:color w:val="auto"/>
          <w:sz w:val="24"/>
          <w:szCs w:val="24"/>
          <w:highlight w:val="none"/>
        </w:rPr>
        <w:t>含不计免赔）</w:t>
      </w:r>
    </w:p>
    <w:p w14:paraId="2BB5113B">
      <w:pPr>
        <w:pStyle w:val="14"/>
        <w:pageBreakBefore w:val="0"/>
        <w:kinsoku/>
        <w:wordWrap/>
        <w:overflowPunct/>
        <w:topLinePunct w:val="0"/>
        <w:autoSpaceDE/>
        <w:autoSpaceDN/>
        <w:bidi w:val="0"/>
        <w:adjustRightInd w:val="0"/>
        <w:snapToGrid w:val="0"/>
        <w:spacing w:before="0" w:beforeAutospacing="0" w:after="0" w:afterAutospacing="0" w:line="400" w:lineRule="exact"/>
        <w:ind w:right="0" w:firstLine="480" w:firstLineChars="200"/>
        <w:jc w:val="left"/>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1.3车辆续保期限1年；</w:t>
      </w:r>
    </w:p>
    <w:p w14:paraId="3B1E888B">
      <w:pPr>
        <w:pStyle w:val="14"/>
        <w:pageBreakBefore w:val="0"/>
        <w:kinsoku/>
        <w:wordWrap/>
        <w:overflowPunct/>
        <w:topLinePunct w:val="0"/>
        <w:autoSpaceDE/>
        <w:autoSpaceDN/>
        <w:bidi w:val="0"/>
        <w:adjustRightInd w:val="0"/>
        <w:snapToGrid w:val="0"/>
        <w:spacing w:before="0" w:beforeAutospacing="0" w:after="0" w:afterAutospacing="0" w:line="400" w:lineRule="exact"/>
        <w:ind w:right="0" w:firstLine="480" w:firstLineChars="200"/>
        <w:jc w:val="left"/>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1.4所有投保车辆须满足自主定价系数低于1.35，取费标准根据中国银保监会《关于印发实施车险综合改革指导意见的通知》</w:t>
      </w:r>
    </w:p>
    <w:p w14:paraId="1FBE6137">
      <w:pPr>
        <w:pStyle w:val="14"/>
        <w:pageBreakBefore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最终以实际保险车辆为准。</w:t>
      </w:r>
    </w:p>
    <w:p w14:paraId="60CAC9CE">
      <w:pPr>
        <w:pStyle w:val="14"/>
        <w:keepLines w:val="0"/>
        <w:pageBreakBefore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default"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2</w:t>
      </w:r>
      <w:r>
        <w:rPr>
          <w:rFonts w:hint="eastAsia" w:ascii="宋体" w:hAnsi="宋体" w:eastAsia="宋体" w:cs="宋体"/>
          <w:i w:val="0"/>
          <w:iCs w:val="0"/>
          <w:caps w:val="0"/>
          <w:color w:val="auto"/>
          <w:spacing w:val="0"/>
          <w:sz w:val="24"/>
          <w:szCs w:val="24"/>
          <w:highlight w:val="none"/>
          <w:shd w:val="clear" w:color="auto" w:fill="auto"/>
        </w:rPr>
        <w:t>.合同履行期限：</w:t>
      </w:r>
      <w:r>
        <w:rPr>
          <w:rFonts w:hint="eastAsia" w:ascii="宋体" w:hAnsi="宋体" w:eastAsia="宋体" w:cs="宋体"/>
          <w:i w:val="0"/>
          <w:iCs w:val="0"/>
          <w:caps w:val="0"/>
          <w:color w:val="auto"/>
          <w:spacing w:val="0"/>
          <w:sz w:val="24"/>
          <w:szCs w:val="24"/>
          <w:highlight w:val="none"/>
          <w:shd w:val="clear" w:color="auto" w:fill="auto"/>
          <w:lang w:val="en-US" w:eastAsia="zh-CN"/>
        </w:rPr>
        <w:t>1年</w:t>
      </w:r>
    </w:p>
    <w:p w14:paraId="13F08BD5">
      <w:pPr>
        <w:keepNext w:val="0"/>
        <w:keepLines w:val="0"/>
        <w:pageBreakBefore w:val="0"/>
        <w:widowControl w:val="0"/>
        <w:kinsoku/>
        <w:wordWrap/>
        <w:overflowPunct/>
        <w:topLinePunct w:val="0"/>
        <w:autoSpaceDE/>
        <w:autoSpaceDN/>
        <w:bidi w:val="0"/>
        <w:adjustRightInd w:val="0"/>
        <w:snapToGrid w:val="0"/>
        <w:spacing w:line="500" w:lineRule="exact"/>
        <w:ind w:left="0" w:right="0" w:firstLine="482" w:firstLineChars="200"/>
        <w:jc w:val="left"/>
        <w:textAlignment w:val="auto"/>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rPr>
        <w:t>、技术要求及相关说明</w:t>
      </w:r>
    </w:p>
    <w:p w14:paraId="043B03AC">
      <w:pPr>
        <w:keepNext w:val="0"/>
        <w:keepLines w:val="0"/>
        <w:pageBreakBefore w:val="0"/>
        <w:widowControl w:val="0"/>
        <w:kinsoku/>
        <w:wordWrap/>
        <w:overflowPunct/>
        <w:topLinePunct w:val="0"/>
        <w:autoSpaceDE/>
        <w:autoSpaceDN/>
        <w:bidi w:val="0"/>
        <w:adjustRightInd w:val="0"/>
        <w:snapToGrid w:val="0"/>
        <w:spacing w:line="500" w:lineRule="exact"/>
        <w:ind w:left="0" w:right="0" w:firstLine="482" w:firstLineChars="200"/>
        <w:jc w:val="left"/>
        <w:textAlignment w:val="auto"/>
        <w:outlineLvl w:val="9"/>
        <w:rPr>
          <w:rFonts w:hint="eastAsia" w:ascii="新宋体" w:hAnsi="新宋体" w:eastAsia="新宋体" w:cs="新宋体"/>
          <w:b/>
          <w:bCs/>
          <w:color w:val="auto"/>
          <w:sz w:val="24"/>
          <w:highlight w:val="none"/>
        </w:rPr>
      </w:pPr>
      <w:bookmarkStart w:id="167" w:name="_Toc15140"/>
      <w:r>
        <w:rPr>
          <w:rFonts w:hint="eastAsia" w:ascii="新宋体" w:hAnsi="新宋体" w:eastAsia="新宋体" w:cs="新宋体"/>
          <w:b/>
          <w:bCs/>
          <w:color w:val="auto"/>
          <w:sz w:val="24"/>
          <w:highlight w:val="none"/>
        </w:rPr>
        <w:t>（一）基本服务要求</w:t>
      </w:r>
      <w:bookmarkEnd w:id="167"/>
    </w:p>
    <w:p w14:paraId="1C2B6B50">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（1）保险机构应主动上门联系与服务，并派专人与各被保险车辆签订机动车辆保险单。</w:t>
      </w:r>
    </w:p>
    <w:p w14:paraId="1EA9DBE6">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w:t>
      </w:r>
      <w:r>
        <w:rPr>
          <w:rFonts w:hint="eastAsia" w:ascii="宋体" w:hAnsi="宋体" w:eastAsia="宋体" w:cs="宋体"/>
          <w:color w:val="auto"/>
          <w:sz w:val="24"/>
          <w:szCs w:val="24"/>
          <w:highlight w:val="none"/>
          <w:lang w:eastAsia="zh-CN"/>
        </w:rPr>
        <w:t>中国银行保险监督管理委员会</w:t>
      </w:r>
      <w:r>
        <w:rPr>
          <w:rFonts w:hint="eastAsia" w:ascii="宋体" w:hAnsi="宋体" w:eastAsia="宋体" w:cs="宋体"/>
          <w:color w:val="auto"/>
          <w:sz w:val="24"/>
          <w:szCs w:val="24"/>
          <w:highlight w:val="none"/>
        </w:rPr>
        <w:t>批准的《机动车辆保险条款》及中标报价收取保险费用。</w:t>
      </w:r>
    </w:p>
    <w:p w14:paraId="138A2C9A">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）理赔服务措施：实行365天×24小时报案受理、咨询服务，接到报案后30分钟内</w:t>
      </w:r>
      <w:r>
        <w:rPr>
          <w:rFonts w:hint="eastAsia" w:ascii="宋体" w:hAnsi="宋体" w:eastAsia="宋体" w:cs="宋体"/>
          <w:color w:val="auto"/>
          <w:sz w:val="24"/>
          <w:szCs w:val="24"/>
          <w:highlight w:val="none"/>
          <w:lang w:eastAsia="zh-CN"/>
        </w:rPr>
        <w:t>到达</w:t>
      </w:r>
      <w:r>
        <w:rPr>
          <w:rFonts w:hint="eastAsia" w:ascii="宋体" w:hAnsi="宋体" w:eastAsia="宋体" w:cs="宋体"/>
          <w:color w:val="auto"/>
          <w:sz w:val="24"/>
          <w:szCs w:val="24"/>
          <w:highlight w:val="none"/>
        </w:rPr>
        <w:t>现场处理，报案后24小时内提供主动上门理赔服务。建立理赔绿色通道，并限时结案，材料齐全3天内。</w:t>
      </w:r>
    </w:p>
    <w:p w14:paraId="51A74E69">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）被保车辆出厂原配置必须包含在理赔范围内。</w:t>
      </w:r>
    </w:p>
    <w:p w14:paraId="0E2D645C">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）保费按年缴纳，以车辆各自的实际年度保险到期时间和实际要求为准，每</w:t>
      </w:r>
      <w:r>
        <w:rPr>
          <w:rFonts w:hint="eastAsia" w:ascii="宋体" w:hAnsi="宋体" w:eastAsia="宋体" w:cs="宋体"/>
          <w:color w:val="auto"/>
          <w:sz w:val="24"/>
          <w:szCs w:val="24"/>
          <w:highlight w:val="none"/>
          <w:lang w:eastAsia="zh-CN"/>
        </w:rPr>
        <w:t>一辆车</w:t>
      </w:r>
      <w:r>
        <w:rPr>
          <w:rFonts w:hint="eastAsia" w:ascii="宋体" w:hAnsi="宋体" w:eastAsia="宋体" w:cs="宋体"/>
          <w:color w:val="auto"/>
          <w:sz w:val="24"/>
          <w:szCs w:val="24"/>
          <w:highlight w:val="none"/>
        </w:rPr>
        <w:t>提供一份相应的保险。如理赔服务处理过程中发生违反保险合同约定的情况，采购人有权扣除履约保证金。</w:t>
      </w:r>
    </w:p>
    <w:p w14:paraId="0D7A47C5">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）所有车辆的险种在到期之前仍维持现状；到期后，由原承保公司转为车辆相应的中标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续保。在此期间，由</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提供目前各车辆保险缴纳的现状单位和期限，到期后，由中标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主动续保，因中标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未书面提醒或按期送保上门，导致脱保、漏保并造成采购人因事故未能获得保险理赔等损失的，中标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应予以全额赔偿。</w:t>
      </w:r>
    </w:p>
    <w:p w14:paraId="07784CA8">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）车辆因报废或政府指令性停运，须按相关规定办理退保等相关手续。</w:t>
      </w:r>
    </w:p>
    <w:p w14:paraId="62F82035">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在任何作业线路内发生事故均须免费拖车施救</w:t>
      </w:r>
      <w:r>
        <w:rPr>
          <w:rFonts w:hint="eastAsia" w:ascii="宋体" w:hAnsi="宋体" w:eastAsia="宋体" w:cs="宋体"/>
          <w:color w:val="auto"/>
          <w:sz w:val="24"/>
          <w:szCs w:val="24"/>
          <w:highlight w:val="none"/>
          <w:lang w:eastAsia="zh-CN"/>
        </w:rPr>
        <w:t>。</w:t>
      </w:r>
    </w:p>
    <w:p w14:paraId="0D721951">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针对本项目提供的增值服务内容或优惠承诺内容，中标后必须如实履行。否则采购人将按虚假应标处理，对此造成的一切责任和后果由中标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承担。</w:t>
      </w:r>
    </w:p>
    <w:p w14:paraId="1E0FC8C7">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理赔服务</w:t>
      </w:r>
    </w:p>
    <w:p w14:paraId="1E1A465F">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（1）设有24小时报案、理赔服务电话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并设专人受理索赔接待、报案。有充足的现场勘查人员和车辆。</w:t>
      </w:r>
    </w:p>
    <w:p w14:paraId="00069C9D">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应对投保车辆建立用户档案、包括不限于每月向采购人报送《车辆保险情况统计表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车辆出险理赔情况统计表》，并承诺统计填报数据</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正确性、完整性。</w:t>
      </w:r>
    </w:p>
    <w:p w14:paraId="527C4D03">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（3）人伤费用垫付：人伤事故中，伤员进行救治时，经采购人现场确认后，中标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应按规定先行垫付医疗费用（或开通医院绿色通道的形式）。</w:t>
      </w:r>
    </w:p>
    <w:p w14:paraId="129814DF">
      <w:pPr>
        <w:pStyle w:val="2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（4）因第三方对被保险机动车的损害而造成保险事故，采购人向第三方索赔的，中标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应积极协助；采购人也可以直接向中标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索赔，中标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在保险金额内先行赔付采购人，并在赔偿金额内代位行使采购人对第三方请求赔偿的权利。</w:t>
      </w:r>
    </w:p>
    <w:p w14:paraId="6D50E455">
      <w:pPr>
        <w:pStyle w:val="14"/>
        <w:keepNext/>
        <w:keepLines w:val="0"/>
        <w:pageBreakBefore w:val="0"/>
        <w:widowControl w:val="0"/>
        <w:kinsoku/>
        <w:wordWrap/>
        <w:overflowPunct/>
        <w:topLinePunct w:val="0"/>
        <w:autoSpaceDE/>
        <w:autoSpaceDN/>
        <w:bidi w:val="0"/>
        <w:adjustRightInd w:val="0"/>
        <w:snapToGrid w:val="0"/>
        <w:spacing w:beforeAutospacing="0" w:afterAutospacing="0" w:line="500" w:lineRule="exact"/>
        <w:ind w:left="0" w:right="0" w:firstLine="480" w:firstLineChars="200"/>
        <w:jc w:val="left"/>
        <w:textAlignment w:val="auto"/>
        <w:outlineLvl w:val="9"/>
        <w:rPr>
          <w:rFonts w:hint="eastAsia" w:ascii="黑体" w:eastAsia="黑体" w:cs="黑体"/>
          <w:color w:val="auto"/>
          <w:sz w:val="44"/>
          <w:szCs w:val="44"/>
          <w:highlight w:val="none"/>
          <w:shd w:val="clear" w:color="auto" w:fill="auto"/>
        </w:rPr>
      </w:pPr>
      <w:r>
        <w:rPr>
          <w:rFonts w:hint="eastAsia" w:ascii="宋体" w:hAnsi="宋体" w:eastAsia="宋体" w:cs="宋体"/>
          <w:color w:val="auto"/>
          <w:sz w:val="24"/>
          <w:szCs w:val="24"/>
          <w:highlight w:val="none"/>
        </w:rPr>
        <w:t>（5）如期间遇保险费政策性调整，项目合同价款</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同时调整</w:t>
      </w:r>
    </w:p>
    <w:p w14:paraId="773D5223">
      <w:pPr>
        <w:pStyle w:val="22"/>
        <w:keepNext w:val="0"/>
        <w:keepLines w:val="0"/>
        <w:pageBreakBefore w:val="0"/>
        <w:widowControl w:val="0"/>
        <w:kinsoku/>
        <w:wordWrap/>
        <w:overflowPunct/>
        <w:topLinePunct w:val="0"/>
        <w:autoSpaceDE/>
        <w:autoSpaceDN/>
        <w:bidi w:val="0"/>
        <w:spacing w:before="0" w:beforeAutospacing="0" w:after="0" w:afterAutospacing="0" w:line="440" w:lineRule="exact"/>
        <w:ind w:firstLine="480" w:firstLineChars="200"/>
        <w:jc w:val="left"/>
        <w:textAlignment w:val="auto"/>
        <w:outlineLvl w:val="9"/>
        <w:rPr>
          <w:rFonts w:hint="eastAsia" w:ascii="宋体" w:hAnsi="宋体" w:eastAsia="宋体" w:cs="宋体"/>
          <w:color w:val="auto"/>
          <w:sz w:val="24"/>
          <w:szCs w:val="24"/>
          <w:highlight w:val="none"/>
        </w:rPr>
      </w:pPr>
    </w:p>
    <w:p w14:paraId="49286429">
      <w:pPr>
        <w:pStyle w:val="22"/>
        <w:keepNext w:val="0"/>
        <w:keepLines w:val="0"/>
        <w:pageBreakBefore w:val="0"/>
        <w:widowControl w:val="0"/>
        <w:kinsoku/>
        <w:wordWrap/>
        <w:overflowPunct/>
        <w:topLinePunct w:val="0"/>
        <w:autoSpaceDE/>
        <w:autoSpaceDN/>
        <w:bidi w:val="0"/>
        <w:spacing w:before="0" w:beforeAutospacing="0" w:after="0" w:afterAutospacing="0" w:line="440" w:lineRule="exact"/>
        <w:ind w:firstLine="480" w:firstLineChars="200"/>
        <w:jc w:val="left"/>
        <w:textAlignment w:val="auto"/>
        <w:outlineLvl w:val="9"/>
        <w:rPr>
          <w:rFonts w:hint="eastAsia" w:ascii="宋体" w:hAnsi="宋体" w:eastAsia="宋体" w:cs="宋体"/>
          <w:color w:val="auto"/>
          <w:sz w:val="24"/>
          <w:szCs w:val="24"/>
          <w:highlight w:val="none"/>
        </w:rPr>
      </w:pPr>
    </w:p>
    <w:p w14:paraId="39BEC902">
      <w:pPr>
        <w:pStyle w:val="22"/>
        <w:keepNext w:val="0"/>
        <w:keepLines w:val="0"/>
        <w:pageBreakBefore w:val="0"/>
        <w:widowControl w:val="0"/>
        <w:kinsoku/>
        <w:wordWrap/>
        <w:overflowPunct/>
        <w:topLinePunct w:val="0"/>
        <w:autoSpaceDE/>
        <w:autoSpaceDN/>
        <w:bidi w:val="0"/>
        <w:spacing w:before="0" w:beforeAutospacing="0" w:after="0" w:afterAutospacing="0" w:line="440" w:lineRule="exact"/>
        <w:ind w:firstLine="480" w:firstLineChars="200"/>
        <w:jc w:val="left"/>
        <w:textAlignment w:val="auto"/>
        <w:outlineLvl w:val="9"/>
        <w:rPr>
          <w:rFonts w:hint="eastAsia" w:ascii="宋体" w:hAnsi="宋体" w:eastAsia="宋体" w:cs="宋体"/>
          <w:color w:val="auto"/>
          <w:sz w:val="24"/>
          <w:szCs w:val="24"/>
          <w:highlight w:val="none"/>
        </w:rPr>
      </w:pPr>
    </w:p>
    <w:p w14:paraId="5915BDA7">
      <w:pPr>
        <w:pStyle w:val="22"/>
        <w:keepNext w:val="0"/>
        <w:keepLines w:val="0"/>
        <w:pageBreakBefore w:val="0"/>
        <w:widowControl w:val="0"/>
        <w:kinsoku/>
        <w:wordWrap/>
        <w:overflowPunct/>
        <w:topLinePunct w:val="0"/>
        <w:autoSpaceDE/>
        <w:autoSpaceDN/>
        <w:bidi w:val="0"/>
        <w:spacing w:before="0" w:beforeAutospacing="0" w:after="0" w:afterAutospacing="0" w:line="440" w:lineRule="exact"/>
        <w:ind w:firstLine="480" w:firstLineChars="200"/>
        <w:jc w:val="left"/>
        <w:textAlignment w:val="auto"/>
        <w:outlineLvl w:val="9"/>
        <w:rPr>
          <w:rFonts w:hint="eastAsia" w:ascii="宋体" w:hAnsi="宋体" w:eastAsia="宋体" w:cs="宋体"/>
          <w:color w:val="auto"/>
          <w:sz w:val="24"/>
          <w:szCs w:val="24"/>
          <w:highlight w:val="none"/>
        </w:rPr>
      </w:pPr>
    </w:p>
    <w:p w14:paraId="0A30C595">
      <w:pPr>
        <w:pStyle w:val="22"/>
        <w:keepNext w:val="0"/>
        <w:keepLines w:val="0"/>
        <w:pageBreakBefore w:val="0"/>
        <w:widowControl w:val="0"/>
        <w:kinsoku/>
        <w:wordWrap/>
        <w:overflowPunct/>
        <w:topLinePunct w:val="0"/>
        <w:autoSpaceDE/>
        <w:autoSpaceDN/>
        <w:bidi w:val="0"/>
        <w:spacing w:before="0" w:beforeAutospacing="0" w:after="0" w:afterAutospacing="0" w:line="440" w:lineRule="exact"/>
        <w:ind w:firstLine="480" w:firstLineChars="200"/>
        <w:jc w:val="left"/>
        <w:textAlignment w:val="auto"/>
        <w:outlineLvl w:val="9"/>
        <w:rPr>
          <w:rFonts w:hint="eastAsia" w:ascii="宋体" w:hAnsi="宋体" w:eastAsia="宋体" w:cs="宋体"/>
          <w:color w:val="auto"/>
          <w:sz w:val="24"/>
          <w:szCs w:val="24"/>
          <w:highlight w:val="none"/>
        </w:rPr>
      </w:pPr>
    </w:p>
    <w:p w14:paraId="6150DC6C">
      <w:pPr>
        <w:pStyle w:val="22"/>
        <w:keepNext w:val="0"/>
        <w:keepLines w:val="0"/>
        <w:pageBreakBefore w:val="0"/>
        <w:widowControl w:val="0"/>
        <w:kinsoku/>
        <w:wordWrap/>
        <w:overflowPunct/>
        <w:topLinePunct w:val="0"/>
        <w:autoSpaceDE/>
        <w:autoSpaceDN/>
        <w:bidi w:val="0"/>
        <w:spacing w:before="0" w:beforeAutospacing="0" w:after="0" w:afterAutospacing="0" w:line="440" w:lineRule="exact"/>
        <w:ind w:firstLine="480" w:firstLineChars="200"/>
        <w:jc w:val="left"/>
        <w:textAlignment w:val="auto"/>
        <w:outlineLvl w:val="9"/>
        <w:rPr>
          <w:rFonts w:hint="eastAsia" w:ascii="宋体" w:hAnsi="宋体" w:eastAsia="宋体" w:cs="宋体"/>
          <w:color w:val="auto"/>
          <w:sz w:val="24"/>
          <w:szCs w:val="24"/>
          <w:highlight w:val="none"/>
        </w:rPr>
      </w:pPr>
    </w:p>
    <w:p w14:paraId="1D6E3A79">
      <w:pPr>
        <w:pStyle w:val="22"/>
        <w:keepNext w:val="0"/>
        <w:keepLines w:val="0"/>
        <w:pageBreakBefore w:val="0"/>
        <w:widowControl w:val="0"/>
        <w:kinsoku/>
        <w:wordWrap/>
        <w:overflowPunct/>
        <w:topLinePunct w:val="0"/>
        <w:autoSpaceDE/>
        <w:autoSpaceDN/>
        <w:bidi w:val="0"/>
        <w:spacing w:before="0" w:beforeAutospacing="0" w:after="0" w:afterAutospacing="0" w:line="440" w:lineRule="exact"/>
        <w:ind w:firstLine="480" w:firstLineChars="200"/>
        <w:jc w:val="left"/>
        <w:textAlignment w:val="auto"/>
        <w:outlineLvl w:val="9"/>
        <w:rPr>
          <w:rFonts w:hint="eastAsia" w:ascii="宋体" w:hAnsi="宋体" w:eastAsia="宋体" w:cs="宋体"/>
          <w:color w:val="auto"/>
          <w:sz w:val="24"/>
          <w:szCs w:val="24"/>
          <w:highlight w:val="none"/>
        </w:rPr>
      </w:pPr>
    </w:p>
    <w:p w14:paraId="4B24108C">
      <w:pPr>
        <w:pStyle w:val="22"/>
        <w:keepNext w:val="0"/>
        <w:keepLines w:val="0"/>
        <w:pageBreakBefore w:val="0"/>
        <w:widowControl w:val="0"/>
        <w:kinsoku/>
        <w:wordWrap/>
        <w:overflowPunct/>
        <w:topLinePunct w:val="0"/>
        <w:autoSpaceDE/>
        <w:autoSpaceDN/>
        <w:bidi w:val="0"/>
        <w:spacing w:before="0" w:beforeAutospacing="0" w:after="0" w:afterAutospacing="0" w:line="440" w:lineRule="exact"/>
        <w:ind w:firstLine="480" w:firstLineChars="200"/>
        <w:jc w:val="left"/>
        <w:textAlignment w:val="auto"/>
        <w:outlineLvl w:val="9"/>
        <w:rPr>
          <w:rFonts w:hint="eastAsia" w:ascii="宋体" w:hAnsi="宋体" w:eastAsia="宋体" w:cs="宋体"/>
          <w:color w:val="auto"/>
          <w:sz w:val="24"/>
          <w:szCs w:val="24"/>
          <w:highlight w:val="none"/>
        </w:rPr>
      </w:pPr>
    </w:p>
    <w:p w14:paraId="46C6E927">
      <w:pPr>
        <w:pStyle w:val="22"/>
        <w:keepNext w:val="0"/>
        <w:keepLines w:val="0"/>
        <w:pageBreakBefore w:val="0"/>
        <w:widowControl w:val="0"/>
        <w:kinsoku/>
        <w:wordWrap/>
        <w:overflowPunct/>
        <w:topLinePunct w:val="0"/>
        <w:autoSpaceDE/>
        <w:autoSpaceDN/>
        <w:bidi w:val="0"/>
        <w:spacing w:before="0" w:beforeAutospacing="0" w:after="0" w:afterAutospacing="0" w:line="440" w:lineRule="exact"/>
        <w:ind w:firstLine="480" w:firstLineChars="200"/>
        <w:jc w:val="left"/>
        <w:textAlignment w:val="auto"/>
        <w:outlineLvl w:val="9"/>
        <w:rPr>
          <w:rFonts w:hint="eastAsia" w:ascii="宋体" w:hAnsi="宋体" w:eastAsia="宋体" w:cs="宋体"/>
          <w:color w:val="auto"/>
          <w:sz w:val="24"/>
          <w:szCs w:val="24"/>
          <w:highlight w:val="none"/>
        </w:rPr>
      </w:pPr>
    </w:p>
    <w:p w14:paraId="2C63ACE4">
      <w:pPr>
        <w:pStyle w:val="14"/>
        <w:keepNext/>
        <w:spacing w:beforeAutospacing="0" w:afterAutospacing="0"/>
        <w:jc w:val="center"/>
        <w:rPr>
          <w:color w:val="auto"/>
          <w:highlight w:val="none"/>
        </w:rPr>
      </w:pPr>
      <w:r>
        <w:rPr>
          <w:color w:val="auto"/>
          <w:highlight w:val="none"/>
        </w:rPr>
        <w:t> </w:t>
      </w:r>
    </w:p>
    <w:p w14:paraId="3880A673">
      <w:pPr>
        <w:pStyle w:val="14"/>
        <w:keepNext/>
        <w:spacing w:beforeAutospacing="0" w:afterAutospacing="0"/>
        <w:jc w:val="center"/>
        <w:rPr>
          <w:color w:val="auto"/>
          <w:highlight w:val="none"/>
        </w:rPr>
      </w:pPr>
      <w:r>
        <w:rPr>
          <w:rFonts w:hint="eastAsia" w:ascii="黑体" w:hAnsi="宋体" w:eastAsia="黑体" w:cs="黑体"/>
          <w:color w:val="auto"/>
          <w:sz w:val="44"/>
          <w:szCs w:val="44"/>
          <w:highlight w:val="none"/>
        </w:rPr>
        <w:t xml:space="preserve">第五章  </w:t>
      </w:r>
      <w:r>
        <w:rPr>
          <w:rFonts w:hint="eastAsia" w:ascii="黑体" w:hAnsi="宋体" w:eastAsia="黑体" w:cs="黑体"/>
          <w:b/>
          <w:color w:val="auto"/>
          <w:sz w:val="44"/>
          <w:szCs w:val="44"/>
          <w:highlight w:val="none"/>
        </w:rPr>
        <w:t>评标方法与评标标准</w:t>
      </w:r>
    </w:p>
    <w:p w14:paraId="423C8189">
      <w:pPr>
        <w:pStyle w:val="14"/>
        <w:spacing w:beforeAutospacing="0" w:afterAutospacing="0"/>
        <w:jc w:val="both"/>
        <w:rPr>
          <w:color w:val="auto"/>
          <w:highlight w:val="none"/>
        </w:rPr>
      </w:pPr>
      <w:r>
        <w:rPr>
          <w:color w:val="auto"/>
          <w:highlight w:val="none"/>
        </w:rPr>
        <w:t> </w:t>
      </w:r>
    </w:p>
    <w:p w14:paraId="707C13F0">
      <w:pPr>
        <w:pStyle w:val="14"/>
        <w:spacing w:beforeAutospacing="0" w:afterAutospacing="0"/>
        <w:jc w:val="both"/>
        <w:rPr>
          <w:rFonts w:hint="eastAsia" w:ascii="宋体" w:hAnsi="宋体" w:eastAsia="宋体" w:cs="宋体"/>
          <w:color w:val="auto"/>
          <w:sz w:val="24"/>
          <w:szCs w:val="24"/>
          <w:highlight w:val="none"/>
        </w:rPr>
      </w:pPr>
    </w:p>
    <w:p w14:paraId="55AA3206">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一、定标原则</w:t>
      </w:r>
    </w:p>
    <w:p w14:paraId="0C16DACF">
      <w:pPr>
        <w:snapToGrid w:val="0"/>
        <w:spacing w:line="360" w:lineRule="auto"/>
        <w:ind w:firstLine="480" w:firstLineChars="200"/>
        <w:rPr>
          <w:color w:val="auto"/>
          <w:highlight w:val="none"/>
        </w:rPr>
      </w:pPr>
      <w:r>
        <w:rPr>
          <w:rFonts w:hint="eastAsia" w:ascii="宋体" w:hAnsi="宋体" w:eastAsia="宋体" w:cs="宋体"/>
          <w:bCs/>
          <w:color w:val="auto"/>
          <w:sz w:val="24"/>
          <w:szCs w:val="24"/>
          <w:highlight w:val="none"/>
        </w:rPr>
        <w:t>本项目采用</w:t>
      </w:r>
      <w:r>
        <w:rPr>
          <w:rFonts w:hint="eastAsia" w:ascii="宋体" w:hAnsi="宋体" w:eastAsia="宋体" w:cs="宋体"/>
          <w:bCs/>
          <w:color w:val="auto"/>
          <w:sz w:val="24"/>
          <w:szCs w:val="24"/>
          <w:highlight w:val="none"/>
          <w:u w:val="single"/>
        </w:rPr>
        <w:t xml:space="preserve"> 综合评分 </w:t>
      </w:r>
      <w:r>
        <w:rPr>
          <w:rFonts w:hint="eastAsia" w:ascii="宋体" w:hAnsi="宋体" w:eastAsia="宋体" w:cs="宋体"/>
          <w:bCs/>
          <w:color w:val="auto"/>
          <w:sz w:val="24"/>
          <w:szCs w:val="24"/>
          <w:highlight w:val="none"/>
        </w:rPr>
        <w:t>法</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kern w:val="0"/>
          <w:sz w:val="24"/>
          <w:szCs w:val="24"/>
          <w:highlight w:val="none"/>
        </w:rPr>
        <w:t>评标结果按评审后得分由高到低顺序排列。得分相同的，按投标报价由低到高顺序排列。得分且投标报价相同的并列，采取随机抽签方式确定排列顺序。投标文件满足招标文件全部实质性要求，且按照评审因素的量化指标评审得分最高的投标人为排名第一的中标候选人，本项目选取1名中标候选人。</w:t>
      </w:r>
      <w:r>
        <w:rPr>
          <w:color w:val="auto"/>
          <w:highlight w:val="none"/>
        </w:rPr>
        <w:t> </w:t>
      </w:r>
    </w:p>
    <w:p w14:paraId="7186E854">
      <w:pPr>
        <w:keepNext w:val="0"/>
        <w:keepLines w:val="0"/>
        <w:pageBreakBefore w:val="0"/>
        <w:spacing w:line="400" w:lineRule="exact"/>
        <w:ind w:firstLine="482"/>
        <w:rPr>
          <w:rFonts w:hint="eastAsia" w:ascii="宋体" w:hAnsi="宋体" w:eastAsia="宋体" w:cs="宋体"/>
          <w:color w:val="auto"/>
          <w:sz w:val="24"/>
          <w:szCs w:val="24"/>
          <w:highlight w:val="none"/>
        </w:rPr>
      </w:pPr>
      <w:r>
        <w:rPr>
          <w:color w:val="auto"/>
          <w:highlight w:val="none"/>
        </w:rPr>
        <w:t> </w:t>
      </w:r>
      <w:r>
        <w:rPr>
          <w:rFonts w:hint="eastAsia" w:ascii="宋体" w:hAnsi="宋体" w:eastAsia="宋体" w:cs="宋体"/>
          <w:b/>
          <w:color w:val="auto"/>
          <w:sz w:val="21"/>
          <w:szCs w:val="21"/>
          <w:highlight w:val="none"/>
        </w:rPr>
        <w:t>二、评标方法与评标标准</w:t>
      </w:r>
      <w:r>
        <w:rPr>
          <w:rFonts w:hint="eastAsia" w:ascii="宋体" w:hAnsi="宋体" w:cs="宋体"/>
          <w:b/>
          <w:color w:val="auto"/>
          <w:sz w:val="24"/>
          <w:highlight w:val="none"/>
        </w:rPr>
        <w:t>（总分值为100分）</w:t>
      </w:r>
    </w:p>
    <w:p w14:paraId="3440BD12">
      <w:pPr>
        <w:pStyle w:val="14"/>
        <w:spacing w:beforeAutospacing="0" w:afterAutospacing="0"/>
        <w:jc w:val="both"/>
        <w:rPr>
          <w:rFonts w:hint="eastAsia" w:ascii="宋体" w:hAnsi="宋体" w:eastAsia="宋体" w:cs="宋体"/>
          <w:color w:val="auto"/>
          <w:sz w:val="24"/>
          <w:szCs w:val="24"/>
          <w:highlight w:val="none"/>
        </w:rPr>
      </w:pPr>
    </w:p>
    <w:tbl>
      <w:tblPr>
        <w:tblStyle w:val="15"/>
        <w:tblW w:w="93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7"/>
        <w:gridCol w:w="738"/>
        <w:gridCol w:w="900"/>
        <w:gridCol w:w="735"/>
        <w:gridCol w:w="5261"/>
        <w:gridCol w:w="971"/>
      </w:tblGrid>
      <w:tr w14:paraId="417E4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717" w:type="dxa"/>
            <w:noWrap w:val="0"/>
            <w:vAlign w:val="center"/>
          </w:tcPr>
          <w:p w14:paraId="45041888">
            <w:pPr>
              <w:jc w:val="center"/>
              <w:rPr>
                <w:rFonts w:ascii="宋体" w:hAnsi="宋体"/>
                <w:color w:val="auto"/>
                <w:sz w:val="24"/>
                <w:highlight w:val="none"/>
              </w:rPr>
            </w:pPr>
            <w:r>
              <w:rPr>
                <w:rFonts w:hint="eastAsia" w:ascii="宋体" w:hAnsi="宋体"/>
                <w:color w:val="auto"/>
                <w:sz w:val="24"/>
                <w:highlight w:val="none"/>
              </w:rPr>
              <w:t>序号</w:t>
            </w:r>
          </w:p>
        </w:tc>
        <w:tc>
          <w:tcPr>
            <w:tcW w:w="7634" w:type="dxa"/>
            <w:gridSpan w:val="4"/>
            <w:noWrap w:val="0"/>
            <w:vAlign w:val="center"/>
          </w:tcPr>
          <w:p w14:paraId="0C812BA5">
            <w:pPr>
              <w:jc w:val="center"/>
              <w:rPr>
                <w:rFonts w:ascii="宋体" w:hAnsi="宋体"/>
                <w:color w:val="auto"/>
                <w:sz w:val="24"/>
                <w:highlight w:val="none"/>
              </w:rPr>
            </w:pPr>
            <w:r>
              <w:rPr>
                <w:rFonts w:hint="eastAsia" w:ascii="宋体" w:hAnsi="宋体"/>
                <w:color w:val="auto"/>
                <w:sz w:val="24"/>
                <w:highlight w:val="none"/>
              </w:rPr>
              <w:t>评分项</w:t>
            </w:r>
          </w:p>
        </w:tc>
        <w:tc>
          <w:tcPr>
            <w:tcW w:w="971" w:type="dxa"/>
            <w:noWrap w:val="0"/>
            <w:vAlign w:val="center"/>
          </w:tcPr>
          <w:p w14:paraId="6B396231">
            <w:pPr>
              <w:jc w:val="center"/>
              <w:rPr>
                <w:rFonts w:ascii="宋体" w:hAnsi="宋体"/>
                <w:color w:val="auto"/>
                <w:sz w:val="24"/>
                <w:highlight w:val="none"/>
              </w:rPr>
            </w:pPr>
            <w:r>
              <w:rPr>
                <w:rFonts w:hint="eastAsia" w:ascii="宋体" w:hAnsi="宋体"/>
                <w:color w:val="auto"/>
                <w:sz w:val="24"/>
                <w:highlight w:val="none"/>
              </w:rPr>
              <w:t>分值</w:t>
            </w:r>
          </w:p>
        </w:tc>
      </w:tr>
      <w:tr w14:paraId="04EC9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717" w:type="dxa"/>
            <w:noWrap w:val="0"/>
            <w:vAlign w:val="center"/>
          </w:tcPr>
          <w:p w14:paraId="4F03D2BB">
            <w:p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1</w:t>
            </w:r>
          </w:p>
        </w:tc>
        <w:tc>
          <w:tcPr>
            <w:tcW w:w="8605" w:type="dxa"/>
            <w:gridSpan w:val="5"/>
            <w:noWrap w:val="0"/>
            <w:vAlign w:val="center"/>
          </w:tcPr>
          <w:p w14:paraId="017B86D5">
            <w:p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投标报价（20分）</w:t>
            </w:r>
          </w:p>
        </w:tc>
      </w:tr>
      <w:tr w14:paraId="3C0FF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9" w:hRule="atLeast"/>
          <w:jc w:val="center"/>
        </w:trPr>
        <w:tc>
          <w:tcPr>
            <w:tcW w:w="717" w:type="dxa"/>
            <w:noWrap w:val="0"/>
            <w:vAlign w:val="center"/>
          </w:tcPr>
          <w:p w14:paraId="5BA6E1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商业险自主定价系</w:t>
            </w:r>
          </w:p>
          <w:p w14:paraId="48E267B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数</w:t>
            </w:r>
          </w:p>
          <w:p w14:paraId="2252B1D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bCs/>
                <w:color w:val="auto"/>
                <w:sz w:val="18"/>
                <w:szCs w:val="18"/>
                <w:highlight w:val="none"/>
                <w:lang w:val="en-US" w:eastAsia="zh-CN" w:bidi="ar"/>
              </w:rPr>
            </w:pPr>
          </w:p>
        </w:tc>
        <w:tc>
          <w:tcPr>
            <w:tcW w:w="7634" w:type="dxa"/>
            <w:gridSpan w:val="4"/>
            <w:noWrap w:val="0"/>
            <w:vAlign w:val="center"/>
          </w:tcPr>
          <w:p w14:paraId="7ADDEF45">
            <w:pPr>
              <w:rPr>
                <w:rFonts w:hint="eastAsia"/>
                <w:color w:val="auto"/>
                <w:highlight w:val="none"/>
              </w:rPr>
            </w:pPr>
            <w:r>
              <w:rPr>
                <w:rFonts w:hint="eastAsia"/>
                <w:color w:val="auto"/>
                <w:highlight w:val="none"/>
              </w:rPr>
              <w:t>满足招标文件要求且自主定价系数最低</w:t>
            </w:r>
            <w:r>
              <w:rPr>
                <w:rFonts w:hint="eastAsia"/>
                <w:color w:val="auto"/>
                <w:highlight w:val="none"/>
                <w:lang w:val="en-US" w:eastAsia="zh-CN"/>
              </w:rPr>
              <w:t>投标折扣率</w:t>
            </w:r>
            <w:r>
              <w:rPr>
                <w:rFonts w:hint="eastAsia"/>
                <w:color w:val="auto"/>
                <w:highlight w:val="none"/>
              </w:rPr>
              <w:t>为评标基</w:t>
            </w:r>
            <w:r>
              <w:rPr>
                <w:rFonts w:hint="eastAsia"/>
                <w:color w:val="auto"/>
                <w:highlight w:val="none"/>
                <w:lang w:val="en-US" w:eastAsia="zh-CN"/>
              </w:rPr>
              <w:t>准</w:t>
            </w:r>
            <w:r>
              <w:rPr>
                <w:rFonts w:hint="eastAsia"/>
                <w:color w:val="auto"/>
                <w:highlight w:val="none"/>
              </w:rPr>
              <w:t>价，其价格分为满分</w:t>
            </w:r>
            <w:r>
              <w:rPr>
                <w:rFonts w:hint="eastAsia"/>
                <w:color w:val="auto"/>
                <w:highlight w:val="none"/>
                <w:lang w:val="en-US" w:eastAsia="zh-CN"/>
              </w:rPr>
              <w:t>10</w:t>
            </w:r>
            <w:r>
              <w:rPr>
                <w:rFonts w:hint="eastAsia"/>
                <w:color w:val="auto"/>
                <w:highlight w:val="none"/>
              </w:rPr>
              <w:t>分。其他投标人的价格分统一按照下列公式计算：投标</w:t>
            </w:r>
            <w:r>
              <w:rPr>
                <w:rFonts w:hint="eastAsia"/>
                <w:color w:val="auto"/>
                <w:highlight w:val="none"/>
                <w:lang w:val="en-US" w:eastAsia="zh-CN"/>
              </w:rPr>
              <w:t>折扣率</w:t>
            </w:r>
            <w:r>
              <w:rPr>
                <w:rFonts w:hint="eastAsia"/>
                <w:color w:val="auto"/>
                <w:highlight w:val="none"/>
              </w:rPr>
              <w:t>得分=（评标基准价/投标</w:t>
            </w:r>
            <w:r>
              <w:rPr>
                <w:rFonts w:hint="eastAsia"/>
                <w:color w:val="auto"/>
                <w:highlight w:val="none"/>
                <w:lang w:val="en-US" w:eastAsia="zh-CN"/>
              </w:rPr>
              <w:t>折扣率</w:t>
            </w:r>
            <w:r>
              <w:rPr>
                <w:rFonts w:hint="eastAsia"/>
                <w:color w:val="auto"/>
                <w:highlight w:val="none"/>
              </w:rPr>
              <w:t>）*</w:t>
            </w:r>
            <w:r>
              <w:rPr>
                <w:rFonts w:hint="eastAsia"/>
                <w:color w:val="auto"/>
                <w:highlight w:val="none"/>
                <w:lang w:val="en-US" w:eastAsia="zh-CN"/>
              </w:rPr>
              <w:t>10</w:t>
            </w:r>
            <w:r>
              <w:rPr>
                <w:rFonts w:hint="eastAsia"/>
                <w:color w:val="auto"/>
                <w:highlight w:val="none"/>
              </w:rPr>
              <w:t>，结果保留两位小数。</w:t>
            </w:r>
          </w:p>
          <w:p w14:paraId="709C1027">
            <w:pPr>
              <w:rPr>
                <w:rFonts w:hint="default"/>
                <w:color w:val="auto"/>
                <w:highlight w:val="none"/>
                <w:lang w:val="en-US" w:eastAsia="zh-CN"/>
              </w:rPr>
            </w:pPr>
            <w:r>
              <w:rPr>
                <w:rFonts w:hint="default"/>
                <w:color w:val="auto"/>
                <w:highlight w:val="none"/>
                <w:lang w:val="en-US" w:eastAsia="zh-CN"/>
              </w:rPr>
              <w:t>注：1.所有报价均按银保监会相关规定进行报价。</w:t>
            </w:r>
          </w:p>
          <w:p w14:paraId="738F30E1">
            <w:pPr>
              <w:rPr>
                <w:rFonts w:hint="default"/>
                <w:color w:val="auto"/>
                <w:highlight w:val="none"/>
                <w:lang w:val="en-US" w:eastAsia="zh-CN"/>
              </w:rPr>
            </w:pPr>
          </w:p>
        </w:tc>
        <w:tc>
          <w:tcPr>
            <w:tcW w:w="971" w:type="dxa"/>
            <w:noWrap w:val="0"/>
            <w:vAlign w:val="center"/>
          </w:tcPr>
          <w:p w14:paraId="0D34CAB0">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0</w:t>
            </w:r>
            <w:r>
              <w:rPr>
                <w:rFonts w:hint="eastAsia" w:ascii="宋体" w:hAnsi="宋体"/>
                <w:color w:val="auto"/>
                <w:sz w:val="24"/>
                <w:highlight w:val="none"/>
                <w:lang w:eastAsia="zh-CN"/>
              </w:rPr>
              <w:t>分</w:t>
            </w:r>
          </w:p>
        </w:tc>
      </w:tr>
      <w:tr w14:paraId="3A03E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6" w:hRule="atLeast"/>
          <w:jc w:val="center"/>
        </w:trPr>
        <w:tc>
          <w:tcPr>
            <w:tcW w:w="717" w:type="dxa"/>
            <w:noWrap w:val="0"/>
            <w:vAlign w:val="center"/>
          </w:tcPr>
          <w:p w14:paraId="2E0FF9BF">
            <w:p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承运人责任</w:t>
            </w:r>
          </w:p>
          <w:p w14:paraId="6F4B4280">
            <w:p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险</w:t>
            </w:r>
          </w:p>
        </w:tc>
        <w:tc>
          <w:tcPr>
            <w:tcW w:w="7634" w:type="dxa"/>
            <w:gridSpan w:val="4"/>
            <w:noWrap w:val="0"/>
            <w:vAlign w:val="center"/>
          </w:tcPr>
          <w:p w14:paraId="32326345">
            <w:pPr>
              <w:rPr>
                <w:rFonts w:hint="eastAsia"/>
                <w:color w:val="auto"/>
                <w:highlight w:val="none"/>
                <w:lang w:val="en-US" w:eastAsia="zh-CN"/>
              </w:rPr>
            </w:pPr>
            <w:r>
              <w:rPr>
                <w:rFonts w:hint="eastAsia"/>
                <w:color w:val="auto"/>
                <w:highlight w:val="none"/>
                <w:lang w:val="en-US" w:eastAsia="zh-CN"/>
              </w:rPr>
              <w:t>满足招标文件要求且投标价格最低报价为评标基准价，其价格分为满分10分。其他投标人的价格分统一按照下列公式计算：投标报价得分=（评标基准价/投标报价）*10，结果保留两位小数。</w:t>
            </w:r>
          </w:p>
        </w:tc>
        <w:tc>
          <w:tcPr>
            <w:tcW w:w="971" w:type="dxa"/>
            <w:noWrap w:val="0"/>
            <w:vAlign w:val="center"/>
          </w:tcPr>
          <w:p w14:paraId="7E847137">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10分</w:t>
            </w:r>
          </w:p>
        </w:tc>
      </w:tr>
      <w:tr w14:paraId="663D1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717" w:type="dxa"/>
            <w:noWrap w:val="0"/>
            <w:vAlign w:val="center"/>
          </w:tcPr>
          <w:p w14:paraId="078029D0">
            <w:pPr>
              <w:jc w:val="center"/>
              <w:rPr>
                <w:rFonts w:ascii="宋体" w:hAnsi="宋体"/>
                <w:color w:val="auto"/>
                <w:sz w:val="24"/>
                <w:highlight w:val="none"/>
              </w:rPr>
            </w:pPr>
            <w:r>
              <w:rPr>
                <w:rFonts w:ascii="宋体" w:hAnsi="宋体"/>
                <w:color w:val="auto"/>
                <w:sz w:val="24"/>
                <w:highlight w:val="none"/>
              </w:rPr>
              <w:t>2</w:t>
            </w:r>
          </w:p>
        </w:tc>
        <w:tc>
          <w:tcPr>
            <w:tcW w:w="8605" w:type="dxa"/>
            <w:gridSpan w:val="5"/>
            <w:noWrap w:val="0"/>
            <w:vAlign w:val="center"/>
          </w:tcPr>
          <w:p w14:paraId="5A9585EE">
            <w:pPr>
              <w:rPr>
                <w:rFonts w:ascii="宋体" w:hAnsi="宋体"/>
                <w:color w:val="auto"/>
                <w:sz w:val="24"/>
                <w:highlight w:val="none"/>
              </w:rPr>
            </w:pPr>
            <w:r>
              <w:rPr>
                <w:rFonts w:hint="eastAsia" w:ascii="宋体" w:hAnsi="宋体" w:cs="宋体"/>
                <w:bCs/>
                <w:color w:val="auto"/>
                <w:sz w:val="18"/>
                <w:szCs w:val="18"/>
                <w:highlight w:val="none"/>
                <w:lang w:val="en-US" w:eastAsia="zh-CN" w:bidi="ar"/>
              </w:rPr>
              <w:t>商务部分（33分）</w:t>
            </w:r>
          </w:p>
        </w:tc>
      </w:tr>
      <w:tr w14:paraId="525B0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7" w:type="dxa"/>
            <w:vMerge w:val="restart"/>
            <w:noWrap w:val="0"/>
            <w:vAlign w:val="center"/>
          </w:tcPr>
          <w:p w14:paraId="1F349053">
            <w:pPr>
              <w:jc w:val="center"/>
              <w:rPr>
                <w:rFonts w:ascii="宋体" w:hAnsi="宋体"/>
                <w:color w:val="auto"/>
                <w:sz w:val="24"/>
                <w:highlight w:val="none"/>
              </w:rPr>
            </w:pPr>
            <w:r>
              <w:rPr>
                <w:rFonts w:hint="eastAsia" w:ascii="宋体" w:hAnsi="宋体"/>
                <w:color w:val="auto"/>
                <w:sz w:val="24"/>
                <w:highlight w:val="none"/>
              </w:rPr>
              <w:t>综</w:t>
            </w:r>
          </w:p>
          <w:p w14:paraId="08671B95">
            <w:pPr>
              <w:jc w:val="center"/>
              <w:rPr>
                <w:rFonts w:ascii="宋体" w:hAnsi="宋体"/>
                <w:color w:val="auto"/>
                <w:sz w:val="24"/>
                <w:highlight w:val="none"/>
              </w:rPr>
            </w:pPr>
            <w:r>
              <w:rPr>
                <w:rFonts w:hint="eastAsia" w:ascii="宋体" w:hAnsi="宋体"/>
                <w:color w:val="auto"/>
                <w:sz w:val="24"/>
                <w:highlight w:val="none"/>
              </w:rPr>
              <w:t>合</w:t>
            </w:r>
          </w:p>
          <w:p w14:paraId="01CF256A">
            <w:pPr>
              <w:jc w:val="center"/>
              <w:rPr>
                <w:rFonts w:ascii="宋体" w:hAnsi="宋体"/>
                <w:color w:val="auto"/>
                <w:sz w:val="24"/>
                <w:highlight w:val="none"/>
              </w:rPr>
            </w:pPr>
            <w:r>
              <w:rPr>
                <w:rFonts w:hint="eastAsia" w:ascii="宋体" w:hAnsi="宋体"/>
                <w:color w:val="auto"/>
                <w:sz w:val="24"/>
                <w:highlight w:val="none"/>
              </w:rPr>
              <w:t>评</w:t>
            </w:r>
          </w:p>
          <w:p w14:paraId="318C5CDD">
            <w:pPr>
              <w:jc w:val="center"/>
              <w:rPr>
                <w:rFonts w:ascii="宋体" w:hAnsi="宋体"/>
                <w:color w:val="auto"/>
                <w:sz w:val="24"/>
                <w:highlight w:val="none"/>
              </w:rPr>
            </w:pPr>
            <w:r>
              <w:rPr>
                <w:rFonts w:hint="eastAsia" w:ascii="宋体" w:hAnsi="宋体"/>
                <w:color w:val="auto"/>
                <w:sz w:val="24"/>
                <w:highlight w:val="none"/>
              </w:rPr>
              <w:t>价</w:t>
            </w:r>
          </w:p>
        </w:tc>
        <w:tc>
          <w:tcPr>
            <w:tcW w:w="738" w:type="dxa"/>
            <w:noWrap w:val="0"/>
            <w:vAlign w:val="center"/>
          </w:tcPr>
          <w:p w14:paraId="51C0E7A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1 \* GB3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hint="eastAsia" w:ascii="宋体" w:hAnsi="宋体" w:cs="宋体"/>
                <w:color w:val="auto"/>
                <w:sz w:val="24"/>
                <w:szCs w:val="24"/>
                <w:highlight w:val="none"/>
              </w:rPr>
              <w:fldChar w:fldCharType="end"/>
            </w:r>
          </w:p>
        </w:tc>
        <w:tc>
          <w:tcPr>
            <w:tcW w:w="900" w:type="dxa"/>
            <w:noWrap w:val="0"/>
            <w:vAlign w:val="center"/>
          </w:tcPr>
          <w:p w14:paraId="1D962078">
            <w:p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业绩合同</w:t>
            </w:r>
          </w:p>
        </w:tc>
        <w:tc>
          <w:tcPr>
            <w:tcW w:w="735" w:type="dxa"/>
            <w:noWrap w:val="0"/>
            <w:vAlign w:val="center"/>
          </w:tcPr>
          <w:p w14:paraId="42B7DB83">
            <w:pPr>
              <w:keepNext w:val="0"/>
              <w:keepLines w:val="0"/>
              <w:widowControl/>
              <w:suppressLineNumbers w:val="0"/>
              <w:spacing w:line="240" w:lineRule="auto"/>
              <w:jc w:val="center"/>
              <w:rPr>
                <w:rFonts w:ascii="宋体" w:hAnsi="宋体" w:eastAsia="宋体"/>
                <w:color w:val="auto"/>
                <w:sz w:val="24"/>
                <w:highlight w:val="none"/>
                <w:lang w:val="en-US" w:eastAsia="zh-CN"/>
              </w:rPr>
            </w:pPr>
            <w:r>
              <w:rPr>
                <w:rFonts w:hint="eastAsia" w:ascii="宋体" w:hAnsi="宋体" w:eastAsia="宋体" w:cs="宋体"/>
                <w:i w:val="0"/>
                <w:iCs w:val="0"/>
                <w:color w:val="auto"/>
                <w:sz w:val="21"/>
                <w:szCs w:val="21"/>
                <w:highlight w:val="none"/>
                <w:u w:val="none"/>
                <w:lang w:val="en-US" w:eastAsia="zh-CN" w:bidi="ar"/>
              </w:rPr>
              <w:t>12分</w:t>
            </w:r>
          </w:p>
        </w:tc>
        <w:tc>
          <w:tcPr>
            <w:tcW w:w="6232" w:type="dxa"/>
            <w:gridSpan w:val="2"/>
            <w:noWrap w:val="0"/>
            <w:vAlign w:val="center"/>
          </w:tcPr>
          <w:p w14:paraId="44B8469F">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投标供应商或其总公司具有类似项目业绩合同（2022年1月1日以后所签合同），每提供一个业绩合同得2分，此项最高得12分（须提供业绩合同及中标通知书的</w:t>
            </w:r>
            <w:r>
              <w:rPr>
                <w:rFonts w:hint="eastAsia" w:ascii="宋体" w:hAnsi="宋体" w:cs="宋体"/>
                <w:b/>
                <w:bCs w:val="0"/>
                <w:color w:val="auto"/>
                <w:sz w:val="18"/>
                <w:szCs w:val="18"/>
                <w:highlight w:val="none"/>
                <w:lang w:val="en-US" w:eastAsia="zh-CN" w:bidi="ar"/>
              </w:rPr>
              <w:t>原件彩色扫描件</w:t>
            </w:r>
            <w:r>
              <w:rPr>
                <w:rFonts w:hint="eastAsia" w:ascii="宋体" w:hAnsi="宋体" w:cs="宋体"/>
                <w:bCs/>
                <w:color w:val="auto"/>
                <w:sz w:val="18"/>
                <w:szCs w:val="18"/>
                <w:highlight w:val="none"/>
                <w:lang w:val="en-US" w:eastAsia="zh-CN" w:bidi="ar"/>
              </w:rPr>
              <w:t>，未提供的或提供不全的不得分）；</w:t>
            </w:r>
          </w:p>
          <w:p w14:paraId="7EE39455">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注：上述类似项目业绩是指投标人所提供的业绩需与本项目采购内容类似。</w:t>
            </w:r>
          </w:p>
        </w:tc>
      </w:tr>
      <w:tr w14:paraId="1D300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2" w:hRule="atLeast"/>
          <w:jc w:val="center"/>
        </w:trPr>
        <w:tc>
          <w:tcPr>
            <w:tcW w:w="717" w:type="dxa"/>
            <w:vMerge w:val="continue"/>
            <w:noWrap w:val="0"/>
            <w:vAlign w:val="center"/>
          </w:tcPr>
          <w:p w14:paraId="0866010E">
            <w:pPr>
              <w:jc w:val="center"/>
              <w:rPr>
                <w:rFonts w:ascii="宋体" w:hAnsi="宋体"/>
                <w:color w:val="auto"/>
                <w:sz w:val="24"/>
                <w:highlight w:val="none"/>
              </w:rPr>
            </w:pPr>
          </w:p>
        </w:tc>
        <w:tc>
          <w:tcPr>
            <w:tcW w:w="738" w:type="dxa"/>
            <w:vMerge w:val="restart"/>
            <w:noWrap w:val="0"/>
            <w:vAlign w:val="center"/>
          </w:tcPr>
          <w:p w14:paraId="10EFC73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2 \* GB3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②</w:t>
            </w:r>
            <w:r>
              <w:rPr>
                <w:rFonts w:hint="eastAsia" w:ascii="宋体" w:hAnsi="宋体" w:cs="宋体"/>
                <w:color w:val="auto"/>
                <w:sz w:val="24"/>
                <w:szCs w:val="24"/>
                <w:highlight w:val="none"/>
              </w:rPr>
              <w:fldChar w:fldCharType="end"/>
            </w:r>
          </w:p>
        </w:tc>
        <w:tc>
          <w:tcPr>
            <w:tcW w:w="900" w:type="dxa"/>
            <w:vMerge w:val="restart"/>
            <w:noWrap w:val="0"/>
            <w:vAlign w:val="center"/>
          </w:tcPr>
          <w:p w14:paraId="167A5040">
            <w:p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偿付能力状况</w:t>
            </w:r>
          </w:p>
        </w:tc>
        <w:tc>
          <w:tcPr>
            <w:tcW w:w="735" w:type="dxa"/>
            <w:noWrap w:val="0"/>
            <w:vAlign w:val="center"/>
          </w:tcPr>
          <w:p w14:paraId="50E934D0">
            <w:pPr>
              <w:keepNext w:val="0"/>
              <w:keepLines w:val="0"/>
              <w:widowControl/>
              <w:suppressLineNumbers w:val="0"/>
              <w:spacing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4分</w:t>
            </w:r>
          </w:p>
        </w:tc>
        <w:tc>
          <w:tcPr>
            <w:tcW w:w="6232" w:type="dxa"/>
            <w:gridSpan w:val="2"/>
            <w:noWrap w:val="0"/>
            <w:vAlign w:val="center"/>
          </w:tcPr>
          <w:p w14:paraId="4F1224CD">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2025年第二季度投标人或其总公司核心偿付能力充足率在190%以上（含190%）的得4分；核心偿付能力充足率在100%（含100%）～190%（不含）之间的得2分；核心偿付能力充足率在50%（含50%）～100%（不含）之间的得1分；核心偿付能力充足率在50%（不含）以下不得分。</w:t>
            </w:r>
          </w:p>
          <w:p w14:paraId="14A8AD99">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注：提供2025年第二季度偿付能力报告或证明材料的</w:t>
            </w:r>
            <w:r>
              <w:rPr>
                <w:rFonts w:hint="eastAsia" w:ascii="宋体" w:hAnsi="宋体" w:cs="宋体"/>
                <w:b/>
                <w:bCs w:val="0"/>
                <w:color w:val="auto"/>
                <w:sz w:val="18"/>
                <w:szCs w:val="18"/>
                <w:highlight w:val="none"/>
                <w:lang w:val="en-US" w:eastAsia="zh-CN" w:bidi="ar"/>
              </w:rPr>
              <w:t>原件彩色扫描件</w:t>
            </w:r>
          </w:p>
        </w:tc>
      </w:tr>
      <w:tr w14:paraId="333F5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8" w:hRule="atLeast"/>
          <w:jc w:val="center"/>
        </w:trPr>
        <w:tc>
          <w:tcPr>
            <w:tcW w:w="717" w:type="dxa"/>
            <w:vMerge w:val="continue"/>
            <w:noWrap w:val="0"/>
            <w:vAlign w:val="center"/>
          </w:tcPr>
          <w:p w14:paraId="14B3E63E">
            <w:pPr>
              <w:spacing w:line="280" w:lineRule="exact"/>
              <w:rPr>
                <w:rFonts w:ascii="Times New Roman" w:hAnsi="Times New Roman"/>
                <w:color w:val="auto"/>
                <w:highlight w:val="none"/>
              </w:rPr>
            </w:pPr>
          </w:p>
        </w:tc>
        <w:tc>
          <w:tcPr>
            <w:tcW w:w="738" w:type="dxa"/>
            <w:vMerge w:val="continue"/>
            <w:noWrap w:val="0"/>
            <w:vAlign w:val="center"/>
          </w:tcPr>
          <w:p w14:paraId="244C8EAD">
            <w:pPr>
              <w:spacing w:line="280" w:lineRule="exact"/>
              <w:rPr>
                <w:rFonts w:hint="eastAsia" w:ascii="宋体" w:hAnsi="宋体" w:cs="宋体"/>
                <w:color w:val="auto"/>
                <w:sz w:val="24"/>
                <w:szCs w:val="24"/>
                <w:highlight w:val="none"/>
              </w:rPr>
            </w:pPr>
          </w:p>
        </w:tc>
        <w:tc>
          <w:tcPr>
            <w:tcW w:w="900" w:type="dxa"/>
            <w:vMerge w:val="continue"/>
            <w:noWrap w:val="0"/>
            <w:vAlign w:val="center"/>
          </w:tcPr>
          <w:p w14:paraId="3D47B895">
            <w:pPr>
              <w:rPr>
                <w:rFonts w:hint="eastAsia" w:ascii="宋体" w:hAnsi="宋体" w:cs="宋体"/>
                <w:bCs/>
                <w:color w:val="auto"/>
                <w:sz w:val="18"/>
                <w:szCs w:val="18"/>
                <w:highlight w:val="none"/>
                <w:lang w:val="en-US" w:eastAsia="zh-CN" w:bidi="ar"/>
              </w:rPr>
            </w:pPr>
          </w:p>
        </w:tc>
        <w:tc>
          <w:tcPr>
            <w:tcW w:w="735" w:type="dxa"/>
            <w:noWrap w:val="0"/>
            <w:vAlign w:val="center"/>
          </w:tcPr>
          <w:p w14:paraId="01A3B402">
            <w:pPr>
              <w:keepNext w:val="0"/>
              <w:keepLines w:val="0"/>
              <w:widowControl/>
              <w:suppressLineNumbers w:val="0"/>
              <w:spacing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4分</w:t>
            </w:r>
          </w:p>
        </w:tc>
        <w:tc>
          <w:tcPr>
            <w:tcW w:w="6232" w:type="dxa"/>
            <w:gridSpan w:val="2"/>
            <w:noWrap w:val="0"/>
            <w:vAlign w:val="center"/>
          </w:tcPr>
          <w:p w14:paraId="42418BB4">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2025年第二季度投标供应商或其总公司综合偿付能力充足率在200%以上（不含200%）的得4分；综合偿付能力充足率在150%（不含150%）～200%（含）之间的得2分；综合偿付能力充足率在100%（含100%）～150%（含）之间的得1分；综合偿付能力充足率在100%（不含）以下不得分。</w:t>
            </w:r>
          </w:p>
          <w:p w14:paraId="1957F568">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注：提供2025年第二季度偿付能力报告</w:t>
            </w:r>
            <w:r>
              <w:rPr>
                <w:rFonts w:hint="eastAsia" w:ascii="宋体" w:hAnsi="宋体" w:cs="宋体"/>
                <w:b/>
                <w:bCs w:val="0"/>
                <w:color w:val="auto"/>
                <w:sz w:val="18"/>
                <w:szCs w:val="18"/>
                <w:highlight w:val="none"/>
                <w:lang w:val="en-US" w:eastAsia="zh-CN" w:bidi="ar"/>
              </w:rPr>
              <w:t>原件彩色扫描件</w:t>
            </w:r>
          </w:p>
        </w:tc>
      </w:tr>
      <w:tr w14:paraId="78AA6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2" w:hRule="atLeast"/>
          <w:jc w:val="center"/>
        </w:trPr>
        <w:tc>
          <w:tcPr>
            <w:tcW w:w="717" w:type="dxa"/>
            <w:vMerge w:val="continue"/>
            <w:noWrap w:val="0"/>
            <w:vAlign w:val="center"/>
          </w:tcPr>
          <w:p w14:paraId="1726B882">
            <w:pPr>
              <w:jc w:val="center"/>
              <w:rPr>
                <w:rFonts w:ascii="宋体" w:hAnsi="宋体"/>
                <w:color w:val="auto"/>
                <w:sz w:val="24"/>
                <w:highlight w:val="none"/>
              </w:rPr>
            </w:pPr>
          </w:p>
        </w:tc>
        <w:tc>
          <w:tcPr>
            <w:tcW w:w="738" w:type="dxa"/>
            <w:noWrap w:val="0"/>
            <w:vAlign w:val="center"/>
          </w:tcPr>
          <w:p w14:paraId="446F9E2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3 \* GB3 \* MERGEFORMAT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③</w:t>
            </w:r>
            <w:r>
              <w:rPr>
                <w:rFonts w:hint="eastAsia" w:ascii="宋体" w:hAnsi="宋体" w:cs="宋体"/>
                <w:color w:val="auto"/>
                <w:sz w:val="24"/>
                <w:szCs w:val="24"/>
                <w:highlight w:val="none"/>
              </w:rPr>
              <w:fldChar w:fldCharType="end"/>
            </w:r>
          </w:p>
        </w:tc>
        <w:tc>
          <w:tcPr>
            <w:tcW w:w="900" w:type="dxa"/>
            <w:noWrap w:val="0"/>
            <w:vAlign w:val="center"/>
          </w:tcPr>
          <w:p w14:paraId="5696EE51">
            <w:p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风险评级</w:t>
            </w:r>
          </w:p>
        </w:tc>
        <w:tc>
          <w:tcPr>
            <w:tcW w:w="735" w:type="dxa"/>
            <w:noWrap w:val="0"/>
            <w:vAlign w:val="center"/>
          </w:tcPr>
          <w:p w14:paraId="4F2371D9">
            <w:pPr>
              <w:keepNext w:val="0"/>
              <w:keepLines w:val="0"/>
              <w:widowControl/>
              <w:suppressLineNumbers w:val="0"/>
              <w:spacing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4分</w:t>
            </w:r>
          </w:p>
        </w:tc>
        <w:tc>
          <w:tcPr>
            <w:tcW w:w="6232" w:type="dxa"/>
            <w:gridSpan w:val="2"/>
            <w:noWrap w:val="0"/>
            <w:vAlign w:val="center"/>
          </w:tcPr>
          <w:p w14:paraId="0A2DE744">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供应商总公司在2023全年度风险综合评级中，获得AA级及以上评级的得4分，A级评级的得2分; A级(不含)评级以下的得1分。</w:t>
            </w:r>
          </w:p>
          <w:p w14:paraId="714A35BE">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注：投标文件中须提供2023年度的《中国银行保险监督管理委员会偿二代监管信息系统》中分类监管评级信息的截图</w:t>
            </w:r>
            <w:r>
              <w:rPr>
                <w:rFonts w:hint="eastAsia" w:ascii="宋体" w:hAnsi="宋体" w:cs="宋体"/>
                <w:b/>
                <w:bCs w:val="0"/>
                <w:color w:val="auto"/>
                <w:sz w:val="18"/>
                <w:szCs w:val="18"/>
                <w:highlight w:val="none"/>
                <w:lang w:val="en-US" w:eastAsia="zh-CN" w:bidi="ar"/>
              </w:rPr>
              <w:t>原件彩色扫描件</w:t>
            </w:r>
            <w:r>
              <w:rPr>
                <w:rFonts w:hint="eastAsia" w:ascii="宋体" w:hAnsi="宋体" w:cs="宋体"/>
                <w:bCs/>
                <w:color w:val="auto"/>
                <w:sz w:val="18"/>
                <w:szCs w:val="18"/>
                <w:highlight w:val="none"/>
                <w:lang w:val="en-US" w:eastAsia="zh-CN" w:bidi="ar"/>
              </w:rPr>
              <w:t>，未提供不得分。</w:t>
            </w:r>
          </w:p>
        </w:tc>
      </w:tr>
      <w:tr w14:paraId="77230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2" w:hRule="atLeast"/>
          <w:jc w:val="center"/>
        </w:trPr>
        <w:tc>
          <w:tcPr>
            <w:tcW w:w="717" w:type="dxa"/>
            <w:vMerge w:val="continue"/>
            <w:noWrap w:val="0"/>
            <w:vAlign w:val="center"/>
          </w:tcPr>
          <w:p w14:paraId="7577BF8E">
            <w:pPr>
              <w:jc w:val="center"/>
              <w:rPr>
                <w:rFonts w:ascii="宋体" w:hAnsi="宋体"/>
                <w:color w:val="auto"/>
                <w:sz w:val="24"/>
                <w:highlight w:val="none"/>
              </w:rPr>
            </w:pPr>
          </w:p>
        </w:tc>
        <w:tc>
          <w:tcPr>
            <w:tcW w:w="738" w:type="dxa"/>
            <w:noWrap w:val="0"/>
            <w:vAlign w:val="center"/>
          </w:tcPr>
          <w:p w14:paraId="72C44E5B">
            <w:pPr>
              <w:jc w:val="center"/>
              <w:rPr>
                <w:rFonts w:hint="eastAsia" w:ascii="宋体" w:hAnsi="宋体" w:cs="宋体"/>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w:instrText>
            </w:r>
            <w:r>
              <w:rPr>
                <w:rFonts w:hint="eastAsia" w:ascii="宋体" w:hAnsi="宋体" w:cs="宋体"/>
                <w:color w:val="auto"/>
                <w:sz w:val="24"/>
                <w:szCs w:val="24"/>
                <w:highlight w:val="none"/>
              </w:rPr>
              <w:instrText xml:space="preserve">= 4 \* GB3</w:instrText>
            </w:r>
            <w:r>
              <w:rPr>
                <w:rFonts w:ascii="宋体" w:hAnsi="宋体" w:cs="宋体"/>
                <w:color w:val="auto"/>
                <w:sz w:val="24"/>
                <w:szCs w:val="24"/>
                <w:highlight w:val="none"/>
              </w:rPr>
              <w:instrText xml:space="preserve">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④</w:t>
            </w:r>
            <w:r>
              <w:rPr>
                <w:rFonts w:ascii="宋体" w:hAnsi="宋体" w:cs="宋体"/>
                <w:color w:val="auto"/>
                <w:sz w:val="24"/>
                <w:szCs w:val="24"/>
                <w:highlight w:val="none"/>
              </w:rPr>
              <w:fldChar w:fldCharType="end"/>
            </w:r>
          </w:p>
        </w:tc>
        <w:tc>
          <w:tcPr>
            <w:tcW w:w="900" w:type="dxa"/>
            <w:noWrap w:val="0"/>
            <w:vAlign w:val="center"/>
          </w:tcPr>
          <w:p w14:paraId="247FD47C">
            <w:p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企业荣誉</w:t>
            </w:r>
          </w:p>
        </w:tc>
        <w:tc>
          <w:tcPr>
            <w:tcW w:w="735" w:type="dxa"/>
            <w:noWrap w:val="0"/>
            <w:vAlign w:val="center"/>
          </w:tcPr>
          <w:p w14:paraId="74F82BF5">
            <w:pPr>
              <w:keepNext w:val="0"/>
              <w:keepLines w:val="0"/>
              <w:widowControl/>
              <w:suppressLineNumbers w:val="0"/>
              <w:spacing w:line="240" w:lineRule="auto"/>
              <w:jc w:val="center"/>
              <w:rPr>
                <w:rFonts w:hint="eastAsia" w:ascii="宋体" w:hAnsi="宋体" w:cs="宋体"/>
                <w:color w:val="auto"/>
                <w:sz w:val="24"/>
                <w:highlight w:val="none"/>
                <w:lang w:val="en-US" w:eastAsia="zh-CN" w:bidi="ar"/>
              </w:rPr>
            </w:pPr>
            <w:r>
              <w:rPr>
                <w:rFonts w:hint="eastAsia" w:ascii="宋体" w:hAnsi="宋体" w:eastAsia="宋体" w:cs="宋体"/>
                <w:i w:val="0"/>
                <w:iCs w:val="0"/>
                <w:color w:val="auto"/>
                <w:sz w:val="21"/>
                <w:szCs w:val="21"/>
                <w:highlight w:val="none"/>
                <w:u w:val="none"/>
                <w:lang w:val="en-US" w:eastAsia="zh-CN" w:bidi="ar"/>
              </w:rPr>
              <w:t>3分</w:t>
            </w:r>
          </w:p>
        </w:tc>
        <w:tc>
          <w:tcPr>
            <w:tcW w:w="6232" w:type="dxa"/>
            <w:gridSpan w:val="2"/>
            <w:noWrap w:val="0"/>
            <w:vAlign w:val="center"/>
          </w:tcPr>
          <w:p w14:paraId="70FE7A26">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供应商自2021年1月1日至开标之日止【不含开标当天】获得国家级荣誉表彰的，得3分；获省级荣誉表彰的，得1分；获市级荣誉表彰的，得0.5分，本小项不重复计分，只取单项奖励最高分。</w:t>
            </w:r>
          </w:p>
          <w:p w14:paraId="2D0FFCB9">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注：各项荣誉表彰必须是投标人或其上级公司取得的，投标文件中需提供获得荣誉表彰的证明材料原件彩色扫描件，未提供的不得分【时间以证书上面的时间为准】。</w:t>
            </w:r>
          </w:p>
        </w:tc>
      </w:tr>
      <w:tr w14:paraId="1D20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2" w:hRule="atLeast"/>
          <w:jc w:val="center"/>
        </w:trPr>
        <w:tc>
          <w:tcPr>
            <w:tcW w:w="717" w:type="dxa"/>
            <w:vMerge w:val="continue"/>
            <w:noWrap w:val="0"/>
            <w:vAlign w:val="center"/>
          </w:tcPr>
          <w:p w14:paraId="24FC0607">
            <w:pPr>
              <w:jc w:val="center"/>
              <w:rPr>
                <w:rFonts w:ascii="宋体" w:hAnsi="宋体"/>
                <w:color w:val="auto"/>
                <w:sz w:val="24"/>
                <w:highlight w:val="none"/>
              </w:rPr>
            </w:pPr>
          </w:p>
        </w:tc>
        <w:tc>
          <w:tcPr>
            <w:tcW w:w="738" w:type="dxa"/>
            <w:noWrap w:val="0"/>
            <w:vAlign w:val="center"/>
          </w:tcPr>
          <w:p w14:paraId="68B11DCC">
            <w:pPr>
              <w:jc w:val="center"/>
              <w:rPr>
                <w:rFonts w:ascii="宋体" w:hAnsi="宋体" w:cs="宋体"/>
                <w:color w:val="auto"/>
                <w:sz w:val="24"/>
                <w:szCs w:val="24"/>
                <w:highlight w:val="none"/>
              </w:rPr>
            </w:pPr>
            <w:r>
              <w:rPr>
                <w:rFonts w:hint="default" w:ascii="宋体" w:hAnsi="宋体" w:cs="宋体"/>
                <w:color w:val="auto"/>
                <w:sz w:val="24"/>
                <w:szCs w:val="24"/>
                <w:highlight w:val="none"/>
              </w:rPr>
              <w:t>⑤</w:t>
            </w:r>
          </w:p>
        </w:tc>
        <w:tc>
          <w:tcPr>
            <w:tcW w:w="900" w:type="dxa"/>
            <w:noWrap w:val="0"/>
            <w:vAlign w:val="center"/>
          </w:tcPr>
          <w:p w14:paraId="3A9402C0">
            <w:pPr>
              <w:rPr>
                <w:rFonts w:hint="default"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保险服务质量指数</w:t>
            </w:r>
          </w:p>
        </w:tc>
        <w:tc>
          <w:tcPr>
            <w:tcW w:w="735" w:type="dxa"/>
            <w:noWrap w:val="0"/>
            <w:vAlign w:val="center"/>
          </w:tcPr>
          <w:p w14:paraId="329439AD">
            <w:pPr>
              <w:keepNext w:val="0"/>
              <w:keepLines w:val="0"/>
              <w:widowControl/>
              <w:suppressLineNumbers w:val="0"/>
              <w:spacing w:line="240" w:lineRule="auto"/>
              <w:jc w:val="center"/>
              <w:rPr>
                <w:rFonts w:hint="eastAsia" w:ascii="宋体" w:hAnsi="宋体" w:eastAsia="宋体" w:cs="宋体"/>
                <w:i w:val="0"/>
                <w:iCs w:val="0"/>
                <w:color w:val="auto"/>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bidi="ar"/>
              </w:rPr>
              <w:t>6分</w:t>
            </w:r>
          </w:p>
        </w:tc>
        <w:tc>
          <w:tcPr>
            <w:tcW w:w="6232" w:type="dxa"/>
            <w:gridSpan w:val="2"/>
            <w:noWrap w:val="0"/>
            <w:vAlign w:val="center"/>
          </w:tcPr>
          <w:p w14:paraId="377BBAAB">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供应商总公司在2024年度参与财险公司保险服务质量指数评价中，服务质量指数达到90%（含）及以上的6分，80%（含）～90%（不含）得3分；80%（不含）以下得1分。</w:t>
            </w:r>
          </w:p>
          <w:p w14:paraId="359B65B1">
            <w:pPr>
              <w:numPr>
                <w:ilvl w:val="0"/>
                <w:numId w:val="0"/>
              </w:numPr>
              <w:rPr>
                <w:rFonts w:hint="eastAsia"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注：1.投标文件中须提供中国银行保险信息技术管理有限公司官网公布内容查询</w:t>
            </w:r>
            <w:r>
              <w:rPr>
                <w:rFonts w:hint="eastAsia" w:ascii="宋体" w:hAnsi="宋体" w:cs="宋体"/>
                <w:b/>
                <w:bCs w:val="0"/>
                <w:color w:val="auto"/>
                <w:sz w:val="18"/>
                <w:szCs w:val="18"/>
                <w:highlight w:val="none"/>
                <w:lang w:val="en-US" w:eastAsia="zh-CN" w:bidi="ar"/>
              </w:rPr>
              <w:t>网页截图原件彩色扫描件</w:t>
            </w:r>
            <w:r>
              <w:rPr>
                <w:rFonts w:hint="eastAsia" w:ascii="宋体" w:hAnsi="宋体" w:cs="宋体"/>
                <w:bCs/>
                <w:color w:val="auto"/>
                <w:sz w:val="18"/>
                <w:szCs w:val="18"/>
                <w:highlight w:val="none"/>
                <w:lang w:val="en-US" w:eastAsia="zh-CN" w:bidi="ar"/>
              </w:rPr>
              <w:t>，未提供不得分。</w:t>
            </w:r>
          </w:p>
          <w:p w14:paraId="6E6DB0AC">
            <w:pPr>
              <w:numPr>
                <w:ilvl w:val="0"/>
                <w:numId w:val="0"/>
              </w:numPr>
              <w:rPr>
                <w:rFonts w:hint="default" w:ascii="宋体" w:hAnsi="宋体" w:cs="宋体"/>
                <w:bCs/>
                <w:color w:val="auto"/>
                <w:sz w:val="18"/>
                <w:szCs w:val="18"/>
                <w:highlight w:val="none"/>
                <w:lang w:val="en-US" w:eastAsia="zh-CN" w:bidi="ar"/>
              </w:rPr>
            </w:pPr>
            <w:r>
              <w:rPr>
                <w:rFonts w:hint="eastAsia" w:ascii="宋体" w:hAnsi="宋体" w:cs="宋体"/>
                <w:bCs/>
                <w:color w:val="auto"/>
                <w:sz w:val="18"/>
                <w:szCs w:val="18"/>
                <w:highlight w:val="none"/>
                <w:lang w:val="en-US" w:eastAsia="zh-CN" w:bidi="ar"/>
              </w:rPr>
              <w:t>2.</w:t>
            </w:r>
            <w:r>
              <w:rPr>
                <w:rFonts w:hint="default" w:ascii="宋体" w:hAnsi="宋体" w:cs="宋体"/>
                <w:bCs/>
                <w:color w:val="auto"/>
                <w:sz w:val="18"/>
                <w:szCs w:val="18"/>
                <w:highlight w:val="none"/>
                <w:lang w:val="en-US" w:eastAsia="zh-CN" w:bidi="ar"/>
              </w:rPr>
              <w:t>各公司可通过专线</w:t>
            </w:r>
            <w:r>
              <w:rPr>
                <w:rFonts w:hint="eastAsia" w:ascii="宋体" w:hAnsi="宋体" w:cs="宋体"/>
                <w:bCs/>
                <w:color w:val="auto"/>
                <w:sz w:val="18"/>
                <w:szCs w:val="18"/>
                <w:highlight w:val="none"/>
                <w:lang w:val="en-US" w:eastAsia="zh-CN" w:bidi="ar"/>
              </w:rPr>
              <w:t>登录</w:t>
            </w:r>
            <w:r>
              <w:rPr>
                <w:rFonts w:hint="default" w:ascii="宋体" w:hAnsi="宋体" w:cs="宋体"/>
                <w:bCs/>
                <w:color w:val="auto"/>
                <w:sz w:val="18"/>
                <w:szCs w:val="18"/>
                <w:highlight w:val="none"/>
                <w:lang w:val="en-US" w:eastAsia="zh-CN" w:bidi="ar"/>
              </w:rPr>
              <w:t>网址</w:t>
            </w:r>
            <w:r>
              <w:rPr>
                <w:rFonts w:hint="eastAsia" w:ascii="宋体" w:hAnsi="宋体" w:cs="宋体"/>
                <w:bCs/>
                <w:color w:val="auto"/>
                <w:sz w:val="18"/>
                <w:szCs w:val="18"/>
                <w:highlight w:val="none"/>
                <w:lang w:val="en-US" w:eastAsia="zh-CN" w:bidi="ar"/>
              </w:rPr>
              <w:t>查询</w:t>
            </w:r>
          </w:p>
          <w:p w14:paraId="1B6BAA67">
            <w:pPr>
              <w:numPr>
                <w:ilvl w:val="0"/>
                <w:numId w:val="0"/>
              </w:numPr>
              <w:rPr>
                <w:rFonts w:hint="default" w:ascii="宋体" w:hAnsi="宋体" w:cs="宋体"/>
                <w:bCs/>
                <w:color w:val="auto"/>
                <w:sz w:val="18"/>
                <w:szCs w:val="18"/>
                <w:highlight w:val="none"/>
                <w:lang w:val="en-US" w:eastAsia="zh-CN" w:bidi="ar"/>
              </w:rPr>
            </w:pPr>
            <w:r>
              <w:rPr>
                <w:rFonts w:hint="default" w:ascii="宋体" w:hAnsi="宋体" w:cs="宋体"/>
                <w:bCs/>
                <w:color w:val="auto"/>
                <w:sz w:val="18"/>
                <w:szCs w:val="18"/>
                <w:highlight w:val="none"/>
                <w:lang w:val="en-US" w:eastAsia="zh-CN" w:bidi="ar"/>
              </w:rPr>
              <w:t xml:space="preserve"> http://88.88.55.1:6569/sqi，查询本公司当期保险服务质量</w:t>
            </w:r>
          </w:p>
          <w:p w14:paraId="631CECA9">
            <w:pPr>
              <w:numPr>
                <w:ilvl w:val="0"/>
                <w:numId w:val="0"/>
              </w:numPr>
              <w:rPr>
                <w:rFonts w:hint="default" w:ascii="宋体" w:hAnsi="宋体" w:cs="宋体"/>
                <w:bCs/>
                <w:color w:val="auto"/>
                <w:sz w:val="18"/>
                <w:szCs w:val="18"/>
                <w:highlight w:val="none"/>
                <w:lang w:val="en-US" w:eastAsia="zh-CN" w:bidi="ar"/>
              </w:rPr>
            </w:pPr>
            <w:r>
              <w:rPr>
                <w:rFonts w:hint="default" w:ascii="宋体" w:hAnsi="宋体" w:cs="宋体"/>
                <w:bCs/>
                <w:color w:val="auto"/>
                <w:sz w:val="18"/>
                <w:szCs w:val="18"/>
                <w:highlight w:val="none"/>
                <w:lang w:val="en-US" w:eastAsia="zh-CN" w:bidi="ar"/>
              </w:rPr>
              <w:t>指数的总指数、维度指数、指标得分及表征行业水平的服务质量</w:t>
            </w:r>
          </w:p>
          <w:p w14:paraId="7A053CA1">
            <w:pPr>
              <w:numPr>
                <w:ilvl w:val="0"/>
                <w:numId w:val="0"/>
              </w:numPr>
              <w:rPr>
                <w:rFonts w:hint="default" w:ascii="宋体" w:hAnsi="宋体" w:cs="宋体"/>
                <w:bCs/>
                <w:color w:val="auto"/>
                <w:sz w:val="18"/>
                <w:szCs w:val="18"/>
                <w:highlight w:val="none"/>
                <w:lang w:val="en-US" w:eastAsia="zh-CN" w:bidi="ar"/>
              </w:rPr>
            </w:pPr>
            <w:r>
              <w:rPr>
                <w:rFonts w:hint="default" w:ascii="宋体" w:hAnsi="宋体" w:cs="宋体"/>
                <w:bCs/>
                <w:color w:val="auto"/>
                <w:sz w:val="18"/>
                <w:szCs w:val="18"/>
                <w:highlight w:val="none"/>
                <w:lang w:val="en-US" w:eastAsia="zh-CN" w:bidi="ar"/>
              </w:rPr>
              <w:t>指数、维度指数与指标得分，也可查询往期指数相关信息。</w:t>
            </w:r>
          </w:p>
        </w:tc>
      </w:tr>
      <w:tr w14:paraId="33019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717" w:type="dxa"/>
            <w:noWrap w:val="0"/>
            <w:vAlign w:val="center"/>
          </w:tcPr>
          <w:p w14:paraId="251D5ECE">
            <w:pPr>
              <w:widowControl/>
              <w:spacing w:line="360" w:lineRule="exact"/>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3</w:t>
            </w:r>
          </w:p>
        </w:tc>
        <w:tc>
          <w:tcPr>
            <w:tcW w:w="8605" w:type="dxa"/>
            <w:gridSpan w:val="5"/>
            <w:noWrap w:val="0"/>
            <w:vAlign w:val="center"/>
          </w:tcPr>
          <w:p w14:paraId="37C8EA02">
            <w:pPr>
              <w:widowControl/>
              <w:spacing w:line="320" w:lineRule="exact"/>
              <w:jc w:val="left"/>
              <w:rPr>
                <w:rFonts w:hint="default" w:ascii="宋体" w:hAnsi="宋体" w:cs="宋体" w:eastAsiaTheme="minorEastAsia"/>
                <w:color w:val="auto"/>
                <w:sz w:val="24"/>
                <w:szCs w:val="24"/>
                <w:highlight w:val="none"/>
                <w:lang w:val="en-US" w:eastAsia="zh-CN" w:bidi="ar"/>
              </w:rPr>
            </w:pPr>
            <w:r>
              <w:rPr>
                <w:rFonts w:hint="eastAsia" w:ascii="宋体" w:hAnsi="宋体" w:cs="宋体"/>
                <w:color w:val="auto"/>
                <w:sz w:val="24"/>
                <w:szCs w:val="24"/>
                <w:highlight w:val="none"/>
                <w:lang w:val="en-US" w:eastAsia="zh-CN" w:bidi="ar"/>
              </w:rPr>
              <w:t>服务方案（47分）</w:t>
            </w:r>
          </w:p>
        </w:tc>
      </w:tr>
      <w:tr w14:paraId="68560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0" w:hRule="atLeast"/>
          <w:jc w:val="center"/>
        </w:trPr>
        <w:tc>
          <w:tcPr>
            <w:tcW w:w="717" w:type="dxa"/>
            <w:vMerge w:val="restart"/>
            <w:noWrap w:val="0"/>
            <w:vAlign w:val="center"/>
          </w:tcPr>
          <w:p w14:paraId="5F35945D">
            <w:pPr>
              <w:numPr>
                <w:ilvl w:val="0"/>
                <w:numId w:val="0"/>
              </w:numPr>
              <w:rPr>
                <w:rFonts w:ascii="Times New Roman" w:hAnsi="Times New Roman"/>
                <w:color w:val="auto"/>
                <w:highlight w:val="none"/>
              </w:rPr>
            </w:pPr>
            <w:r>
              <w:rPr>
                <w:rFonts w:hint="eastAsia" w:ascii="宋体" w:hAnsi="宋体" w:eastAsia="宋体" w:cs="宋体"/>
                <w:color w:val="auto"/>
                <w:kern w:val="0"/>
                <w:sz w:val="18"/>
                <w:szCs w:val="18"/>
                <w:highlight w:val="none"/>
                <w:lang w:val="en-US" w:eastAsia="zh-CN"/>
              </w:rPr>
              <w:t>服务承诺</w:t>
            </w:r>
          </w:p>
        </w:tc>
        <w:tc>
          <w:tcPr>
            <w:tcW w:w="738" w:type="dxa"/>
            <w:vMerge w:val="restart"/>
            <w:noWrap w:val="0"/>
            <w:vAlign w:val="center"/>
          </w:tcPr>
          <w:p w14:paraId="3CEA948C">
            <w:pPr>
              <w:widowControl/>
              <w:spacing w:line="360" w:lineRule="exact"/>
              <w:jc w:val="center"/>
              <w:rPr>
                <w:rFonts w:ascii="Times New Roman" w:hAnsi="Times New Roman"/>
                <w:color w:val="auto"/>
                <w:highlight w:val="none"/>
              </w:rPr>
            </w:pPr>
          </w:p>
        </w:tc>
        <w:tc>
          <w:tcPr>
            <w:tcW w:w="900" w:type="dxa"/>
            <w:noWrap w:val="0"/>
            <w:vAlign w:val="center"/>
          </w:tcPr>
          <w:p w14:paraId="0F8502B2">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理赔服务承诺</w:t>
            </w:r>
          </w:p>
        </w:tc>
        <w:tc>
          <w:tcPr>
            <w:tcW w:w="735" w:type="dxa"/>
            <w:noWrap w:val="0"/>
            <w:vAlign w:val="center"/>
          </w:tcPr>
          <w:p w14:paraId="18460520">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30分</w:t>
            </w:r>
          </w:p>
        </w:tc>
        <w:tc>
          <w:tcPr>
            <w:tcW w:w="6232" w:type="dxa"/>
            <w:gridSpan w:val="2"/>
            <w:noWrap w:val="0"/>
            <w:vAlign w:val="top"/>
          </w:tcPr>
          <w:p w14:paraId="5DD9467C">
            <w:pPr>
              <w:numPr>
                <w:ilvl w:val="0"/>
                <w:numId w:val="0"/>
              </w:numPr>
              <w:rPr>
                <w:rFonts w:hint="eastAsia" w:ascii="宋体" w:hAnsi="宋体" w:cs="宋体"/>
                <w:bCs/>
                <w:color w:val="auto"/>
                <w:sz w:val="18"/>
                <w:szCs w:val="18"/>
                <w:highlight w:val="none"/>
                <w:lang w:bidi="ar"/>
              </w:rPr>
            </w:pPr>
            <w:r>
              <w:rPr>
                <w:rFonts w:hint="eastAsia" w:ascii="宋体" w:hAnsi="宋体" w:cs="宋体"/>
                <w:bCs/>
                <w:color w:val="auto"/>
                <w:sz w:val="18"/>
                <w:szCs w:val="18"/>
                <w:highlight w:val="none"/>
                <w:lang w:val="en-US" w:eastAsia="zh-CN" w:bidi="ar"/>
              </w:rPr>
              <w:t>1、</w:t>
            </w:r>
            <w:r>
              <w:rPr>
                <w:rFonts w:hint="eastAsia" w:ascii="宋体" w:hAnsi="宋体" w:cs="宋体"/>
                <w:bCs/>
                <w:color w:val="auto"/>
                <w:sz w:val="18"/>
                <w:szCs w:val="18"/>
                <w:highlight w:val="none"/>
                <w:lang w:bidi="ar"/>
              </w:rPr>
              <w:t>评标委员会根据</w:t>
            </w:r>
            <w:r>
              <w:rPr>
                <w:rFonts w:hint="eastAsia" w:ascii="宋体" w:hAnsi="宋体" w:cs="宋体"/>
                <w:color w:val="auto"/>
                <w:sz w:val="18"/>
                <w:szCs w:val="18"/>
                <w:highlight w:val="none"/>
                <w:lang w:val="zh-CN" w:bidi="ar"/>
              </w:rPr>
              <w:t>投标人</w:t>
            </w:r>
            <w:r>
              <w:rPr>
                <w:rFonts w:hint="eastAsia" w:ascii="宋体" w:hAnsi="宋体" w:cs="宋体"/>
                <w:color w:val="auto"/>
                <w:sz w:val="18"/>
                <w:szCs w:val="18"/>
                <w:highlight w:val="none"/>
                <w:lang w:val="en-US" w:eastAsia="zh-CN" w:bidi="ar"/>
              </w:rPr>
              <w:t>的项目服务团队（须包括：1）</w:t>
            </w:r>
            <w:r>
              <w:rPr>
                <w:rFonts w:hint="eastAsia" w:ascii="宋体" w:hAnsi="宋体" w:cs="宋体"/>
                <w:color w:val="auto"/>
                <w:sz w:val="18"/>
                <w:szCs w:val="18"/>
                <w:highlight w:val="none"/>
                <w:lang w:val="zh-CN" w:bidi="ar"/>
              </w:rPr>
              <w:t>对本项目的报案受理及接报处置的快速高效性、</w:t>
            </w:r>
            <w:r>
              <w:rPr>
                <w:rFonts w:hint="eastAsia" w:ascii="宋体" w:hAnsi="宋体" w:cs="宋体"/>
                <w:color w:val="auto"/>
                <w:sz w:val="18"/>
                <w:szCs w:val="18"/>
                <w:highlight w:val="none"/>
                <w:lang w:val="en-US" w:eastAsia="zh-CN" w:bidi="ar"/>
              </w:rPr>
              <w:t>2）</w:t>
            </w:r>
            <w:r>
              <w:rPr>
                <w:rFonts w:hint="eastAsia" w:ascii="宋体" w:hAnsi="宋体" w:cs="宋体"/>
                <w:color w:val="auto"/>
                <w:sz w:val="18"/>
                <w:szCs w:val="18"/>
                <w:highlight w:val="none"/>
                <w:lang w:val="zh-CN" w:bidi="ar"/>
              </w:rPr>
              <w:t>是否配备专项服务团队、</w:t>
            </w:r>
            <w:r>
              <w:rPr>
                <w:rFonts w:hint="eastAsia" w:ascii="宋体" w:hAnsi="宋体" w:cs="宋体"/>
                <w:color w:val="auto"/>
                <w:sz w:val="18"/>
                <w:szCs w:val="18"/>
                <w:highlight w:val="none"/>
                <w:lang w:val="en-US" w:eastAsia="zh-CN" w:bidi="ar"/>
              </w:rPr>
              <w:t>3）</w:t>
            </w:r>
            <w:r>
              <w:rPr>
                <w:rFonts w:hint="eastAsia" w:ascii="宋体" w:hAnsi="宋体" w:cs="宋体"/>
                <w:color w:val="auto"/>
                <w:sz w:val="18"/>
                <w:szCs w:val="18"/>
                <w:highlight w:val="none"/>
                <w:lang w:val="zh-CN" w:bidi="ar"/>
              </w:rPr>
              <w:t>查勘车辆配置是否齐全、</w:t>
            </w:r>
            <w:r>
              <w:rPr>
                <w:rFonts w:hint="eastAsia" w:ascii="宋体" w:hAnsi="宋体" w:cs="宋体"/>
                <w:color w:val="auto"/>
                <w:sz w:val="18"/>
                <w:szCs w:val="18"/>
                <w:highlight w:val="none"/>
                <w:lang w:val="en-US" w:eastAsia="zh-CN" w:bidi="ar"/>
              </w:rPr>
              <w:t>4）</w:t>
            </w:r>
            <w:r>
              <w:rPr>
                <w:rFonts w:hint="eastAsia" w:ascii="宋体" w:hAnsi="宋体" w:cs="宋体"/>
                <w:color w:val="auto"/>
                <w:sz w:val="18"/>
                <w:szCs w:val="18"/>
                <w:highlight w:val="none"/>
                <w:lang w:val="zh-CN" w:bidi="ar"/>
              </w:rPr>
              <w:t>拥有专业的理赔专家队伍人数等方面</w:t>
            </w:r>
            <w:r>
              <w:rPr>
                <w:rFonts w:hint="eastAsia" w:ascii="宋体" w:hAnsi="宋体" w:cs="宋体"/>
                <w:bCs/>
                <w:color w:val="auto"/>
                <w:sz w:val="18"/>
                <w:szCs w:val="18"/>
                <w:highlight w:val="none"/>
              </w:rPr>
              <w:t>）</w:t>
            </w:r>
            <w:r>
              <w:rPr>
                <w:rFonts w:hint="eastAsia" w:ascii="宋体" w:hAnsi="宋体" w:cs="宋体"/>
                <w:bCs/>
                <w:color w:val="auto"/>
                <w:sz w:val="18"/>
                <w:szCs w:val="18"/>
                <w:highlight w:val="none"/>
                <w:lang w:bidi="ar"/>
              </w:rPr>
              <w:t>进行评定，</w:t>
            </w:r>
          </w:p>
          <w:p w14:paraId="3CCA079C">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（1）内容详实、需求贴合度高且条理清晰的该条得</w:t>
            </w:r>
            <w:r>
              <w:rPr>
                <w:rFonts w:hint="eastAsia" w:ascii="宋体" w:hAnsi="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lang w:val="en-US" w:eastAsia="zh-CN"/>
              </w:rPr>
              <w:t>分；</w:t>
            </w:r>
          </w:p>
          <w:p w14:paraId="27C6EE7D">
            <w:p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（2）内容较为简单、可行、细节待完善的该条得</w:t>
            </w:r>
            <w:r>
              <w:rPr>
                <w:rFonts w:hint="eastAsia" w:ascii="宋体" w:hAnsi="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lang w:val="en-US" w:eastAsia="zh-CN"/>
              </w:rPr>
              <w:t>分；</w:t>
            </w:r>
          </w:p>
          <w:p w14:paraId="75EDB008">
            <w:p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（3）内容较为一般的得6分；</w:t>
            </w:r>
          </w:p>
          <w:p w14:paraId="39E3C736">
            <w:pPr>
              <w:widowControl/>
              <w:spacing w:line="320" w:lineRule="exact"/>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（4）不符合或未提供不得分。</w:t>
            </w:r>
          </w:p>
          <w:p w14:paraId="454075A8">
            <w:pPr>
              <w:numPr>
                <w:ilvl w:val="0"/>
                <w:numId w:val="0"/>
              </w:numPr>
              <w:rPr>
                <w:rFonts w:hint="eastAsia" w:ascii="宋体" w:hAnsi="宋体" w:cs="宋体"/>
                <w:color w:val="auto"/>
                <w:sz w:val="18"/>
                <w:szCs w:val="18"/>
                <w:highlight w:val="none"/>
                <w:lang w:val="zh-CN" w:bidi="ar"/>
              </w:rPr>
            </w:pPr>
            <w:r>
              <w:rPr>
                <w:rFonts w:hint="eastAsia" w:ascii="宋体" w:hAnsi="宋体" w:cs="宋体"/>
                <w:color w:val="auto"/>
                <w:sz w:val="18"/>
                <w:szCs w:val="18"/>
                <w:highlight w:val="none"/>
                <w:lang w:val="en-US" w:eastAsia="zh-CN" w:bidi="ar"/>
              </w:rPr>
              <w:t>2、</w:t>
            </w:r>
            <w:r>
              <w:rPr>
                <w:rFonts w:hint="eastAsia" w:ascii="宋体" w:hAnsi="宋体" w:cs="宋体"/>
                <w:bCs/>
                <w:color w:val="auto"/>
                <w:sz w:val="18"/>
                <w:szCs w:val="18"/>
                <w:highlight w:val="none"/>
                <w:lang w:bidi="ar"/>
              </w:rPr>
              <w:t>评标委员会根据</w:t>
            </w:r>
            <w:r>
              <w:rPr>
                <w:rFonts w:hint="eastAsia" w:ascii="宋体" w:hAnsi="宋体" w:cs="宋体"/>
                <w:color w:val="auto"/>
                <w:sz w:val="18"/>
                <w:szCs w:val="18"/>
                <w:highlight w:val="none"/>
                <w:lang w:val="zh-CN" w:bidi="ar"/>
              </w:rPr>
              <w:t>投标人</w:t>
            </w:r>
            <w:r>
              <w:rPr>
                <w:rFonts w:hint="eastAsia" w:ascii="宋体" w:hAnsi="宋体" w:cs="宋体"/>
                <w:color w:val="auto"/>
                <w:sz w:val="18"/>
                <w:szCs w:val="18"/>
                <w:highlight w:val="none"/>
                <w:lang w:val="en-US" w:eastAsia="zh-CN" w:bidi="ar"/>
              </w:rPr>
              <w:t>的现场服务方案（须包括：1）</w:t>
            </w:r>
            <w:r>
              <w:rPr>
                <w:rFonts w:hint="eastAsia" w:ascii="宋体" w:hAnsi="宋体" w:cs="宋体"/>
                <w:color w:val="auto"/>
                <w:sz w:val="18"/>
                <w:szCs w:val="18"/>
                <w:highlight w:val="none"/>
                <w:lang w:val="zh-CN" w:bidi="ar"/>
              </w:rPr>
              <w:t>对本项目的承诺到达现场时间、</w:t>
            </w:r>
            <w:r>
              <w:rPr>
                <w:rFonts w:hint="eastAsia" w:ascii="宋体" w:hAnsi="宋体" w:cs="宋体"/>
                <w:color w:val="auto"/>
                <w:sz w:val="18"/>
                <w:szCs w:val="18"/>
                <w:highlight w:val="none"/>
                <w:lang w:val="en-US" w:eastAsia="zh-CN" w:bidi="ar"/>
              </w:rPr>
              <w:t>2）</w:t>
            </w:r>
            <w:r>
              <w:rPr>
                <w:rFonts w:hint="eastAsia" w:ascii="宋体" w:hAnsi="宋体" w:cs="宋体"/>
                <w:color w:val="auto"/>
                <w:sz w:val="18"/>
                <w:szCs w:val="18"/>
                <w:highlight w:val="none"/>
                <w:lang w:val="zh-CN" w:bidi="ar"/>
              </w:rPr>
              <w:t>承保出单、</w:t>
            </w:r>
            <w:r>
              <w:rPr>
                <w:rFonts w:hint="eastAsia" w:ascii="宋体" w:hAnsi="宋体" w:cs="宋体"/>
                <w:color w:val="auto"/>
                <w:sz w:val="18"/>
                <w:szCs w:val="18"/>
                <w:highlight w:val="none"/>
                <w:lang w:val="en-US" w:eastAsia="zh-CN" w:bidi="ar"/>
              </w:rPr>
              <w:t>3）</w:t>
            </w:r>
            <w:r>
              <w:rPr>
                <w:rFonts w:hint="eastAsia" w:ascii="宋体" w:hAnsi="宋体" w:cs="宋体"/>
                <w:color w:val="auto"/>
                <w:sz w:val="18"/>
                <w:szCs w:val="18"/>
                <w:highlight w:val="none"/>
                <w:lang w:val="zh-CN" w:bidi="ar"/>
              </w:rPr>
              <w:t>赔款时效、</w:t>
            </w:r>
            <w:r>
              <w:rPr>
                <w:rFonts w:hint="eastAsia" w:ascii="宋体" w:hAnsi="宋体" w:cs="宋体"/>
                <w:color w:val="auto"/>
                <w:sz w:val="18"/>
                <w:szCs w:val="18"/>
                <w:highlight w:val="none"/>
                <w:lang w:val="en-US" w:eastAsia="zh-CN" w:bidi="ar"/>
              </w:rPr>
              <w:t>4）</w:t>
            </w:r>
            <w:r>
              <w:rPr>
                <w:rFonts w:hint="eastAsia" w:ascii="宋体" w:hAnsi="宋体" w:cs="宋体"/>
                <w:color w:val="auto"/>
                <w:sz w:val="18"/>
                <w:szCs w:val="18"/>
                <w:highlight w:val="none"/>
                <w:lang w:val="zh-CN" w:bidi="ar"/>
              </w:rPr>
              <w:t>理赔权限的合理性和可行性等方面</w:t>
            </w:r>
            <w:r>
              <w:rPr>
                <w:rFonts w:hint="eastAsia" w:ascii="宋体" w:hAnsi="宋体" w:cs="宋体"/>
                <w:bCs/>
                <w:color w:val="auto"/>
                <w:sz w:val="18"/>
                <w:szCs w:val="18"/>
                <w:highlight w:val="none"/>
                <w:lang w:bidi="ar"/>
              </w:rPr>
              <w:t>）</w:t>
            </w:r>
            <w:r>
              <w:rPr>
                <w:rFonts w:hint="eastAsia" w:ascii="宋体" w:hAnsi="宋体" w:cs="宋体"/>
                <w:color w:val="auto"/>
                <w:sz w:val="18"/>
                <w:szCs w:val="18"/>
                <w:highlight w:val="none"/>
                <w:lang w:bidi="ar"/>
              </w:rPr>
              <w:t>进行评定</w:t>
            </w:r>
            <w:r>
              <w:rPr>
                <w:rFonts w:hint="eastAsia" w:ascii="宋体" w:hAnsi="宋体" w:cs="宋体"/>
                <w:color w:val="auto"/>
                <w:sz w:val="18"/>
                <w:szCs w:val="18"/>
                <w:highlight w:val="none"/>
                <w:lang w:val="zh-CN" w:bidi="ar"/>
              </w:rPr>
              <w:t>，</w:t>
            </w:r>
          </w:p>
          <w:p w14:paraId="3AFB17EB">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（1）内容详实、需求贴合度高且条理清晰的该条得</w:t>
            </w:r>
            <w:r>
              <w:rPr>
                <w:rFonts w:hint="eastAsia" w:ascii="宋体" w:hAnsi="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lang w:val="en-US" w:eastAsia="zh-CN"/>
              </w:rPr>
              <w:t>分；</w:t>
            </w:r>
          </w:p>
          <w:p w14:paraId="12B994E4">
            <w:p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（2）内容较为简单、可行、细节待完善的该条得</w:t>
            </w:r>
            <w:r>
              <w:rPr>
                <w:rFonts w:hint="eastAsia" w:ascii="宋体" w:hAnsi="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lang w:val="en-US" w:eastAsia="zh-CN"/>
              </w:rPr>
              <w:t>分；</w:t>
            </w:r>
          </w:p>
          <w:p w14:paraId="4F20C926">
            <w:p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（3）内容较为一般的得6分；</w:t>
            </w:r>
          </w:p>
          <w:p w14:paraId="5FCB88C2">
            <w:pPr>
              <w:widowControl/>
              <w:spacing w:line="320" w:lineRule="exact"/>
              <w:jc w:val="left"/>
              <w:rPr>
                <w:rFonts w:hint="eastAsia" w:ascii="宋体" w:hAnsi="宋体" w:eastAsia="宋体"/>
                <w:color w:val="auto"/>
                <w:sz w:val="18"/>
                <w:szCs w:val="18"/>
                <w:highlight w:val="none"/>
                <w:lang w:eastAsia="zh-CN"/>
              </w:rPr>
            </w:pPr>
            <w:r>
              <w:rPr>
                <w:rFonts w:hint="eastAsia" w:ascii="宋体" w:hAnsi="宋体" w:eastAsia="宋体" w:cs="宋体"/>
                <w:color w:val="auto"/>
                <w:kern w:val="0"/>
                <w:sz w:val="18"/>
                <w:szCs w:val="18"/>
                <w:highlight w:val="none"/>
                <w:lang w:val="en-US" w:eastAsia="zh-CN"/>
              </w:rPr>
              <w:t>（4）不符合或未提供不得分</w:t>
            </w:r>
          </w:p>
          <w:p w14:paraId="72E200EE">
            <w:pPr>
              <w:pStyle w:val="6"/>
              <w:keepNext w:val="0"/>
              <w:keepLines w:val="0"/>
              <w:widowControl/>
              <w:suppressLineNumbers w:val="0"/>
              <w:spacing w:before="0" w:beforeAutospacing="0" w:after="24" w:afterAutospacing="0" w:line="360" w:lineRule="atLeast"/>
              <w:ind w:left="0" w:right="0" w:firstLine="0"/>
              <w:rPr>
                <w:rFonts w:hint="eastAsia" w:ascii="宋体" w:hAnsi="宋体" w:eastAsia="宋体" w:cs="宋体"/>
                <w:bCs/>
                <w:color w:val="auto"/>
                <w:sz w:val="18"/>
                <w:szCs w:val="18"/>
                <w:highlight w:val="none"/>
                <w:lang w:val="zh-CN" w:bidi="ar"/>
              </w:rPr>
            </w:pPr>
            <w:r>
              <w:rPr>
                <w:rFonts w:hint="eastAsia" w:ascii="宋体" w:hAnsi="宋体" w:cs="宋体"/>
                <w:color w:val="auto"/>
                <w:sz w:val="18"/>
                <w:szCs w:val="18"/>
                <w:highlight w:val="none"/>
                <w:lang w:val="en-US" w:eastAsia="zh-CN" w:bidi="ar"/>
              </w:rPr>
              <w:t>3、</w:t>
            </w:r>
            <w:r>
              <w:rPr>
                <w:rFonts w:hint="eastAsia" w:ascii="宋体" w:hAnsi="宋体" w:cs="宋体"/>
                <w:bCs/>
                <w:color w:val="auto"/>
                <w:sz w:val="18"/>
                <w:szCs w:val="18"/>
                <w:highlight w:val="none"/>
                <w:lang w:bidi="ar"/>
              </w:rPr>
              <w:t>评标委员会根据各投标人的应急预案</w:t>
            </w:r>
            <w:r>
              <w:rPr>
                <w:rFonts w:hint="eastAsia" w:ascii="宋体" w:hAnsi="宋体" w:cs="宋体"/>
                <w:bCs/>
                <w:color w:val="auto"/>
                <w:sz w:val="18"/>
                <w:szCs w:val="18"/>
                <w:highlight w:val="none"/>
                <w:lang w:val="en-US" w:eastAsia="zh-CN" w:bidi="ar"/>
              </w:rPr>
              <w:t>措施</w:t>
            </w:r>
            <w:r>
              <w:rPr>
                <w:rFonts w:hint="eastAsia" w:ascii="宋体" w:hAnsi="宋体" w:cs="宋体"/>
                <w:bCs/>
                <w:color w:val="auto"/>
                <w:sz w:val="18"/>
                <w:szCs w:val="18"/>
                <w:highlight w:val="none"/>
                <w:lang w:bidi="ar"/>
              </w:rPr>
              <w:t>（</w:t>
            </w:r>
            <w:r>
              <w:rPr>
                <w:rFonts w:hint="eastAsia" w:ascii="宋体" w:hAnsi="宋体" w:cs="宋体"/>
                <w:bCs/>
                <w:color w:val="auto"/>
                <w:sz w:val="18"/>
                <w:szCs w:val="18"/>
                <w:highlight w:val="none"/>
                <w:lang w:val="en-US" w:eastAsia="zh-CN" w:bidi="ar"/>
              </w:rPr>
              <w:t>须包含：1）</w:t>
            </w:r>
            <w:r>
              <w:rPr>
                <w:rFonts w:hint="eastAsia" w:ascii="宋体" w:hAnsi="宋体" w:cs="宋体"/>
                <w:bCs/>
                <w:color w:val="auto"/>
                <w:sz w:val="18"/>
                <w:szCs w:val="18"/>
                <w:highlight w:val="none"/>
                <w:lang w:val="zh-CN" w:bidi="ar"/>
              </w:rPr>
              <w:t>日常</w:t>
            </w:r>
            <w:r>
              <w:rPr>
                <w:rFonts w:hint="eastAsia" w:ascii="宋体" w:hAnsi="宋体" w:cs="宋体"/>
                <w:color w:val="auto"/>
                <w:sz w:val="18"/>
                <w:szCs w:val="18"/>
                <w:highlight w:val="none"/>
                <w:lang w:val="zh-CN" w:bidi="ar"/>
              </w:rPr>
              <w:t>风险管理</w:t>
            </w:r>
            <w:r>
              <w:rPr>
                <w:rFonts w:hint="eastAsia" w:ascii="宋体" w:hAnsi="宋体" w:cs="宋体"/>
                <w:color w:val="auto"/>
                <w:sz w:val="18"/>
                <w:szCs w:val="18"/>
                <w:highlight w:val="none"/>
                <w:lang w:val="en-US" w:eastAsia="zh-CN" w:bidi="ar"/>
              </w:rPr>
              <w:t>；2）</w:t>
            </w:r>
            <w:r>
              <w:rPr>
                <w:rFonts w:hint="eastAsia" w:ascii="宋体" w:hAnsi="宋体" w:cs="宋体"/>
                <w:color w:val="auto"/>
                <w:sz w:val="18"/>
                <w:szCs w:val="18"/>
                <w:highlight w:val="none"/>
                <w:lang w:val="zh-CN" w:bidi="ar"/>
              </w:rPr>
              <w:t>重大事故处理预案</w:t>
            </w:r>
            <w:r>
              <w:rPr>
                <w:rFonts w:hint="eastAsia" w:ascii="宋体" w:hAnsi="宋体" w:cs="宋体"/>
                <w:color w:val="auto"/>
                <w:sz w:val="18"/>
                <w:szCs w:val="18"/>
                <w:highlight w:val="none"/>
                <w:lang w:val="en-US" w:eastAsia="zh-CN" w:bidi="ar"/>
              </w:rPr>
              <w:t>；3）客户权益保障措施；</w:t>
            </w:r>
            <w:r>
              <w:rPr>
                <w:rFonts w:hint="eastAsia" w:ascii="宋体" w:hAnsi="宋体" w:eastAsia="宋体" w:cs="宋体"/>
                <w:bCs/>
                <w:color w:val="auto"/>
                <w:sz w:val="18"/>
                <w:szCs w:val="18"/>
                <w:highlight w:val="none"/>
                <w:lang w:val="en-US" w:eastAsia="zh-CN" w:bidi="ar"/>
              </w:rPr>
              <w:t>4）</w:t>
            </w:r>
            <w:r>
              <w:rPr>
                <w:rFonts w:hint="default" w:ascii="宋体" w:hAnsi="宋体" w:eastAsia="宋体" w:cs="宋体"/>
                <w:bCs/>
                <w:color w:val="auto"/>
                <w:sz w:val="18"/>
                <w:szCs w:val="18"/>
                <w:highlight w:val="none"/>
                <w:lang w:bidi="ar"/>
              </w:rPr>
              <w:t>突发事件绿色通道专项措施</w:t>
            </w:r>
            <w:r>
              <w:rPr>
                <w:rFonts w:hint="eastAsia" w:ascii="宋体" w:hAnsi="宋体" w:eastAsia="宋体" w:cs="宋体"/>
                <w:bCs/>
                <w:color w:val="auto"/>
                <w:sz w:val="18"/>
                <w:szCs w:val="18"/>
                <w:highlight w:val="none"/>
                <w:lang w:bidi="ar"/>
              </w:rPr>
              <w:t>）进行评定</w:t>
            </w:r>
            <w:r>
              <w:rPr>
                <w:rFonts w:hint="eastAsia" w:ascii="宋体" w:hAnsi="宋体" w:eastAsia="宋体" w:cs="宋体"/>
                <w:bCs/>
                <w:color w:val="auto"/>
                <w:sz w:val="18"/>
                <w:szCs w:val="18"/>
                <w:highlight w:val="none"/>
                <w:lang w:val="zh-CN" w:bidi="ar"/>
              </w:rPr>
              <w:t>，</w:t>
            </w:r>
          </w:p>
          <w:p w14:paraId="7D646DAF">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（1）内容详实、需求贴合度高且条理清晰的该条得</w:t>
            </w:r>
            <w:r>
              <w:rPr>
                <w:rFonts w:hint="eastAsia" w:ascii="宋体" w:hAnsi="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lang w:val="en-US" w:eastAsia="zh-CN"/>
              </w:rPr>
              <w:t>分；</w:t>
            </w:r>
          </w:p>
          <w:p w14:paraId="1B5ADF55">
            <w:p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（2）内容较为简单、可行、细节待完善的该条得</w:t>
            </w:r>
            <w:r>
              <w:rPr>
                <w:rFonts w:hint="eastAsia" w:ascii="宋体" w:hAnsi="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lang w:val="en-US" w:eastAsia="zh-CN"/>
              </w:rPr>
              <w:t>分；</w:t>
            </w:r>
          </w:p>
          <w:p w14:paraId="05841676">
            <w:p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（3）内容较为一般的得6分；</w:t>
            </w:r>
          </w:p>
          <w:p w14:paraId="750B6F08">
            <w:pPr>
              <w:widowControl/>
              <w:spacing w:line="320" w:lineRule="exact"/>
              <w:jc w:val="left"/>
              <w:rPr>
                <w:rFonts w:hint="eastAsia" w:ascii="宋体" w:hAnsi="宋体" w:cs="宋体"/>
                <w:color w:val="auto"/>
                <w:sz w:val="18"/>
                <w:szCs w:val="18"/>
                <w:highlight w:val="none"/>
                <w:lang w:val="zh-CN" w:bidi="ar"/>
              </w:rPr>
            </w:pPr>
            <w:r>
              <w:rPr>
                <w:rFonts w:hint="eastAsia" w:ascii="宋体" w:hAnsi="宋体" w:eastAsia="宋体" w:cs="宋体"/>
                <w:color w:val="auto"/>
                <w:kern w:val="0"/>
                <w:sz w:val="18"/>
                <w:szCs w:val="18"/>
                <w:highlight w:val="none"/>
                <w:lang w:val="en-US" w:eastAsia="zh-CN"/>
              </w:rPr>
              <w:t>（4）不符合或未提供不得分</w:t>
            </w:r>
          </w:p>
          <w:p w14:paraId="041F1CCF">
            <w:pPr>
              <w:widowControl/>
              <w:spacing w:line="320" w:lineRule="exact"/>
              <w:jc w:val="left"/>
              <w:rPr>
                <w:rFonts w:ascii="宋体" w:hAnsi="宋体"/>
                <w:color w:val="auto"/>
                <w:sz w:val="24"/>
                <w:szCs w:val="24"/>
                <w:highlight w:val="none"/>
              </w:rPr>
            </w:pPr>
            <w:r>
              <w:rPr>
                <w:rFonts w:hint="eastAsia" w:ascii="宋体" w:hAnsi="宋体" w:cs="宋体"/>
                <w:color w:val="auto"/>
                <w:sz w:val="18"/>
                <w:szCs w:val="18"/>
                <w:highlight w:val="none"/>
              </w:rPr>
              <w:t>注：评标委员会对各个评审因素进行量化时，应当将量化指标建立在同一基础或者同一标准上，使各投标文件具有可比性。</w:t>
            </w:r>
          </w:p>
        </w:tc>
      </w:tr>
      <w:tr w14:paraId="38775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jc w:val="center"/>
        </w:trPr>
        <w:tc>
          <w:tcPr>
            <w:tcW w:w="717" w:type="dxa"/>
            <w:vMerge w:val="continue"/>
            <w:noWrap w:val="0"/>
            <w:vAlign w:val="center"/>
          </w:tcPr>
          <w:p w14:paraId="3BF00FA3">
            <w:pPr>
              <w:widowControl/>
              <w:spacing w:line="360" w:lineRule="exact"/>
              <w:jc w:val="center"/>
              <w:rPr>
                <w:rFonts w:ascii="宋体" w:hAnsi="宋体"/>
                <w:color w:val="auto"/>
                <w:sz w:val="24"/>
                <w:highlight w:val="none"/>
              </w:rPr>
            </w:pPr>
          </w:p>
        </w:tc>
        <w:tc>
          <w:tcPr>
            <w:tcW w:w="738" w:type="dxa"/>
            <w:vMerge w:val="continue"/>
            <w:noWrap w:val="0"/>
            <w:vAlign w:val="center"/>
          </w:tcPr>
          <w:p w14:paraId="6F2D32A0">
            <w:pPr>
              <w:widowControl/>
              <w:spacing w:line="360" w:lineRule="exact"/>
              <w:jc w:val="center"/>
              <w:rPr>
                <w:rFonts w:ascii="宋体" w:hAnsi="宋体"/>
                <w:color w:val="auto"/>
                <w:sz w:val="24"/>
                <w:highlight w:val="none"/>
              </w:rPr>
            </w:pPr>
          </w:p>
        </w:tc>
        <w:tc>
          <w:tcPr>
            <w:tcW w:w="900" w:type="dxa"/>
            <w:noWrap w:val="0"/>
            <w:vAlign w:val="center"/>
          </w:tcPr>
          <w:p w14:paraId="0163B67C">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增值服务承诺</w:t>
            </w:r>
          </w:p>
        </w:tc>
        <w:tc>
          <w:tcPr>
            <w:tcW w:w="735" w:type="dxa"/>
            <w:noWrap w:val="0"/>
            <w:vAlign w:val="center"/>
          </w:tcPr>
          <w:p w14:paraId="19DCE894">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12分</w:t>
            </w:r>
          </w:p>
        </w:tc>
        <w:tc>
          <w:tcPr>
            <w:tcW w:w="6232" w:type="dxa"/>
            <w:gridSpan w:val="2"/>
            <w:noWrap w:val="0"/>
            <w:vAlign w:val="center"/>
          </w:tcPr>
          <w:p w14:paraId="6FFCB459">
            <w:pPr>
              <w:numPr>
                <w:ilvl w:val="0"/>
                <w:numId w:val="0"/>
              </w:numPr>
              <w:rPr>
                <w:rFonts w:hint="eastAsia" w:ascii="宋体" w:hAnsi="宋体" w:eastAsia="宋体" w:cs="宋体"/>
                <w:color w:val="auto"/>
                <w:kern w:val="0"/>
                <w:sz w:val="18"/>
                <w:szCs w:val="18"/>
                <w:highlight w:val="none"/>
                <w:lang w:val="zh-CN" w:eastAsia="zh-CN"/>
              </w:rPr>
            </w:pPr>
            <w:r>
              <w:rPr>
                <w:rFonts w:hint="eastAsia" w:ascii="宋体" w:hAnsi="宋体" w:eastAsia="宋体" w:cs="宋体"/>
                <w:color w:val="auto"/>
                <w:kern w:val="0"/>
                <w:sz w:val="18"/>
                <w:szCs w:val="18"/>
                <w:highlight w:val="none"/>
                <w:lang w:val="en-US" w:eastAsia="zh-CN"/>
              </w:rPr>
              <w:t>评标委员会根据各投标人的增值服务方案（须包含：1）道路救援服务、2）紧急送油服务、3）接电服务、4）更换轮胎服务、5）现场抢修服务</w:t>
            </w:r>
            <w:r>
              <w:rPr>
                <w:rFonts w:hint="eastAsia" w:ascii="宋体" w:hAnsi="宋体" w:eastAsia="宋体" w:cs="宋体"/>
                <w:color w:val="auto"/>
                <w:kern w:val="0"/>
                <w:sz w:val="18"/>
                <w:szCs w:val="18"/>
                <w:highlight w:val="none"/>
                <w:lang w:val="zh-CN"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val="zh-CN" w:eastAsia="zh-CN"/>
              </w:rPr>
              <w:t>减轻客户工作量的合理性的措施方法等方面</w:t>
            </w:r>
            <w:r>
              <w:rPr>
                <w:rFonts w:hint="eastAsia" w:ascii="宋体" w:hAnsi="宋体" w:eastAsia="宋体" w:cs="宋体"/>
                <w:color w:val="auto"/>
                <w:kern w:val="0"/>
                <w:sz w:val="18"/>
                <w:szCs w:val="18"/>
                <w:highlight w:val="none"/>
                <w:lang w:val="en-US" w:eastAsia="zh-CN"/>
              </w:rPr>
              <w:t>）进行评定</w:t>
            </w:r>
            <w:r>
              <w:rPr>
                <w:rFonts w:hint="eastAsia" w:ascii="宋体" w:hAnsi="宋体" w:eastAsia="宋体" w:cs="宋体"/>
                <w:color w:val="auto"/>
                <w:kern w:val="0"/>
                <w:sz w:val="18"/>
                <w:szCs w:val="18"/>
                <w:highlight w:val="none"/>
                <w:lang w:val="zh-CN" w:eastAsia="zh-CN"/>
              </w:rPr>
              <w:t>，</w:t>
            </w:r>
          </w:p>
          <w:p w14:paraId="01BFE82C">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（1）内容详实、需求贴合度高且条理清晰的该条得12分；</w:t>
            </w:r>
          </w:p>
          <w:p w14:paraId="29076C11">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（2）内容较为简单、可行、细节待完善的该条得10分；</w:t>
            </w:r>
          </w:p>
          <w:p w14:paraId="30C716D8">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（3）内容较为一般的得8分；</w:t>
            </w:r>
          </w:p>
          <w:p w14:paraId="4D888D8C">
            <w:pPr>
              <w:numPr>
                <w:ilvl w:val="0"/>
                <w:numId w:val="0"/>
              </w:numPr>
              <w:rPr>
                <w:rFonts w:hint="eastAsia" w:ascii="宋体" w:hAnsi="宋体" w:eastAsia="宋体" w:cs="宋体"/>
                <w:color w:val="auto"/>
                <w:kern w:val="0"/>
                <w:sz w:val="18"/>
                <w:szCs w:val="18"/>
                <w:highlight w:val="none"/>
                <w:lang w:val="zh-CN" w:eastAsia="zh-CN"/>
              </w:rPr>
            </w:pPr>
            <w:r>
              <w:rPr>
                <w:rFonts w:hint="eastAsia" w:ascii="宋体" w:hAnsi="宋体" w:eastAsia="宋体" w:cs="宋体"/>
                <w:color w:val="auto"/>
                <w:kern w:val="0"/>
                <w:sz w:val="18"/>
                <w:szCs w:val="18"/>
                <w:highlight w:val="none"/>
                <w:lang w:val="en-US" w:eastAsia="zh-CN"/>
              </w:rPr>
              <w:t>（4）不符合或未提供不得分</w:t>
            </w:r>
          </w:p>
          <w:p w14:paraId="355346A6">
            <w:pPr>
              <w:numPr>
                <w:ilvl w:val="0"/>
                <w:numId w:val="0"/>
              </w:numPr>
              <w:rPr>
                <w:rFonts w:ascii="宋体" w:hAnsi="宋体"/>
                <w:color w:val="auto"/>
                <w:sz w:val="24"/>
                <w:szCs w:val="24"/>
                <w:highlight w:val="none"/>
              </w:rPr>
            </w:pPr>
            <w:r>
              <w:rPr>
                <w:rFonts w:hint="eastAsia" w:ascii="宋体" w:hAnsi="宋体" w:eastAsia="宋体" w:cs="宋体"/>
                <w:color w:val="auto"/>
                <w:kern w:val="0"/>
                <w:sz w:val="18"/>
                <w:szCs w:val="18"/>
                <w:highlight w:val="none"/>
                <w:lang w:val="en-US" w:eastAsia="zh-CN"/>
              </w:rPr>
              <w:t>注：评标委员会对各个评审因素进行量化时，应当将量化指标建立在同一基础或者同一标准上，使各投标文件具有可比性。</w:t>
            </w:r>
          </w:p>
        </w:tc>
      </w:tr>
      <w:tr w14:paraId="39FCE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717" w:type="dxa"/>
            <w:vMerge w:val="continue"/>
            <w:noWrap w:val="0"/>
            <w:vAlign w:val="center"/>
          </w:tcPr>
          <w:p w14:paraId="4D5CDDD8">
            <w:pPr>
              <w:widowControl/>
              <w:spacing w:line="360" w:lineRule="exact"/>
              <w:jc w:val="center"/>
              <w:rPr>
                <w:rFonts w:ascii="宋体" w:hAnsi="宋体"/>
                <w:color w:val="auto"/>
                <w:sz w:val="24"/>
                <w:highlight w:val="none"/>
              </w:rPr>
            </w:pPr>
          </w:p>
        </w:tc>
        <w:tc>
          <w:tcPr>
            <w:tcW w:w="738" w:type="dxa"/>
            <w:vMerge w:val="continue"/>
            <w:noWrap w:val="0"/>
            <w:vAlign w:val="center"/>
          </w:tcPr>
          <w:p w14:paraId="081B52AA">
            <w:pPr>
              <w:widowControl/>
              <w:spacing w:line="360" w:lineRule="exact"/>
              <w:jc w:val="center"/>
              <w:rPr>
                <w:rFonts w:ascii="宋体" w:hAnsi="宋体"/>
                <w:color w:val="auto"/>
                <w:sz w:val="24"/>
                <w:highlight w:val="none"/>
              </w:rPr>
            </w:pPr>
          </w:p>
        </w:tc>
        <w:tc>
          <w:tcPr>
            <w:tcW w:w="900" w:type="dxa"/>
            <w:noWrap w:val="0"/>
            <w:vAlign w:val="center"/>
          </w:tcPr>
          <w:p w14:paraId="13BE2222">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事故车维修承诺</w:t>
            </w:r>
          </w:p>
        </w:tc>
        <w:tc>
          <w:tcPr>
            <w:tcW w:w="735" w:type="dxa"/>
            <w:noWrap w:val="0"/>
            <w:vAlign w:val="center"/>
          </w:tcPr>
          <w:p w14:paraId="41498819">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1分</w:t>
            </w:r>
          </w:p>
        </w:tc>
        <w:tc>
          <w:tcPr>
            <w:tcW w:w="6232" w:type="dxa"/>
            <w:gridSpan w:val="2"/>
            <w:noWrap w:val="0"/>
            <w:vAlign w:val="center"/>
          </w:tcPr>
          <w:p w14:paraId="34AD5060">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投标人承诺采购人可自主选择维修商的得1分，需提供承诺函加盖投标单位公章，未提供不得分。【格式自拟】</w:t>
            </w:r>
          </w:p>
        </w:tc>
      </w:tr>
      <w:tr w14:paraId="7BFE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717" w:type="dxa"/>
            <w:vMerge w:val="continue"/>
            <w:noWrap w:val="0"/>
            <w:vAlign w:val="center"/>
          </w:tcPr>
          <w:p w14:paraId="447A2E4F">
            <w:pPr>
              <w:widowControl/>
              <w:spacing w:line="360" w:lineRule="exact"/>
              <w:jc w:val="center"/>
              <w:rPr>
                <w:rFonts w:ascii="宋体" w:hAnsi="宋体"/>
                <w:color w:val="auto"/>
                <w:sz w:val="24"/>
                <w:highlight w:val="none"/>
              </w:rPr>
            </w:pPr>
          </w:p>
        </w:tc>
        <w:tc>
          <w:tcPr>
            <w:tcW w:w="738" w:type="dxa"/>
            <w:vMerge w:val="continue"/>
            <w:noWrap w:val="0"/>
            <w:vAlign w:val="center"/>
          </w:tcPr>
          <w:p w14:paraId="79935D98">
            <w:pPr>
              <w:widowControl/>
              <w:spacing w:line="360" w:lineRule="exact"/>
              <w:jc w:val="center"/>
              <w:rPr>
                <w:rFonts w:ascii="宋体" w:hAnsi="宋体"/>
                <w:color w:val="auto"/>
                <w:sz w:val="24"/>
                <w:highlight w:val="none"/>
              </w:rPr>
            </w:pPr>
          </w:p>
        </w:tc>
        <w:tc>
          <w:tcPr>
            <w:tcW w:w="900" w:type="dxa"/>
            <w:noWrap w:val="0"/>
            <w:vAlign w:val="center"/>
          </w:tcPr>
          <w:p w14:paraId="4C3777D5">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办公场所</w:t>
            </w:r>
          </w:p>
        </w:tc>
        <w:tc>
          <w:tcPr>
            <w:tcW w:w="735" w:type="dxa"/>
            <w:noWrap w:val="0"/>
            <w:vAlign w:val="center"/>
          </w:tcPr>
          <w:p w14:paraId="7FC51CB9">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4分</w:t>
            </w:r>
          </w:p>
        </w:tc>
        <w:tc>
          <w:tcPr>
            <w:tcW w:w="6232" w:type="dxa"/>
            <w:gridSpan w:val="2"/>
            <w:noWrap w:val="0"/>
            <w:vAlign w:val="center"/>
          </w:tcPr>
          <w:p w14:paraId="6B9B85F7">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投标人提供响水县自有房产证明或租赁合同、门店照片。</w:t>
            </w:r>
          </w:p>
          <w:p w14:paraId="779272E7">
            <w:pPr>
              <w:numPr>
                <w:ilvl w:val="0"/>
                <w:numId w:val="0"/>
              </w:numP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注：投标文件中须提供相关证明材料的原件彩色扫描件，未提供或提供不全的不得分。</w:t>
            </w:r>
          </w:p>
        </w:tc>
      </w:tr>
    </w:tbl>
    <w:p w14:paraId="0DE5BDEC">
      <w:pPr>
        <w:pStyle w:val="14"/>
        <w:spacing w:beforeAutospacing="0" w:afterAutospacing="0"/>
        <w:jc w:val="both"/>
        <w:rPr>
          <w:color w:val="auto"/>
          <w:highlight w:val="none"/>
        </w:rPr>
      </w:pPr>
    </w:p>
    <w:p w14:paraId="3AE65CBD">
      <w:pPr>
        <w:pStyle w:val="14"/>
        <w:keepNext/>
        <w:spacing w:beforeAutospacing="0" w:afterAutospacing="0"/>
        <w:jc w:val="center"/>
        <w:rPr>
          <w:rFonts w:hint="eastAsia" w:ascii="黑体" w:hAnsi="宋体" w:eastAsia="黑体" w:cs="黑体"/>
          <w:color w:val="auto"/>
          <w:sz w:val="44"/>
          <w:szCs w:val="44"/>
          <w:highlight w:val="none"/>
        </w:rPr>
      </w:pPr>
    </w:p>
    <w:p w14:paraId="394BDBC7">
      <w:pPr>
        <w:pStyle w:val="14"/>
        <w:keepNext/>
        <w:spacing w:beforeAutospacing="0" w:afterAutospacing="0"/>
        <w:jc w:val="center"/>
        <w:rPr>
          <w:color w:val="auto"/>
          <w:highlight w:val="none"/>
        </w:rPr>
      </w:pPr>
      <w:r>
        <w:rPr>
          <w:rFonts w:hint="eastAsia" w:ascii="黑体" w:hAnsi="宋体" w:eastAsia="黑体" w:cs="黑体"/>
          <w:color w:val="auto"/>
          <w:sz w:val="44"/>
          <w:szCs w:val="44"/>
          <w:highlight w:val="none"/>
        </w:rPr>
        <w:t xml:space="preserve">第六章  投标文件格式 </w:t>
      </w:r>
    </w:p>
    <w:p w14:paraId="3FD02197">
      <w:pPr>
        <w:pStyle w:val="14"/>
        <w:spacing w:beforeAutospacing="0" w:afterAutospacing="0"/>
        <w:jc w:val="center"/>
        <w:rPr>
          <w:rFonts w:hint="eastAsia" w:ascii="宋体" w:hAnsi="宋体" w:eastAsia="宋体" w:cs="宋体"/>
          <w:b/>
          <w:color w:val="auto"/>
          <w:sz w:val="72"/>
          <w:szCs w:val="72"/>
          <w:highlight w:val="none"/>
        </w:rPr>
      </w:pPr>
      <w:bookmarkStart w:id="168" w:name="_Toc26554094"/>
      <w:bookmarkEnd w:id="168"/>
      <w:bookmarkStart w:id="169" w:name="_Hlt26955039"/>
      <w:bookmarkEnd w:id="169"/>
      <w:bookmarkStart w:id="170" w:name="_Hlt26671244"/>
      <w:bookmarkEnd w:id="170"/>
      <w:bookmarkStart w:id="171" w:name="_Toc49090576"/>
      <w:bookmarkStart w:id="172" w:name="_Toc120614282"/>
    </w:p>
    <w:p w14:paraId="14D7A9D0">
      <w:pPr>
        <w:pStyle w:val="14"/>
        <w:spacing w:beforeAutospacing="0" w:afterAutospacing="0"/>
        <w:jc w:val="center"/>
        <w:rPr>
          <w:color w:val="auto"/>
          <w:highlight w:val="none"/>
        </w:rPr>
      </w:pPr>
      <w:r>
        <w:rPr>
          <w:rFonts w:hint="eastAsia" w:ascii="宋体" w:hAnsi="宋体" w:eastAsia="宋体" w:cs="宋体"/>
          <w:b/>
          <w:color w:val="auto"/>
          <w:sz w:val="72"/>
          <w:szCs w:val="72"/>
          <w:highlight w:val="none"/>
        </w:rPr>
        <w:t>投  标  文  件</w:t>
      </w:r>
    </w:p>
    <w:p w14:paraId="22DEB80C">
      <w:pPr>
        <w:pStyle w:val="14"/>
        <w:spacing w:beforeAutospacing="0" w:afterAutospacing="0"/>
        <w:jc w:val="center"/>
        <w:rPr>
          <w:color w:val="auto"/>
          <w:highlight w:val="none"/>
        </w:rPr>
      </w:pPr>
      <w:r>
        <w:rPr>
          <w:color w:val="auto"/>
          <w:highlight w:val="none"/>
        </w:rPr>
        <w:t> </w:t>
      </w:r>
    </w:p>
    <w:p w14:paraId="71BD0C14">
      <w:pPr>
        <w:pStyle w:val="14"/>
        <w:spacing w:beforeAutospacing="0" w:afterAutospacing="0"/>
        <w:jc w:val="center"/>
        <w:rPr>
          <w:color w:val="auto"/>
          <w:highlight w:val="none"/>
        </w:rPr>
      </w:pPr>
      <w:r>
        <w:rPr>
          <w:color w:val="auto"/>
          <w:highlight w:val="none"/>
        </w:rPr>
        <w:t> </w:t>
      </w:r>
    </w:p>
    <w:p w14:paraId="5FA049E5">
      <w:pPr>
        <w:pStyle w:val="14"/>
        <w:spacing w:beforeAutospacing="0" w:afterAutospacing="0"/>
        <w:jc w:val="center"/>
        <w:rPr>
          <w:color w:val="auto"/>
          <w:highlight w:val="none"/>
        </w:rPr>
      </w:pPr>
    </w:p>
    <w:p w14:paraId="308F89C2">
      <w:pPr>
        <w:pStyle w:val="14"/>
        <w:spacing w:beforeAutospacing="0" w:afterAutospacing="0"/>
        <w:jc w:val="center"/>
        <w:rPr>
          <w:color w:val="auto"/>
          <w:highlight w:val="none"/>
        </w:rPr>
      </w:pPr>
    </w:p>
    <w:p w14:paraId="4EDAC6A9">
      <w:pPr>
        <w:pStyle w:val="14"/>
        <w:spacing w:beforeAutospacing="0" w:afterAutospacing="0"/>
        <w:jc w:val="center"/>
        <w:rPr>
          <w:color w:val="auto"/>
          <w:highlight w:val="none"/>
        </w:rPr>
      </w:pPr>
    </w:p>
    <w:p w14:paraId="2BECC11D">
      <w:pPr>
        <w:pStyle w:val="14"/>
        <w:spacing w:beforeAutospacing="0" w:afterAutospacing="0"/>
        <w:jc w:val="center"/>
        <w:rPr>
          <w:color w:val="auto"/>
          <w:highlight w:val="none"/>
        </w:rPr>
      </w:pPr>
    </w:p>
    <w:p w14:paraId="518557ED">
      <w:pPr>
        <w:pStyle w:val="14"/>
        <w:spacing w:beforeAutospacing="0" w:afterAutospacing="0"/>
        <w:jc w:val="center"/>
        <w:rPr>
          <w:color w:val="auto"/>
          <w:highlight w:val="none"/>
        </w:rPr>
      </w:pPr>
    </w:p>
    <w:p w14:paraId="206E38AE">
      <w:pPr>
        <w:pStyle w:val="14"/>
        <w:spacing w:beforeAutospacing="0" w:afterAutospacing="0"/>
        <w:jc w:val="center"/>
        <w:rPr>
          <w:color w:val="auto"/>
          <w:highlight w:val="none"/>
        </w:rPr>
      </w:pPr>
    </w:p>
    <w:p w14:paraId="2D06A84E">
      <w:pPr>
        <w:pStyle w:val="14"/>
        <w:spacing w:beforeAutospacing="0" w:afterAutospacing="0"/>
        <w:jc w:val="center"/>
        <w:rPr>
          <w:color w:val="auto"/>
          <w:highlight w:val="none"/>
        </w:rPr>
      </w:pPr>
    </w:p>
    <w:p w14:paraId="67C33AAD">
      <w:pPr>
        <w:pStyle w:val="14"/>
        <w:spacing w:beforeAutospacing="0" w:afterAutospacing="0"/>
        <w:jc w:val="center"/>
        <w:rPr>
          <w:color w:val="auto"/>
          <w:highlight w:val="none"/>
        </w:rPr>
      </w:pPr>
    </w:p>
    <w:p w14:paraId="45662850">
      <w:pPr>
        <w:pStyle w:val="14"/>
        <w:spacing w:beforeAutospacing="0" w:afterAutospacing="0"/>
        <w:jc w:val="center"/>
        <w:rPr>
          <w:color w:val="auto"/>
          <w:highlight w:val="none"/>
        </w:rPr>
      </w:pPr>
    </w:p>
    <w:p w14:paraId="14CECC71">
      <w:pPr>
        <w:pStyle w:val="14"/>
        <w:spacing w:beforeAutospacing="0" w:afterAutospacing="0"/>
        <w:jc w:val="center"/>
        <w:rPr>
          <w:color w:val="auto"/>
          <w:highlight w:val="none"/>
        </w:rPr>
      </w:pPr>
      <w:r>
        <w:rPr>
          <w:color w:val="auto"/>
          <w:highlight w:val="none"/>
        </w:rPr>
        <w:t> </w:t>
      </w:r>
    </w:p>
    <w:p w14:paraId="6CF50948">
      <w:pPr>
        <w:pStyle w:val="14"/>
        <w:spacing w:beforeAutospacing="0" w:afterAutospacing="0"/>
        <w:jc w:val="center"/>
        <w:rPr>
          <w:color w:val="auto"/>
          <w:highlight w:val="none"/>
        </w:rPr>
      </w:pPr>
      <w:r>
        <w:rPr>
          <w:color w:val="auto"/>
          <w:highlight w:val="none"/>
        </w:rPr>
        <w:t> </w:t>
      </w:r>
    </w:p>
    <w:p w14:paraId="059E7B16">
      <w:pPr>
        <w:pStyle w:val="14"/>
        <w:spacing w:beforeAutospacing="0" w:afterAutospacing="0"/>
        <w:jc w:val="center"/>
        <w:rPr>
          <w:color w:val="auto"/>
          <w:highlight w:val="none"/>
        </w:rPr>
      </w:pPr>
      <w:r>
        <w:rPr>
          <w:color w:val="auto"/>
          <w:highlight w:val="none"/>
        </w:rPr>
        <w:t> </w:t>
      </w:r>
    </w:p>
    <w:p w14:paraId="47A79981">
      <w:pPr>
        <w:pStyle w:val="14"/>
        <w:spacing w:beforeAutospacing="0" w:afterAutospacing="0"/>
        <w:ind w:firstLine="1084"/>
        <w:jc w:val="both"/>
        <w:rPr>
          <w:color w:val="auto"/>
          <w:highlight w:val="none"/>
        </w:rPr>
      </w:pPr>
      <w:r>
        <w:rPr>
          <w:rFonts w:hint="eastAsia" w:ascii="宋体" w:hAnsi="宋体" w:eastAsia="宋体" w:cs="宋体"/>
          <w:b/>
          <w:color w:val="auto"/>
          <w:sz w:val="36"/>
          <w:szCs w:val="36"/>
          <w:highlight w:val="none"/>
        </w:rPr>
        <w:t>项目 名 称：</w:t>
      </w:r>
      <w:r>
        <w:rPr>
          <w:rFonts w:hint="eastAsia" w:ascii="宋体" w:hAnsi="宋体" w:eastAsia="宋体" w:cs="宋体"/>
          <w:b/>
          <w:color w:val="auto"/>
          <w:sz w:val="36"/>
          <w:szCs w:val="36"/>
          <w:highlight w:val="none"/>
          <w:u w:val="single"/>
        </w:rPr>
        <w:t xml:space="preserve">               </w:t>
      </w:r>
    </w:p>
    <w:p w14:paraId="45010DBF">
      <w:pPr>
        <w:pStyle w:val="14"/>
        <w:spacing w:beforeAutospacing="0" w:afterAutospacing="0"/>
        <w:ind w:firstLine="1084"/>
        <w:jc w:val="both"/>
        <w:rPr>
          <w:color w:val="auto"/>
          <w:highlight w:val="none"/>
        </w:rPr>
      </w:pPr>
      <w:r>
        <w:rPr>
          <w:rFonts w:hint="eastAsia" w:ascii="宋体" w:hAnsi="宋体" w:eastAsia="宋体" w:cs="宋体"/>
          <w:b/>
          <w:color w:val="auto"/>
          <w:sz w:val="36"/>
          <w:szCs w:val="36"/>
          <w:highlight w:val="none"/>
        </w:rPr>
        <w:t>项目 编 号：</w:t>
      </w:r>
      <w:r>
        <w:rPr>
          <w:rFonts w:hint="eastAsia" w:ascii="宋体" w:hAnsi="宋体" w:eastAsia="宋体" w:cs="宋体"/>
          <w:b/>
          <w:color w:val="auto"/>
          <w:sz w:val="36"/>
          <w:szCs w:val="36"/>
          <w:highlight w:val="none"/>
          <w:u w:val="single"/>
        </w:rPr>
        <w:t xml:space="preserve">               </w:t>
      </w:r>
    </w:p>
    <w:p w14:paraId="122284D3">
      <w:pPr>
        <w:pStyle w:val="14"/>
        <w:spacing w:beforeAutospacing="0" w:afterAutospacing="0"/>
        <w:jc w:val="both"/>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   投标人名称 ：</w:t>
      </w:r>
      <w:r>
        <w:rPr>
          <w:rFonts w:hint="eastAsia" w:ascii="宋体" w:hAnsi="宋体" w:eastAsia="宋体" w:cs="宋体"/>
          <w:b/>
          <w:color w:val="auto"/>
          <w:sz w:val="36"/>
          <w:szCs w:val="36"/>
          <w:highlight w:val="none"/>
          <w:u w:val="single"/>
        </w:rPr>
        <w:t>（加盖</w:t>
      </w:r>
      <w:r>
        <w:rPr>
          <w:rFonts w:hint="eastAsia" w:ascii="宋体" w:hAnsi="宋体" w:eastAsia="宋体" w:cs="宋体"/>
          <w:b/>
          <w:color w:val="auto"/>
          <w:sz w:val="36"/>
          <w:szCs w:val="36"/>
          <w:highlight w:val="none"/>
          <w:u w:val="single"/>
          <w:lang w:val="en-US" w:eastAsia="zh-CN"/>
        </w:rPr>
        <w:t>投标供应商</w:t>
      </w:r>
      <w:r>
        <w:rPr>
          <w:rFonts w:hint="eastAsia" w:ascii="宋体" w:hAnsi="宋体" w:eastAsia="宋体" w:cs="宋体"/>
          <w:b/>
          <w:color w:val="auto"/>
          <w:sz w:val="36"/>
          <w:szCs w:val="36"/>
          <w:highlight w:val="none"/>
          <w:u w:val="single"/>
        </w:rPr>
        <w:t xml:space="preserve">公章）     </w:t>
      </w:r>
    </w:p>
    <w:p w14:paraId="76AF89DD">
      <w:pPr>
        <w:pStyle w:val="14"/>
        <w:spacing w:beforeAutospacing="0" w:afterAutospacing="0"/>
        <w:jc w:val="both"/>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 </w:t>
      </w:r>
      <w:r>
        <w:rPr>
          <w:rFonts w:hint="eastAsia" w:ascii="宋体" w:hAnsi="宋体" w:eastAsia="宋体" w:cs="宋体"/>
          <w:b/>
          <w:color w:val="auto"/>
          <w:sz w:val="36"/>
          <w:szCs w:val="36"/>
          <w:highlight w:val="none"/>
          <w:lang w:val="en-US" w:eastAsia="zh-CN"/>
        </w:rPr>
        <w:t xml:space="preserve">    法定代表人或授权委托人：</w:t>
      </w:r>
      <w:r>
        <w:rPr>
          <w:rFonts w:hint="eastAsia" w:ascii="宋体" w:hAnsi="宋体" w:eastAsia="宋体" w:cs="宋体"/>
          <w:b/>
          <w:color w:val="auto"/>
          <w:sz w:val="36"/>
          <w:szCs w:val="36"/>
          <w:highlight w:val="none"/>
          <w:u w:val="single"/>
        </w:rPr>
        <w:t>        </w:t>
      </w:r>
    </w:p>
    <w:p w14:paraId="3947E53D">
      <w:pPr>
        <w:pStyle w:val="14"/>
        <w:spacing w:beforeAutospacing="0" w:afterAutospacing="0"/>
        <w:ind w:firstLine="1084" w:firstLineChars="300"/>
        <w:jc w:val="both"/>
        <w:rPr>
          <w:color w:val="auto"/>
          <w:highlight w:val="none"/>
        </w:rPr>
      </w:pPr>
      <w:r>
        <w:rPr>
          <w:rFonts w:hint="eastAsia" w:ascii="宋体" w:hAnsi="宋体" w:eastAsia="宋体" w:cs="宋体"/>
          <w:b/>
          <w:color w:val="auto"/>
          <w:sz w:val="36"/>
          <w:szCs w:val="36"/>
          <w:highlight w:val="none"/>
        </w:rPr>
        <w:t>日   期 ：</w:t>
      </w:r>
      <w:r>
        <w:rPr>
          <w:rFonts w:hint="eastAsia" w:ascii="宋体" w:hAnsi="宋体" w:eastAsia="宋体" w:cs="宋体"/>
          <w:b/>
          <w:color w:val="auto"/>
          <w:sz w:val="36"/>
          <w:szCs w:val="36"/>
          <w:highlight w:val="none"/>
          <w:u w:val="single"/>
        </w:rPr>
        <w:t>                     </w:t>
      </w:r>
    </w:p>
    <w:p w14:paraId="008F6786">
      <w:pPr>
        <w:pStyle w:val="14"/>
        <w:spacing w:beforeAutospacing="0" w:afterAutospacing="0" w:line="0" w:lineRule="atLeast"/>
        <w:jc w:val="center"/>
        <w:rPr>
          <w:color w:val="auto"/>
          <w:highlight w:val="none"/>
        </w:rPr>
      </w:pPr>
      <w:r>
        <w:rPr>
          <w:color w:val="auto"/>
          <w:highlight w:val="none"/>
        </w:rPr>
        <w:t> </w:t>
      </w:r>
    </w:p>
    <w:p w14:paraId="0004A50C">
      <w:pPr>
        <w:pStyle w:val="14"/>
        <w:spacing w:beforeAutospacing="0" w:afterAutospacing="0" w:line="0" w:lineRule="atLeast"/>
        <w:jc w:val="both"/>
        <w:rPr>
          <w:color w:val="auto"/>
          <w:highlight w:val="none"/>
        </w:rPr>
      </w:pPr>
      <w:r>
        <w:rPr>
          <w:color w:val="auto"/>
          <w:highlight w:val="none"/>
        </w:rPr>
        <w:t> </w:t>
      </w:r>
    </w:p>
    <w:p w14:paraId="79EF6E88">
      <w:pPr>
        <w:pStyle w:val="14"/>
        <w:spacing w:beforeAutospacing="0" w:afterAutospacing="0" w:line="0" w:lineRule="atLeast"/>
        <w:jc w:val="center"/>
        <w:rPr>
          <w:rFonts w:ascii="宋体" w:hAnsi="宋体" w:eastAsia="宋体" w:cs="宋体"/>
          <w:b/>
          <w:color w:val="auto"/>
          <w:sz w:val="36"/>
          <w:szCs w:val="36"/>
          <w:highlight w:val="none"/>
          <w:u w:val="single"/>
        </w:rPr>
      </w:pPr>
    </w:p>
    <w:p w14:paraId="508E2E8E">
      <w:pPr>
        <w:pStyle w:val="14"/>
        <w:spacing w:beforeAutospacing="0" w:afterAutospacing="0" w:line="0" w:lineRule="atLeast"/>
        <w:jc w:val="both"/>
        <w:rPr>
          <w:rFonts w:ascii="宋体" w:hAnsi="宋体" w:eastAsia="宋体" w:cs="宋体"/>
          <w:b/>
          <w:color w:val="auto"/>
          <w:sz w:val="36"/>
          <w:szCs w:val="36"/>
          <w:highlight w:val="none"/>
          <w:u w:val="single"/>
        </w:rPr>
      </w:pPr>
    </w:p>
    <w:p w14:paraId="6EAA78E2">
      <w:pPr>
        <w:pStyle w:val="14"/>
        <w:spacing w:beforeAutospacing="0" w:afterAutospacing="0" w:line="0" w:lineRule="atLeast"/>
        <w:jc w:val="center"/>
        <w:rPr>
          <w:rFonts w:ascii="宋体" w:hAnsi="宋体" w:eastAsia="宋体" w:cs="宋体"/>
          <w:b/>
          <w:color w:val="auto"/>
          <w:sz w:val="36"/>
          <w:szCs w:val="36"/>
          <w:highlight w:val="none"/>
          <w:u w:val="single"/>
        </w:rPr>
      </w:pPr>
    </w:p>
    <w:p w14:paraId="25F9088A">
      <w:pPr>
        <w:pStyle w:val="14"/>
        <w:spacing w:beforeAutospacing="0" w:afterAutospacing="0" w:line="0" w:lineRule="atLeast"/>
        <w:jc w:val="center"/>
        <w:rPr>
          <w:rFonts w:ascii="宋体" w:hAnsi="宋体" w:eastAsia="宋体" w:cs="宋体"/>
          <w:b/>
          <w:color w:val="auto"/>
          <w:sz w:val="36"/>
          <w:szCs w:val="36"/>
          <w:highlight w:val="none"/>
          <w:u w:val="single"/>
        </w:rPr>
      </w:pPr>
    </w:p>
    <w:p w14:paraId="161FDDC3">
      <w:pPr>
        <w:pStyle w:val="14"/>
        <w:spacing w:beforeAutospacing="0" w:afterAutospacing="0" w:line="0" w:lineRule="atLeast"/>
        <w:jc w:val="center"/>
        <w:rPr>
          <w:rFonts w:ascii="宋体" w:hAnsi="宋体" w:eastAsia="宋体" w:cs="宋体"/>
          <w:b/>
          <w:color w:val="auto"/>
          <w:sz w:val="36"/>
          <w:szCs w:val="36"/>
          <w:highlight w:val="none"/>
          <w:u w:val="single"/>
        </w:rPr>
      </w:pPr>
    </w:p>
    <w:p w14:paraId="67ECDF75">
      <w:pPr>
        <w:pStyle w:val="14"/>
        <w:spacing w:beforeAutospacing="0" w:afterAutospacing="0" w:line="0" w:lineRule="atLeast"/>
        <w:jc w:val="center"/>
        <w:rPr>
          <w:rFonts w:ascii="宋体" w:hAnsi="宋体" w:eastAsia="宋体" w:cs="宋体"/>
          <w:b/>
          <w:color w:val="auto"/>
          <w:sz w:val="36"/>
          <w:szCs w:val="36"/>
          <w:highlight w:val="none"/>
          <w:u w:val="single"/>
        </w:rPr>
      </w:pPr>
    </w:p>
    <w:p w14:paraId="06EE6D93">
      <w:pPr>
        <w:pStyle w:val="14"/>
        <w:spacing w:beforeAutospacing="0" w:afterAutospacing="0" w:line="0" w:lineRule="atLeast"/>
        <w:jc w:val="center"/>
        <w:rPr>
          <w:color w:val="auto"/>
          <w:highlight w:val="none"/>
        </w:rPr>
      </w:pPr>
      <w:r>
        <w:rPr>
          <w:rFonts w:hint="eastAsia" w:ascii="宋体" w:hAnsi="宋体" w:eastAsia="宋体" w:cs="宋体"/>
          <w:b/>
          <w:color w:val="auto"/>
          <w:sz w:val="32"/>
          <w:szCs w:val="32"/>
          <w:highlight w:val="none"/>
        </w:rPr>
        <w:t>投标文件目录</w:t>
      </w:r>
    </w:p>
    <w:p w14:paraId="30EA27C7">
      <w:pPr>
        <w:pStyle w:val="14"/>
        <w:spacing w:beforeAutospacing="0" w:afterAutospacing="0" w:line="0" w:lineRule="atLeast"/>
        <w:jc w:val="center"/>
        <w:rPr>
          <w:color w:val="auto"/>
          <w:highlight w:val="none"/>
        </w:rPr>
      </w:pPr>
      <w:r>
        <w:rPr>
          <w:color w:val="auto"/>
          <w:highlight w:val="none"/>
        </w:rPr>
        <w:t> </w:t>
      </w:r>
    </w:p>
    <w:p w14:paraId="5713C76E">
      <w:pPr>
        <w:pStyle w:val="14"/>
        <w:spacing w:beforeAutospacing="0" w:afterAutospacing="0"/>
        <w:ind w:left="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一、法人或者其他组织的营业执照等证明文件，自然人的身份证明</w:t>
      </w:r>
    </w:p>
    <w:p w14:paraId="0631C9D2">
      <w:pPr>
        <w:tabs>
          <w:tab w:val="left" w:pos="1331"/>
        </w:tabs>
        <w:bidi w:val="0"/>
        <w:ind w:firstLine="480" w:firstLineChars="200"/>
        <w:jc w:val="left"/>
        <w:rPr>
          <w:rFonts w:hint="eastAsia" w:ascii="宋体" w:hAnsi="宋体" w:eastAsia="宋体" w:cs="宋体"/>
          <w:i w:val="0"/>
          <w:iCs/>
          <w:color w:val="auto"/>
          <w:kern w:val="0"/>
          <w:sz w:val="24"/>
          <w:szCs w:val="24"/>
          <w:highlight w:val="none"/>
          <w:u w:val="none"/>
          <w:lang w:val="en-US" w:eastAsia="zh-CN" w:bidi="ar-SA"/>
        </w:rPr>
      </w:pPr>
      <w:r>
        <w:rPr>
          <w:rFonts w:hint="eastAsia" w:ascii="宋体" w:hAnsi="宋体" w:eastAsia="宋体" w:cs="宋体"/>
          <w:i w:val="0"/>
          <w:iCs/>
          <w:color w:val="auto"/>
          <w:kern w:val="0"/>
          <w:sz w:val="24"/>
          <w:szCs w:val="24"/>
          <w:highlight w:val="none"/>
          <w:u w:val="none"/>
          <w:lang w:val="en-US" w:eastAsia="zh-CN" w:bidi="ar-SA"/>
        </w:rPr>
        <w:t>二、上一年度的财务状况报告（至少提供资产负债表、利润表、现金流量表，</w:t>
      </w:r>
    </w:p>
    <w:p w14:paraId="0C60B884">
      <w:pPr>
        <w:pStyle w:val="14"/>
        <w:spacing w:beforeAutospacing="0" w:afterAutospacing="0"/>
        <w:ind w:left="480"/>
        <w:jc w:val="both"/>
        <w:rPr>
          <w:rFonts w:hint="eastAsia" w:ascii="宋体" w:hAnsi="宋体" w:eastAsia="宋体" w:cs="宋体"/>
          <w:i w:val="0"/>
          <w:iCs/>
          <w:color w:val="auto"/>
          <w:kern w:val="0"/>
          <w:sz w:val="24"/>
          <w:szCs w:val="24"/>
          <w:highlight w:val="none"/>
          <w:u w:val="none"/>
          <w:lang w:val="en-US" w:eastAsia="zh-CN" w:bidi="ar-SA"/>
        </w:rPr>
      </w:pPr>
      <w:r>
        <w:rPr>
          <w:rFonts w:hint="eastAsia" w:ascii="宋体" w:hAnsi="宋体" w:eastAsia="宋体" w:cs="宋体"/>
          <w:i w:val="0"/>
          <w:iCs/>
          <w:color w:val="auto"/>
          <w:kern w:val="0"/>
          <w:sz w:val="24"/>
          <w:szCs w:val="24"/>
          <w:highlight w:val="none"/>
          <w:u w:val="none"/>
          <w:lang w:val="en-US" w:eastAsia="zh-CN" w:bidi="ar-SA"/>
        </w:rPr>
        <w:t>投标人成立不满一年无需提供）</w:t>
      </w:r>
    </w:p>
    <w:p w14:paraId="42ACAE88">
      <w:pPr>
        <w:pStyle w:val="14"/>
        <w:spacing w:beforeAutospacing="0" w:afterAutospacing="0"/>
        <w:ind w:left="480"/>
        <w:jc w:val="both"/>
        <w:rPr>
          <w:rFonts w:hint="eastAsia" w:ascii="宋体" w:hAnsi="宋体" w:eastAsia="宋体" w:cs="宋体"/>
          <w:i w:val="0"/>
          <w:iCs/>
          <w:color w:val="auto"/>
          <w:highlight w:val="none"/>
          <w:u w:val="none"/>
        </w:rPr>
      </w:pPr>
      <w:r>
        <w:rPr>
          <w:rFonts w:hint="eastAsia" w:ascii="宋体" w:hAnsi="宋体" w:eastAsia="宋体" w:cs="宋体"/>
          <w:i w:val="0"/>
          <w:iCs/>
          <w:color w:val="auto"/>
          <w:highlight w:val="none"/>
          <w:u w:val="none"/>
          <w:lang w:val="en-US" w:eastAsia="zh-CN"/>
        </w:rPr>
        <w:t>三</w:t>
      </w:r>
      <w:r>
        <w:rPr>
          <w:rFonts w:hint="eastAsia" w:ascii="宋体" w:hAnsi="宋体" w:eastAsia="宋体" w:cs="宋体"/>
          <w:i w:val="0"/>
          <w:iCs/>
          <w:color w:val="auto"/>
          <w:highlight w:val="none"/>
          <w:u w:val="none"/>
        </w:rPr>
        <w:t>、具备履行合同所必需的设备和专业技术能力的书面声明</w:t>
      </w:r>
    </w:p>
    <w:p w14:paraId="3F988CBE">
      <w:pPr>
        <w:pStyle w:val="14"/>
        <w:spacing w:beforeAutospacing="0" w:afterAutospacing="0"/>
        <w:ind w:left="480"/>
        <w:jc w:val="both"/>
        <w:rPr>
          <w:rFonts w:hint="eastAsia" w:ascii="宋体" w:hAnsi="宋体" w:eastAsia="宋体" w:cs="宋体"/>
          <w:i w:val="0"/>
          <w:iCs/>
          <w:color w:val="auto"/>
          <w:highlight w:val="none"/>
          <w:u w:val="none"/>
        </w:rPr>
      </w:pPr>
      <w:r>
        <w:rPr>
          <w:rFonts w:hint="eastAsia" w:ascii="宋体" w:hAnsi="宋体" w:eastAsia="宋体" w:cs="宋体"/>
          <w:i w:val="0"/>
          <w:iCs/>
          <w:color w:val="auto"/>
          <w:highlight w:val="none"/>
          <w:u w:val="none"/>
          <w:lang w:val="en-US" w:eastAsia="zh-CN"/>
        </w:rPr>
        <w:t>四</w:t>
      </w:r>
      <w:r>
        <w:rPr>
          <w:rFonts w:hint="eastAsia" w:ascii="宋体" w:hAnsi="宋体" w:eastAsia="宋体" w:cs="宋体"/>
          <w:i w:val="0"/>
          <w:iCs/>
          <w:color w:val="auto"/>
          <w:highlight w:val="none"/>
          <w:u w:val="none"/>
        </w:rPr>
        <w:t>、依法缴纳税收和社会保障资金的相关材料（提供提交投标文件截止时间前一年内至少一个月依法缴纳税收及缴纳社会保障资金的证明材料。投标人依法享受缓缴、免缴税收、社会保障资金的提供证明材料）</w:t>
      </w:r>
    </w:p>
    <w:p w14:paraId="58936FC6">
      <w:pPr>
        <w:pStyle w:val="14"/>
        <w:spacing w:beforeAutospacing="0" w:afterAutospacing="0"/>
        <w:ind w:left="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五、参加政府采购活动前 3 年内在经营活动中没有重大违法记录的书面声明</w:t>
      </w:r>
    </w:p>
    <w:p w14:paraId="6CFBDE60">
      <w:pPr>
        <w:pStyle w:val="14"/>
        <w:spacing w:beforeAutospacing="0" w:afterAutospacing="0"/>
        <w:ind w:left="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六、特定资格要求的证明文件（如果本项目设置特定资格要求，则需要提供）</w:t>
      </w:r>
    </w:p>
    <w:p w14:paraId="3E3E3867">
      <w:pPr>
        <w:pStyle w:val="14"/>
        <w:spacing w:beforeAutospacing="0" w:afterAutospacing="0"/>
        <w:ind w:left="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七、法人授权书</w:t>
      </w:r>
    </w:p>
    <w:p w14:paraId="3BDE6B94">
      <w:pPr>
        <w:pStyle w:val="14"/>
        <w:spacing w:beforeAutospacing="0" w:afterAutospacing="0"/>
        <w:ind w:left="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八、投标函</w:t>
      </w:r>
    </w:p>
    <w:p w14:paraId="0263EB78">
      <w:pPr>
        <w:pStyle w:val="14"/>
        <w:spacing w:beforeAutospacing="0" w:afterAutospacing="0" w:line="0" w:lineRule="atLeast"/>
        <w:ind w:firstLine="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lang w:val="en-US" w:eastAsia="zh-CN"/>
        </w:rPr>
        <w:t>九</w:t>
      </w:r>
      <w:r>
        <w:rPr>
          <w:rFonts w:hint="eastAsia" w:ascii="宋体" w:hAnsi="宋体" w:eastAsia="宋体" w:cs="宋体"/>
          <w:i w:val="0"/>
          <w:iCs/>
          <w:color w:val="auto"/>
          <w:highlight w:val="none"/>
          <w:u w:val="none"/>
        </w:rPr>
        <w:t>、联合体协议</w:t>
      </w:r>
    </w:p>
    <w:p w14:paraId="260078DA">
      <w:pPr>
        <w:pStyle w:val="14"/>
        <w:spacing w:beforeAutospacing="0" w:afterAutospacing="0" w:line="0" w:lineRule="atLeast"/>
        <w:ind w:firstLine="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十、技术要求响应及偏离表</w:t>
      </w:r>
    </w:p>
    <w:p w14:paraId="7D69B72A">
      <w:pPr>
        <w:pStyle w:val="14"/>
        <w:spacing w:beforeAutospacing="0" w:afterAutospacing="0" w:line="0" w:lineRule="atLeast"/>
        <w:ind w:firstLine="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十</w:t>
      </w:r>
      <w:r>
        <w:rPr>
          <w:rFonts w:hint="eastAsia" w:ascii="宋体" w:hAnsi="宋体" w:eastAsia="宋体" w:cs="宋体"/>
          <w:i w:val="0"/>
          <w:iCs/>
          <w:color w:val="auto"/>
          <w:highlight w:val="none"/>
          <w:u w:val="none"/>
          <w:lang w:val="en-US" w:eastAsia="zh-CN"/>
        </w:rPr>
        <w:t>一</w:t>
      </w:r>
      <w:r>
        <w:rPr>
          <w:rFonts w:hint="eastAsia" w:ascii="宋体" w:hAnsi="宋体" w:eastAsia="宋体" w:cs="宋体"/>
          <w:i w:val="0"/>
          <w:iCs/>
          <w:color w:val="auto"/>
          <w:highlight w:val="none"/>
          <w:u w:val="none"/>
        </w:rPr>
        <w:t>、商务要求响应及偏离表</w:t>
      </w:r>
    </w:p>
    <w:p w14:paraId="48EFFF5A">
      <w:pPr>
        <w:pStyle w:val="14"/>
        <w:spacing w:beforeAutospacing="0" w:afterAutospacing="0"/>
        <w:ind w:left="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十</w:t>
      </w:r>
      <w:r>
        <w:rPr>
          <w:rFonts w:hint="eastAsia" w:ascii="宋体" w:hAnsi="宋体" w:eastAsia="宋体" w:cs="宋体"/>
          <w:i w:val="0"/>
          <w:iCs/>
          <w:color w:val="auto"/>
          <w:highlight w:val="none"/>
          <w:u w:val="none"/>
          <w:lang w:val="en-US" w:eastAsia="zh-CN"/>
        </w:rPr>
        <w:t>二</w:t>
      </w:r>
      <w:r>
        <w:rPr>
          <w:rFonts w:hint="eastAsia" w:ascii="宋体" w:hAnsi="宋体" w:eastAsia="宋体" w:cs="宋体"/>
          <w:i w:val="0"/>
          <w:iCs/>
          <w:color w:val="auto"/>
          <w:highlight w:val="none"/>
          <w:u w:val="none"/>
        </w:rPr>
        <w:t>、开标一览表</w:t>
      </w:r>
    </w:p>
    <w:p w14:paraId="161CCAB1">
      <w:pPr>
        <w:widowControl/>
        <w:spacing w:before="50" w:after="50"/>
        <w:ind w:firstLine="480" w:firstLineChars="200"/>
        <w:rPr>
          <w:rFonts w:ascii="宋体" w:hAnsi="宋体" w:eastAsia="宋体" w:cs="宋体"/>
          <w:i w:val="0"/>
          <w:iCs/>
          <w:color w:val="auto"/>
          <w:kern w:val="0"/>
          <w:sz w:val="24"/>
          <w:highlight w:val="none"/>
          <w:u w:val="none"/>
        </w:rPr>
      </w:pPr>
      <w:r>
        <w:rPr>
          <w:rFonts w:hint="eastAsia" w:ascii="宋体" w:hAnsi="宋体" w:eastAsia="宋体" w:cs="宋体"/>
          <w:i w:val="0"/>
          <w:iCs/>
          <w:color w:val="auto"/>
          <w:kern w:val="0"/>
          <w:sz w:val="24"/>
          <w:highlight w:val="none"/>
          <w:u w:val="none"/>
        </w:rPr>
        <w:t>十</w:t>
      </w:r>
      <w:r>
        <w:rPr>
          <w:rFonts w:hint="eastAsia" w:ascii="宋体" w:hAnsi="宋体" w:eastAsia="宋体" w:cs="宋体"/>
          <w:i w:val="0"/>
          <w:iCs/>
          <w:color w:val="auto"/>
          <w:kern w:val="0"/>
          <w:sz w:val="24"/>
          <w:highlight w:val="none"/>
          <w:u w:val="none"/>
          <w:lang w:val="en-US" w:eastAsia="zh-CN"/>
        </w:rPr>
        <w:t>三</w:t>
      </w:r>
      <w:r>
        <w:rPr>
          <w:rFonts w:hint="eastAsia" w:ascii="宋体" w:hAnsi="宋体" w:eastAsia="宋体" w:cs="宋体"/>
          <w:i w:val="0"/>
          <w:iCs/>
          <w:color w:val="auto"/>
          <w:kern w:val="0"/>
          <w:sz w:val="24"/>
          <w:highlight w:val="none"/>
          <w:u w:val="none"/>
        </w:rPr>
        <w:t>、技术方案、服务承诺、培训承诺等</w:t>
      </w:r>
    </w:p>
    <w:p w14:paraId="138E25DE">
      <w:pPr>
        <w:pStyle w:val="14"/>
        <w:spacing w:beforeAutospacing="0" w:afterAutospacing="0" w:line="360" w:lineRule="auto"/>
        <w:ind w:firstLine="480"/>
        <w:jc w:val="both"/>
        <w:rPr>
          <w:rFonts w:ascii="宋体" w:hAnsi="宋体" w:eastAsia="宋体" w:cs="宋体"/>
          <w:i w:val="0"/>
          <w:iCs/>
          <w:color w:val="auto"/>
          <w:highlight w:val="none"/>
          <w:u w:val="none"/>
        </w:rPr>
      </w:pPr>
      <w:r>
        <w:rPr>
          <w:rFonts w:hint="eastAsia" w:ascii="宋体" w:hAnsi="宋体" w:eastAsia="宋体" w:cs="宋体"/>
          <w:i w:val="0"/>
          <w:iCs/>
          <w:color w:val="auto"/>
          <w:highlight w:val="none"/>
          <w:u w:val="none"/>
        </w:rPr>
        <w:t>十</w:t>
      </w:r>
      <w:r>
        <w:rPr>
          <w:rFonts w:hint="eastAsia" w:ascii="宋体" w:hAnsi="宋体" w:eastAsia="宋体" w:cs="宋体"/>
          <w:i w:val="0"/>
          <w:iCs/>
          <w:color w:val="auto"/>
          <w:highlight w:val="none"/>
          <w:u w:val="none"/>
          <w:lang w:val="en-US" w:eastAsia="zh-CN"/>
        </w:rPr>
        <w:t>四</w:t>
      </w:r>
      <w:r>
        <w:rPr>
          <w:rFonts w:hint="eastAsia" w:ascii="宋体" w:hAnsi="宋体" w:eastAsia="宋体" w:cs="宋体"/>
          <w:i w:val="0"/>
          <w:iCs/>
          <w:color w:val="auto"/>
          <w:highlight w:val="none"/>
          <w:u w:val="none"/>
        </w:rPr>
        <w:t>、采购事前信用承诺书</w:t>
      </w:r>
    </w:p>
    <w:p w14:paraId="2B4328CE">
      <w:pPr>
        <w:pStyle w:val="14"/>
        <w:spacing w:beforeAutospacing="0" w:afterAutospacing="0" w:line="0" w:lineRule="atLeast"/>
        <w:ind w:firstLine="480"/>
        <w:jc w:val="both"/>
        <w:rPr>
          <w:rFonts w:ascii="宋体" w:hAnsi="宋体" w:eastAsia="宋体" w:cs="宋体"/>
          <w:color w:val="auto"/>
          <w:highlight w:val="none"/>
        </w:rPr>
      </w:pPr>
    </w:p>
    <w:p w14:paraId="77C0513D">
      <w:pPr>
        <w:pStyle w:val="14"/>
        <w:spacing w:beforeAutospacing="0" w:afterAutospacing="0" w:line="0" w:lineRule="atLeast"/>
        <w:ind w:firstLine="480"/>
        <w:jc w:val="both"/>
        <w:rPr>
          <w:rFonts w:ascii="宋体" w:hAnsi="宋体" w:eastAsia="宋体" w:cs="宋体"/>
          <w:color w:val="auto"/>
          <w:highlight w:val="none"/>
        </w:rPr>
      </w:pPr>
    </w:p>
    <w:p w14:paraId="28A2EEB9">
      <w:pPr>
        <w:pStyle w:val="14"/>
        <w:spacing w:beforeAutospacing="0" w:afterAutospacing="0" w:line="0" w:lineRule="atLeast"/>
        <w:ind w:firstLine="480"/>
        <w:jc w:val="both"/>
        <w:rPr>
          <w:color w:val="auto"/>
          <w:highlight w:val="none"/>
        </w:rPr>
      </w:pPr>
      <w:r>
        <w:rPr>
          <w:color w:val="auto"/>
          <w:highlight w:val="none"/>
        </w:rPr>
        <w:t> </w:t>
      </w:r>
    </w:p>
    <w:p w14:paraId="57ED5C12">
      <w:pPr>
        <w:pStyle w:val="14"/>
        <w:spacing w:beforeAutospacing="0" w:afterAutospacing="0" w:line="0" w:lineRule="atLeast"/>
        <w:ind w:firstLine="480"/>
        <w:jc w:val="both"/>
        <w:rPr>
          <w:color w:val="auto"/>
          <w:highlight w:val="none"/>
        </w:rPr>
      </w:pPr>
    </w:p>
    <w:p w14:paraId="3CF2DB2C">
      <w:pPr>
        <w:pStyle w:val="14"/>
        <w:spacing w:beforeAutospacing="0" w:afterAutospacing="0" w:line="0" w:lineRule="atLeast"/>
        <w:ind w:firstLine="480"/>
        <w:jc w:val="both"/>
        <w:rPr>
          <w:color w:val="auto"/>
          <w:highlight w:val="none"/>
        </w:rPr>
      </w:pPr>
    </w:p>
    <w:p w14:paraId="124DD40F">
      <w:pPr>
        <w:pStyle w:val="14"/>
        <w:spacing w:beforeAutospacing="0" w:afterAutospacing="0" w:line="0" w:lineRule="atLeast"/>
        <w:ind w:firstLine="480"/>
        <w:jc w:val="both"/>
        <w:rPr>
          <w:color w:val="auto"/>
          <w:highlight w:val="none"/>
        </w:rPr>
      </w:pPr>
    </w:p>
    <w:p w14:paraId="7852D89B">
      <w:pPr>
        <w:pStyle w:val="14"/>
        <w:spacing w:beforeAutospacing="0" w:afterAutospacing="0" w:line="0" w:lineRule="atLeast"/>
        <w:ind w:firstLine="480"/>
        <w:jc w:val="both"/>
        <w:rPr>
          <w:color w:val="auto"/>
          <w:highlight w:val="none"/>
        </w:rPr>
      </w:pPr>
    </w:p>
    <w:p w14:paraId="4294D02C">
      <w:pPr>
        <w:pStyle w:val="14"/>
        <w:spacing w:beforeAutospacing="0" w:afterAutospacing="0" w:line="0" w:lineRule="atLeast"/>
        <w:ind w:firstLine="480"/>
        <w:jc w:val="both"/>
        <w:rPr>
          <w:color w:val="auto"/>
          <w:highlight w:val="none"/>
        </w:rPr>
      </w:pPr>
    </w:p>
    <w:p w14:paraId="4634703E">
      <w:pPr>
        <w:pStyle w:val="14"/>
        <w:spacing w:beforeAutospacing="0" w:afterAutospacing="0" w:line="0" w:lineRule="atLeast"/>
        <w:ind w:firstLine="480"/>
        <w:jc w:val="both"/>
        <w:rPr>
          <w:color w:val="auto"/>
          <w:highlight w:val="none"/>
        </w:rPr>
      </w:pPr>
    </w:p>
    <w:p w14:paraId="1A4B5BC9">
      <w:pPr>
        <w:pStyle w:val="14"/>
        <w:spacing w:beforeAutospacing="0" w:afterAutospacing="0" w:line="0" w:lineRule="atLeast"/>
        <w:ind w:firstLine="480"/>
        <w:jc w:val="both"/>
        <w:rPr>
          <w:color w:val="auto"/>
          <w:highlight w:val="none"/>
        </w:rPr>
      </w:pPr>
    </w:p>
    <w:p w14:paraId="6B8460D8">
      <w:pPr>
        <w:pStyle w:val="14"/>
        <w:spacing w:beforeAutospacing="0" w:afterAutospacing="0" w:line="0" w:lineRule="atLeast"/>
        <w:ind w:firstLine="480"/>
        <w:jc w:val="both"/>
        <w:rPr>
          <w:color w:val="auto"/>
          <w:highlight w:val="none"/>
        </w:rPr>
      </w:pPr>
    </w:p>
    <w:p w14:paraId="4D36CF71">
      <w:pPr>
        <w:pStyle w:val="14"/>
        <w:spacing w:beforeAutospacing="0" w:afterAutospacing="0" w:line="0" w:lineRule="atLeast"/>
        <w:ind w:firstLine="480"/>
        <w:jc w:val="both"/>
        <w:rPr>
          <w:color w:val="auto"/>
          <w:highlight w:val="none"/>
        </w:rPr>
      </w:pPr>
    </w:p>
    <w:p w14:paraId="252DE08E">
      <w:pPr>
        <w:pStyle w:val="14"/>
        <w:spacing w:beforeAutospacing="0" w:afterAutospacing="0" w:line="0" w:lineRule="atLeast"/>
        <w:ind w:firstLine="480"/>
        <w:jc w:val="both"/>
        <w:rPr>
          <w:color w:val="auto"/>
          <w:highlight w:val="none"/>
        </w:rPr>
      </w:pPr>
    </w:p>
    <w:p w14:paraId="543D1337">
      <w:pPr>
        <w:pStyle w:val="14"/>
        <w:spacing w:beforeAutospacing="0" w:afterAutospacing="0" w:line="0" w:lineRule="atLeast"/>
        <w:ind w:firstLine="480"/>
        <w:jc w:val="both"/>
        <w:rPr>
          <w:color w:val="auto"/>
          <w:highlight w:val="none"/>
        </w:rPr>
      </w:pPr>
    </w:p>
    <w:p w14:paraId="72D6DEE7">
      <w:pPr>
        <w:pStyle w:val="14"/>
        <w:spacing w:beforeAutospacing="0" w:afterAutospacing="0" w:line="0" w:lineRule="atLeast"/>
        <w:ind w:firstLine="480"/>
        <w:jc w:val="both"/>
        <w:rPr>
          <w:color w:val="auto"/>
          <w:highlight w:val="none"/>
        </w:rPr>
      </w:pPr>
    </w:p>
    <w:p w14:paraId="39B1F8A1">
      <w:pPr>
        <w:pStyle w:val="14"/>
        <w:spacing w:beforeAutospacing="0" w:afterAutospacing="0" w:line="0" w:lineRule="atLeast"/>
        <w:ind w:firstLine="480"/>
        <w:jc w:val="both"/>
        <w:rPr>
          <w:color w:val="auto"/>
          <w:highlight w:val="none"/>
        </w:rPr>
      </w:pPr>
    </w:p>
    <w:p w14:paraId="571070F4">
      <w:pPr>
        <w:pStyle w:val="14"/>
        <w:spacing w:beforeAutospacing="0" w:afterAutospacing="0" w:line="0" w:lineRule="atLeast"/>
        <w:ind w:firstLine="480"/>
        <w:jc w:val="both"/>
        <w:rPr>
          <w:color w:val="auto"/>
          <w:highlight w:val="none"/>
        </w:rPr>
      </w:pPr>
    </w:p>
    <w:p w14:paraId="675F1568">
      <w:pPr>
        <w:pStyle w:val="14"/>
        <w:spacing w:beforeAutospacing="0" w:afterAutospacing="0" w:line="0" w:lineRule="atLeast"/>
        <w:ind w:firstLine="480"/>
        <w:jc w:val="both"/>
        <w:rPr>
          <w:color w:val="auto"/>
          <w:highlight w:val="none"/>
        </w:rPr>
      </w:pPr>
    </w:p>
    <w:p w14:paraId="702B7A3F">
      <w:pPr>
        <w:pStyle w:val="14"/>
        <w:spacing w:beforeAutospacing="0" w:afterAutospacing="0" w:line="0" w:lineRule="atLeast"/>
        <w:ind w:firstLine="480"/>
        <w:jc w:val="both"/>
        <w:rPr>
          <w:color w:val="auto"/>
          <w:highlight w:val="none"/>
        </w:rPr>
      </w:pPr>
    </w:p>
    <w:p w14:paraId="1D6F9C33">
      <w:pPr>
        <w:pStyle w:val="14"/>
        <w:spacing w:beforeAutospacing="0" w:afterAutospacing="0" w:line="0" w:lineRule="atLeast"/>
        <w:ind w:firstLine="480"/>
        <w:jc w:val="both"/>
        <w:rPr>
          <w:color w:val="auto"/>
          <w:highlight w:val="none"/>
        </w:rPr>
      </w:pPr>
    </w:p>
    <w:p w14:paraId="309A9E18">
      <w:pPr>
        <w:pStyle w:val="14"/>
        <w:spacing w:beforeAutospacing="0" w:afterAutospacing="0" w:line="0" w:lineRule="atLeast"/>
        <w:ind w:firstLine="480"/>
        <w:jc w:val="both"/>
        <w:rPr>
          <w:color w:val="auto"/>
          <w:highlight w:val="none"/>
        </w:rPr>
      </w:pPr>
    </w:p>
    <w:p w14:paraId="790569CF">
      <w:pPr>
        <w:pStyle w:val="14"/>
        <w:spacing w:beforeAutospacing="0" w:afterAutospacing="0" w:line="0" w:lineRule="atLeast"/>
        <w:ind w:firstLine="480"/>
        <w:jc w:val="both"/>
        <w:rPr>
          <w:color w:val="auto"/>
          <w:highlight w:val="none"/>
        </w:rPr>
      </w:pPr>
    </w:p>
    <w:p w14:paraId="3FEC30E4">
      <w:pPr>
        <w:pStyle w:val="14"/>
        <w:spacing w:beforeAutospacing="0" w:afterAutospacing="0" w:line="0" w:lineRule="atLeast"/>
        <w:ind w:firstLine="480"/>
        <w:jc w:val="both"/>
        <w:rPr>
          <w:color w:val="auto"/>
          <w:highlight w:val="none"/>
        </w:rPr>
      </w:pPr>
    </w:p>
    <w:p w14:paraId="261B9B28">
      <w:pPr>
        <w:spacing w:line="440" w:lineRule="exact"/>
        <w:jc w:val="center"/>
        <w:outlineLvl w:val="0"/>
        <w:rPr>
          <w:rFonts w:hint="eastAsia" w:ascii="宋体" w:hAnsi="宋体" w:cs="宋体"/>
          <w:b/>
          <w:color w:val="auto"/>
          <w:sz w:val="30"/>
          <w:szCs w:val="30"/>
          <w:highlight w:val="none"/>
        </w:rPr>
      </w:pPr>
      <w:r>
        <w:rPr>
          <w:color w:val="auto"/>
          <w:highlight w:val="none"/>
        </w:rPr>
        <w:t> </w:t>
      </w:r>
      <w:r>
        <w:rPr>
          <w:rFonts w:hint="eastAsia" w:ascii="宋体" w:hAnsi="宋体" w:cs="宋体"/>
          <w:color w:val="auto"/>
          <w:sz w:val="28"/>
          <w:szCs w:val="28"/>
          <w:highlight w:val="none"/>
        </w:rPr>
        <w:t xml:space="preserve">   </w:t>
      </w:r>
      <w:bookmarkStart w:id="173" w:name="_Toc16871"/>
      <w:bookmarkStart w:id="174" w:name="_Toc6243"/>
      <w:bookmarkStart w:id="175" w:name="_Toc21505"/>
      <w:r>
        <w:rPr>
          <w:rFonts w:hint="eastAsia" w:ascii="宋体" w:hAnsi="宋体"/>
          <w:b/>
          <w:bCs/>
          <w:color w:val="auto"/>
          <w:sz w:val="28"/>
          <w:szCs w:val="28"/>
          <w:highlight w:val="none"/>
        </w:rPr>
        <w:t>评分索引表</w:t>
      </w:r>
      <w:bookmarkEnd w:id="173"/>
      <w:r>
        <w:rPr>
          <w:rFonts w:hint="eastAsia" w:ascii="宋体" w:hAnsi="宋体"/>
          <w:b/>
          <w:bCs/>
          <w:color w:val="auto"/>
          <w:sz w:val="28"/>
          <w:szCs w:val="28"/>
          <w:highlight w:val="none"/>
        </w:rPr>
        <w:t>（格式自拟</w:t>
      </w:r>
      <w:r>
        <w:rPr>
          <w:rFonts w:hint="eastAsia" w:ascii="宋体" w:hAnsi="宋体" w:cs="宋体"/>
          <w:b/>
          <w:color w:val="auto"/>
          <w:sz w:val="30"/>
          <w:szCs w:val="30"/>
          <w:highlight w:val="none"/>
        </w:rPr>
        <w:t>）</w:t>
      </w:r>
      <w:bookmarkEnd w:id="174"/>
      <w:bookmarkEnd w:id="175"/>
    </w:p>
    <w:p w14:paraId="3CCA273D">
      <w:pPr>
        <w:spacing w:line="440" w:lineRule="exact"/>
        <w:jc w:val="center"/>
        <w:rPr>
          <w:rFonts w:hint="eastAsia" w:ascii="宋体" w:hAnsi="宋体" w:cs="宋体"/>
          <w:b/>
          <w:color w:val="auto"/>
          <w:sz w:val="30"/>
          <w:szCs w:val="30"/>
          <w:highlight w:val="none"/>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6677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vAlign w:val="center"/>
          </w:tcPr>
          <w:p w14:paraId="12E036C0">
            <w:pPr>
              <w:pStyle w:val="23"/>
              <w:shd w:val="clear" w:color="auto" w:fill="FFFFFF"/>
              <w:spacing w:line="265" w:lineRule="atLeast"/>
              <w:ind w:left="420" w:firstLine="0" w:firstLineChars="0"/>
              <w:jc w:val="center"/>
              <w:rPr>
                <w:rFonts w:hint="eastAsia" w:ascii="宋体" w:hAnsi="宋体" w:cs="宋体"/>
                <w:b/>
                <w:bCs/>
                <w:color w:val="auto"/>
                <w:highlight w:val="none"/>
              </w:rPr>
            </w:pPr>
            <w:r>
              <w:rPr>
                <w:rFonts w:hint="eastAsia" w:ascii="宋体" w:hAnsi="宋体" w:cs="宋体"/>
                <w:b/>
                <w:color w:val="auto"/>
                <w:highlight w:val="none"/>
              </w:rPr>
              <w:t>评分项目</w:t>
            </w:r>
          </w:p>
        </w:tc>
        <w:tc>
          <w:tcPr>
            <w:tcW w:w="3570" w:type="dxa"/>
            <w:vAlign w:val="center"/>
          </w:tcPr>
          <w:p w14:paraId="387B1A3B">
            <w:pPr>
              <w:jc w:val="center"/>
              <w:rPr>
                <w:rFonts w:hint="eastAsia" w:ascii="宋体" w:hAnsi="宋体" w:cs="宋体"/>
                <w:b/>
                <w:color w:val="auto"/>
                <w:highlight w:val="none"/>
              </w:rPr>
            </w:pPr>
            <w:r>
              <w:rPr>
                <w:rFonts w:hint="eastAsia" w:ascii="宋体" w:hAnsi="宋体" w:cs="宋体"/>
                <w:b/>
                <w:color w:val="auto"/>
                <w:kern w:val="0"/>
                <w:sz w:val="24"/>
                <w:highlight w:val="none"/>
                <w:lang w:bidi="en-US"/>
              </w:rPr>
              <w:t>在投标文件中的页码位置</w:t>
            </w:r>
          </w:p>
        </w:tc>
      </w:tr>
      <w:tr w14:paraId="2690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14:paraId="46E67992">
            <w:pPr>
              <w:pStyle w:val="23"/>
              <w:shd w:val="clear" w:color="auto" w:fill="FFFFFF"/>
              <w:spacing w:line="265" w:lineRule="atLeast"/>
              <w:ind w:left="420" w:firstLine="0" w:firstLineChars="0"/>
              <w:rPr>
                <w:rFonts w:hint="eastAsia" w:ascii="宋体" w:hAnsi="宋体" w:cs="宋体"/>
                <w:b/>
                <w:color w:val="auto"/>
                <w:highlight w:val="none"/>
              </w:rPr>
            </w:pPr>
          </w:p>
        </w:tc>
        <w:tc>
          <w:tcPr>
            <w:tcW w:w="3570" w:type="dxa"/>
          </w:tcPr>
          <w:p w14:paraId="351FC813">
            <w:pPr>
              <w:rPr>
                <w:rFonts w:hint="eastAsia" w:ascii="宋体" w:hAnsi="宋体" w:cs="宋体"/>
                <w:b/>
                <w:color w:val="auto"/>
                <w:kern w:val="0"/>
                <w:sz w:val="24"/>
                <w:highlight w:val="none"/>
                <w:lang w:bidi="en-US"/>
              </w:rPr>
            </w:pPr>
          </w:p>
        </w:tc>
      </w:tr>
      <w:tr w14:paraId="0E72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14:paraId="41D015E0">
            <w:pPr>
              <w:pStyle w:val="23"/>
              <w:shd w:val="clear" w:color="auto" w:fill="FFFFFF"/>
              <w:spacing w:line="265" w:lineRule="atLeast"/>
              <w:ind w:left="420" w:firstLine="0" w:firstLineChars="0"/>
              <w:rPr>
                <w:rFonts w:hint="eastAsia" w:ascii="宋体" w:hAnsi="宋体" w:cs="宋体"/>
                <w:color w:val="auto"/>
                <w:highlight w:val="none"/>
              </w:rPr>
            </w:pPr>
          </w:p>
        </w:tc>
      </w:tr>
      <w:tr w14:paraId="6E2B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51EC3C15">
            <w:pPr>
              <w:pStyle w:val="23"/>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18D3191D">
            <w:pPr>
              <w:rPr>
                <w:rFonts w:hint="eastAsia" w:ascii="宋体" w:hAnsi="宋体" w:cs="宋体"/>
                <w:color w:val="auto"/>
                <w:highlight w:val="none"/>
              </w:rPr>
            </w:pPr>
          </w:p>
        </w:tc>
      </w:tr>
      <w:tr w14:paraId="7C37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60139718">
            <w:pPr>
              <w:pStyle w:val="23"/>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59F3DE93">
            <w:pPr>
              <w:rPr>
                <w:rFonts w:hint="eastAsia" w:ascii="宋体" w:hAnsi="宋体" w:cs="宋体"/>
                <w:color w:val="auto"/>
                <w:highlight w:val="none"/>
              </w:rPr>
            </w:pPr>
          </w:p>
        </w:tc>
      </w:tr>
      <w:tr w14:paraId="0692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6CEDB411">
            <w:pPr>
              <w:pStyle w:val="23"/>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400326BE">
            <w:pPr>
              <w:rPr>
                <w:rFonts w:hint="eastAsia" w:ascii="宋体" w:hAnsi="宋体" w:cs="宋体"/>
                <w:color w:val="auto"/>
                <w:highlight w:val="none"/>
              </w:rPr>
            </w:pPr>
          </w:p>
        </w:tc>
      </w:tr>
      <w:tr w14:paraId="20ED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74B3DDA1">
            <w:pPr>
              <w:pStyle w:val="23"/>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6B535BB3">
            <w:pPr>
              <w:rPr>
                <w:rFonts w:hint="eastAsia" w:ascii="宋体" w:hAnsi="宋体" w:cs="宋体"/>
                <w:color w:val="auto"/>
                <w:highlight w:val="none"/>
              </w:rPr>
            </w:pPr>
          </w:p>
        </w:tc>
      </w:tr>
      <w:tr w14:paraId="4F71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595F29C9">
            <w:pPr>
              <w:pStyle w:val="23"/>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6B941804">
            <w:pPr>
              <w:rPr>
                <w:rFonts w:hint="eastAsia" w:ascii="宋体" w:hAnsi="宋体" w:cs="宋体"/>
                <w:color w:val="auto"/>
                <w:highlight w:val="none"/>
              </w:rPr>
            </w:pPr>
          </w:p>
        </w:tc>
      </w:tr>
      <w:tr w14:paraId="5FCE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14:paraId="3D1598F6">
            <w:pPr>
              <w:pStyle w:val="23"/>
              <w:shd w:val="clear" w:color="auto" w:fill="FFFFFF"/>
              <w:spacing w:line="265" w:lineRule="atLeast"/>
              <w:ind w:left="420" w:firstLine="0" w:firstLineChars="0"/>
              <w:rPr>
                <w:rFonts w:hint="eastAsia" w:ascii="宋体" w:hAnsi="宋体" w:cs="宋体"/>
                <w:color w:val="auto"/>
                <w:highlight w:val="none"/>
              </w:rPr>
            </w:pPr>
          </w:p>
        </w:tc>
      </w:tr>
      <w:tr w14:paraId="1A48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14:paraId="67E9B467">
            <w:pPr>
              <w:pStyle w:val="23"/>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0FE67903">
            <w:pPr>
              <w:rPr>
                <w:rFonts w:hint="eastAsia" w:ascii="宋体" w:hAnsi="宋体" w:cs="宋体"/>
                <w:color w:val="auto"/>
                <w:highlight w:val="none"/>
              </w:rPr>
            </w:pPr>
          </w:p>
        </w:tc>
      </w:tr>
      <w:tr w14:paraId="48F5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14:paraId="3B619392">
            <w:pPr>
              <w:pStyle w:val="23"/>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275988A0">
            <w:pPr>
              <w:rPr>
                <w:rFonts w:hint="eastAsia" w:ascii="宋体" w:hAnsi="宋体" w:cs="宋体"/>
                <w:color w:val="auto"/>
                <w:highlight w:val="none"/>
              </w:rPr>
            </w:pPr>
          </w:p>
        </w:tc>
      </w:tr>
      <w:tr w14:paraId="56D4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14:paraId="612590BC">
            <w:pPr>
              <w:pStyle w:val="23"/>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48EF0ECC">
            <w:pPr>
              <w:rPr>
                <w:rFonts w:hint="eastAsia" w:ascii="宋体" w:hAnsi="宋体" w:cs="宋体"/>
                <w:color w:val="auto"/>
                <w:highlight w:val="none"/>
              </w:rPr>
            </w:pPr>
          </w:p>
        </w:tc>
      </w:tr>
      <w:tr w14:paraId="3650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14:paraId="703864A4">
            <w:pPr>
              <w:pStyle w:val="23"/>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47F671C6">
            <w:pPr>
              <w:rPr>
                <w:rFonts w:hint="eastAsia" w:ascii="宋体" w:hAnsi="宋体" w:cs="宋体"/>
                <w:color w:val="auto"/>
                <w:highlight w:val="none"/>
              </w:rPr>
            </w:pPr>
          </w:p>
        </w:tc>
      </w:tr>
      <w:tr w14:paraId="75AE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14:paraId="7488B95B">
            <w:pPr>
              <w:pStyle w:val="23"/>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192A8856">
            <w:pPr>
              <w:rPr>
                <w:rFonts w:hint="eastAsia" w:ascii="宋体" w:hAnsi="宋体" w:cs="宋体"/>
                <w:color w:val="auto"/>
                <w:highlight w:val="none"/>
              </w:rPr>
            </w:pPr>
          </w:p>
        </w:tc>
      </w:tr>
      <w:tr w14:paraId="31AF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14:paraId="3F70EE9B">
            <w:pPr>
              <w:pStyle w:val="23"/>
              <w:shd w:val="clear" w:color="auto" w:fill="FFFFFF"/>
              <w:spacing w:line="265" w:lineRule="atLeast"/>
              <w:ind w:left="420" w:firstLine="0" w:firstLineChars="0"/>
              <w:rPr>
                <w:rFonts w:hint="eastAsia" w:ascii="宋体" w:hAnsi="宋体" w:cs="宋体"/>
                <w:b/>
                <w:color w:val="auto"/>
                <w:highlight w:val="none"/>
              </w:rPr>
            </w:pPr>
          </w:p>
        </w:tc>
      </w:tr>
      <w:tr w14:paraId="2E22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3FE44D1D">
            <w:pPr>
              <w:pStyle w:val="23"/>
              <w:shd w:val="clear" w:color="auto" w:fill="FFFFFF"/>
              <w:spacing w:line="265" w:lineRule="atLeast"/>
              <w:ind w:left="420" w:firstLine="0" w:firstLineChars="0"/>
              <w:rPr>
                <w:rFonts w:hint="eastAsia" w:ascii="宋体" w:hAnsi="宋体" w:cs="宋体"/>
                <w:b/>
                <w:bCs/>
                <w:color w:val="auto"/>
                <w:highlight w:val="none"/>
              </w:rPr>
            </w:pPr>
          </w:p>
        </w:tc>
        <w:tc>
          <w:tcPr>
            <w:tcW w:w="3570" w:type="dxa"/>
          </w:tcPr>
          <w:p w14:paraId="6C08A26D">
            <w:pPr>
              <w:rPr>
                <w:rFonts w:hint="eastAsia" w:ascii="宋体" w:hAnsi="宋体" w:cs="宋体"/>
                <w:color w:val="auto"/>
                <w:highlight w:val="none"/>
              </w:rPr>
            </w:pPr>
          </w:p>
        </w:tc>
      </w:tr>
      <w:tr w14:paraId="2751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1125C158">
            <w:pPr>
              <w:pStyle w:val="23"/>
              <w:shd w:val="clear" w:color="auto" w:fill="FFFFFF"/>
              <w:spacing w:line="265" w:lineRule="atLeast"/>
              <w:ind w:left="420" w:firstLine="0" w:firstLineChars="0"/>
              <w:rPr>
                <w:rFonts w:hint="eastAsia" w:ascii="宋体" w:hAnsi="宋体" w:cs="宋体"/>
                <w:color w:val="auto"/>
                <w:highlight w:val="none"/>
              </w:rPr>
            </w:pPr>
          </w:p>
        </w:tc>
        <w:tc>
          <w:tcPr>
            <w:tcW w:w="3570" w:type="dxa"/>
          </w:tcPr>
          <w:p w14:paraId="7195781A">
            <w:pPr>
              <w:rPr>
                <w:rFonts w:hint="eastAsia" w:ascii="宋体" w:hAnsi="宋体" w:cs="宋体"/>
                <w:color w:val="auto"/>
                <w:highlight w:val="none"/>
              </w:rPr>
            </w:pPr>
          </w:p>
        </w:tc>
      </w:tr>
      <w:tr w14:paraId="7DA3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2A7FC0A8">
            <w:pPr>
              <w:pStyle w:val="23"/>
              <w:shd w:val="clear" w:color="auto" w:fill="FFFFFF"/>
              <w:spacing w:line="265" w:lineRule="atLeast"/>
              <w:ind w:left="420" w:firstLine="0" w:firstLineChars="0"/>
              <w:rPr>
                <w:rFonts w:hint="eastAsia" w:ascii="宋体" w:hAnsi="宋体" w:cs="宋体"/>
                <w:b/>
                <w:bCs/>
                <w:color w:val="auto"/>
                <w:highlight w:val="none"/>
              </w:rPr>
            </w:pPr>
          </w:p>
        </w:tc>
        <w:tc>
          <w:tcPr>
            <w:tcW w:w="3570" w:type="dxa"/>
          </w:tcPr>
          <w:p w14:paraId="5BD8D467">
            <w:pPr>
              <w:rPr>
                <w:rFonts w:hint="eastAsia" w:ascii="宋体" w:hAnsi="宋体" w:cs="宋体"/>
                <w:color w:val="auto"/>
                <w:highlight w:val="none"/>
              </w:rPr>
            </w:pPr>
          </w:p>
        </w:tc>
      </w:tr>
      <w:tr w14:paraId="18E1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14:paraId="51353040">
            <w:pPr>
              <w:pStyle w:val="23"/>
              <w:shd w:val="clear" w:color="auto" w:fill="FFFFFF"/>
              <w:spacing w:line="265" w:lineRule="atLeast"/>
              <w:ind w:left="420" w:firstLine="0" w:firstLineChars="0"/>
              <w:rPr>
                <w:rFonts w:hint="eastAsia" w:ascii="宋体" w:hAnsi="宋体" w:cs="宋体"/>
                <w:b/>
                <w:color w:val="auto"/>
                <w:highlight w:val="none"/>
              </w:rPr>
            </w:pPr>
          </w:p>
        </w:tc>
      </w:tr>
      <w:tr w14:paraId="6A5C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14:paraId="57A58EF4">
            <w:pPr>
              <w:pStyle w:val="23"/>
              <w:shd w:val="clear" w:color="auto" w:fill="FFFFFF"/>
              <w:spacing w:line="265" w:lineRule="atLeast"/>
              <w:ind w:firstLine="0" w:firstLineChars="0"/>
              <w:rPr>
                <w:rFonts w:hint="eastAsia" w:ascii="宋体" w:hAnsi="宋体" w:cs="宋体"/>
                <w:color w:val="auto"/>
                <w:szCs w:val="21"/>
                <w:highlight w:val="none"/>
              </w:rPr>
            </w:pPr>
          </w:p>
        </w:tc>
        <w:tc>
          <w:tcPr>
            <w:tcW w:w="3570" w:type="dxa"/>
          </w:tcPr>
          <w:p w14:paraId="33B0D0C9">
            <w:pPr>
              <w:rPr>
                <w:rFonts w:hint="eastAsia" w:ascii="宋体" w:hAnsi="宋体" w:cs="宋体"/>
                <w:color w:val="auto"/>
                <w:highlight w:val="none"/>
              </w:rPr>
            </w:pPr>
          </w:p>
        </w:tc>
      </w:tr>
      <w:tr w14:paraId="7C8C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14:paraId="5995033C">
            <w:pPr>
              <w:pStyle w:val="23"/>
              <w:shd w:val="clear" w:color="auto" w:fill="FFFFFF"/>
              <w:spacing w:line="265" w:lineRule="atLeast"/>
              <w:ind w:firstLine="0" w:firstLineChars="0"/>
              <w:rPr>
                <w:rFonts w:hint="eastAsia" w:ascii="宋体" w:hAnsi="宋体" w:cs="宋体"/>
                <w:color w:val="auto"/>
                <w:highlight w:val="none"/>
              </w:rPr>
            </w:pPr>
          </w:p>
        </w:tc>
        <w:tc>
          <w:tcPr>
            <w:tcW w:w="3570" w:type="dxa"/>
            <w:tcBorders>
              <w:bottom w:val="single" w:color="auto" w:sz="4" w:space="0"/>
            </w:tcBorders>
          </w:tcPr>
          <w:p w14:paraId="1D4EBB34">
            <w:pPr>
              <w:rPr>
                <w:rFonts w:hint="eastAsia" w:ascii="宋体" w:hAnsi="宋体" w:cs="宋体"/>
                <w:color w:val="auto"/>
                <w:highlight w:val="none"/>
              </w:rPr>
            </w:pPr>
          </w:p>
        </w:tc>
      </w:tr>
    </w:tbl>
    <w:p w14:paraId="15993BF7">
      <w:pPr>
        <w:pStyle w:val="14"/>
        <w:spacing w:beforeAutospacing="0" w:afterAutospacing="0" w:line="0" w:lineRule="atLeast"/>
        <w:ind w:firstLine="480"/>
        <w:jc w:val="both"/>
        <w:rPr>
          <w:color w:val="auto"/>
          <w:highlight w:val="none"/>
        </w:rPr>
      </w:pPr>
    </w:p>
    <w:p w14:paraId="41206A44">
      <w:pPr>
        <w:pStyle w:val="14"/>
        <w:spacing w:beforeAutospacing="0" w:afterAutospacing="0" w:line="0" w:lineRule="atLeast"/>
        <w:ind w:firstLine="480"/>
        <w:jc w:val="both"/>
        <w:rPr>
          <w:color w:val="auto"/>
          <w:highlight w:val="none"/>
        </w:rPr>
      </w:pPr>
      <w:r>
        <w:rPr>
          <w:color w:val="auto"/>
          <w:highlight w:val="none"/>
        </w:rPr>
        <w:t> </w:t>
      </w:r>
    </w:p>
    <w:p w14:paraId="7E08E7EC">
      <w:pPr>
        <w:pStyle w:val="14"/>
        <w:spacing w:beforeAutospacing="0" w:afterAutospacing="0" w:line="0" w:lineRule="atLeast"/>
        <w:ind w:firstLine="480"/>
        <w:jc w:val="both"/>
        <w:rPr>
          <w:color w:val="auto"/>
          <w:highlight w:val="none"/>
        </w:rPr>
      </w:pPr>
      <w:r>
        <w:rPr>
          <w:color w:val="auto"/>
          <w:highlight w:val="none"/>
        </w:rPr>
        <w:t> </w:t>
      </w:r>
    </w:p>
    <w:p w14:paraId="22FD2207">
      <w:pPr>
        <w:pStyle w:val="14"/>
        <w:spacing w:beforeAutospacing="0" w:afterAutospacing="0" w:line="0" w:lineRule="atLeast"/>
        <w:ind w:firstLine="480"/>
        <w:jc w:val="both"/>
        <w:rPr>
          <w:color w:val="auto"/>
          <w:highlight w:val="none"/>
        </w:rPr>
      </w:pPr>
    </w:p>
    <w:p w14:paraId="5C7EF343">
      <w:pPr>
        <w:pStyle w:val="14"/>
        <w:spacing w:beforeAutospacing="0" w:afterAutospacing="0" w:line="0" w:lineRule="atLeast"/>
        <w:ind w:firstLine="480"/>
        <w:jc w:val="both"/>
        <w:rPr>
          <w:color w:val="auto"/>
          <w:highlight w:val="none"/>
        </w:rPr>
      </w:pPr>
    </w:p>
    <w:p w14:paraId="36B01A60">
      <w:pPr>
        <w:pStyle w:val="14"/>
        <w:spacing w:beforeAutospacing="0" w:afterAutospacing="0" w:line="0" w:lineRule="atLeast"/>
        <w:ind w:firstLine="480"/>
        <w:jc w:val="both"/>
        <w:rPr>
          <w:color w:val="auto"/>
          <w:highlight w:val="none"/>
        </w:rPr>
      </w:pPr>
    </w:p>
    <w:p w14:paraId="02254F24">
      <w:pPr>
        <w:pStyle w:val="14"/>
        <w:spacing w:beforeAutospacing="0" w:afterAutospacing="0" w:line="0" w:lineRule="atLeast"/>
        <w:ind w:firstLine="480"/>
        <w:jc w:val="both"/>
        <w:rPr>
          <w:color w:val="auto"/>
          <w:highlight w:val="none"/>
        </w:rPr>
      </w:pPr>
    </w:p>
    <w:p w14:paraId="4AB0D669">
      <w:pPr>
        <w:pStyle w:val="14"/>
        <w:spacing w:beforeAutospacing="0" w:afterAutospacing="0" w:line="0" w:lineRule="atLeast"/>
        <w:ind w:firstLine="480"/>
        <w:jc w:val="both"/>
        <w:rPr>
          <w:color w:val="auto"/>
          <w:highlight w:val="none"/>
        </w:rPr>
      </w:pPr>
    </w:p>
    <w:p w14:paraId="083788F3">
      <w:pPr>
        <w:pStyle w:val="14"/>
        <w:spacing w:beforeAutospacing="0" w:afterAutospacing="0" w:line="0" w:lineRule="atLeast"/>
        <w:ind w:firstLine="480"/>
        <w:jc w:val="both"/>
        <w:rPr>
          <w:color w:val="auto"/>
          <w:highlight w:val="none"/>
        </w:rPr>
      </w:pPr>
    </w:p>
    <w:p w14:paraId="1EC8B59E">
      <w:pPr>
        <w:pStyle w:val="14"/>
        <w:spacing w:beforeAutospacing="0" w:afterAutospacing="0" w:line="0" w:lineRule="atLeast"/>
        <w:ind w:firstLine="480"/>
        <w:jc w:val="both"/>
        <w:rPr>
          <w:color w:val="auto"/>
          <w:highlight w:val="none"/>
        </w:rPr>
      </w:pPr>
    </w:p>
    <w:p w14:paraId="02056A74">
      <w:pPr>
        <w:pStyle w:val="14"/>
        <w:spacing w:beforeAutospacing="0" w:afterAutospacing="0" w:line="0" w:lineRule="atLeast"/>
        <w:ind w:firstLine="480"/>
        <w:jc w:val="both"/>
        <w:rPr>
          <w:color w:val="auto"/>
          <w:highlight w:val="none"/>
        </w:rPr>
      </w:pPr>
    </w:p>
    <w:p w14:paraId="220C742C">
      <w:pPr>
        <w:pStyle w:val="14"/>
        <w:spacing w:beforeAutospacing="0" w:afterAutospacing="0" w:line="0" w:lineRule="atLeast"/>
        <w:ind w:firstLine="480"/>
        <w:jc w:val="both"/>
        <w:rPr>
          <w:color w:val="auto"/>
          <w:highlight w:val="none"/>
        </w:rPr>
      </w:pPr>
    </w:p>
    <w:p w14:paraId="19D49FFD">
      <w:pPr>
        <w:pStyle w:val="14"/>
        <w:spacing w:beforeAutospacing="0" w:afterAutospacing="0" w:line="0" w:lineRule="atLeast"/>
        <w:ind w:firstLine="480"/>
        <w:jc w:val="both"/>
        <w:rPr>
          <w:color w:val="auto"/>
          <w:highlight w:val="none"/>
        </w:rPr>
      </w:pPr>
    </w:p>
    <w:p w14:paraId="5593769B">
      <w:pPr>
        <w:pStyle w:val="14"/>
        <w:spacing w:beforeAutospacing="0" w:afterAutospacing="0" w:line="0" w:lineRule="atLeast"/>
        <w:ind w:firstLine="480"/>
        <w:jc w:val="both"/>
        <w:rPr>
          <w:color w:val="auto"/>
          <w:highlight w:val="none"/>
        </w:rPr>
      </w:pPr>
    </w:p>
    <w:p w14:paraId="75F6EE61">
      <w:pPr>
        <w:pStyle w:val="14"/>
        <w:spacing w:beforeAutospacing="0" w:afterAutospacing="0" w:line="0" w:lineRule="atLeast"/>
        <w:ind w:firstLine="480"/>
        <w:jc w:val="both"/>
        <w:rPr>
          <w:color w:val="auto"/>
          <w:highlight w:val="none"/>
        </w:rPr>
      </w:pPr>
    </w:p>
    <w:p w14:paraId="31558438">
      <w:pPr>
        <w:pStyle w:val="14"/>
        <w:spacing w:beforeAutospacing="0" w:afterAutospacing="0" w:line="0" w:lineRule="atLeast"/>
        <w:ind w:firstLine="480"/>
        <w:jc w:val="both"/>
        <w:rPr>
          <w:color w:val="auto"/>
          <w:highlight w:val="none"/>
        </w:rPr>
      </w:pPr>
    </w:p>
    <w:p w14:paraId="28CCB0B1">
      <w:pPr>
        <w:pStyle w:val="14"/>
        <w:spacing w:beforeAutospacing="0" w:afterAutospacing="0" w:line="0" w:lineRule="atLeast"/>
        <w:ind w:firstLine="480"/>
        <w:jc w:val="both"/>
        <w:rPr>
          <w:color w:val="auto"/>
          <w:highlight w:val="none"/>
        </w:rPr>
      </w:pPr>
    </w:p>
    <w:p w14:paraId="69E86489">
      <w:pPr>
        <w:pStyle w:val="14"/>
        <w:spacing w:beforeAutospacing="0" w:afterAutospacing="0" w:line="0" w:lineRule="atLeast"/>
        <w:ind w:firstLine="480"/>
        <w:jc w:val="both"/>
        <w:rPr>
          <w:color w:val="auto"/>
          <w:highlight w:val="none"/>
        </w:rPr>
      </w:pPr>
      <w:r>
        <w:rPr>
          <w:color w:val="auto"/>
          <w:highlight w:val="none"/>
        </w:rPr>
        <w:t> </w:t>
      </w:r>
    </w:p>
    <w:p w14:paraId="583B5796">
      <w:pPr>
        <w:pStyle w:val="14"/>
        <w:spacing w:beforeAutospacing="0" w:afterAutospacing="0" w:line="0" w:lineRule="atLeast"/>
        <w:ind w:firstLine="480"/>
        <w:jc w:val="both"/>
        <w:rPr>
          <w:color w:val="auto"/>
          <w:highlight w:val="none"/>
        </w:rPr>
      </w:pPr>
      <w:r>
        <w:rPr>
          <w:color w:val="auto"/>
          <w:highlight w:val="none"/>
        </w:rPr>
        <w:t> </w:t>
      </w:r>
    </w:p>
    <w:p w14:paraId="65A71E3F">
      <w:pPr>
        <w:pStyle w:val="14"/>
        <w:spacing w:beforeAutospacing="0" w:afterAutospacing="0" w:line="0" w:lineRule="atLeast"/>
        <w:ind w:firstLine="480"/>
        <w:jc w:val="both"/>
        <w:rPr>
          <w:color w:val="auto"/>
          <w:highlight w:val="none"/>
        </w:rPr>
      </w:pPr>
      <w:r>
        <w:rPr>
          <w:color w:val="auto"/>
          <w:highlight w:val="none"/>
        </w:rPr>
        <w:t> </w:t>
      </w:r>
    </w:p>
    <w:p w14:paraId="4A7AD10E">
      <w:pPr>
        <w:pStyle w:val="14"/>
        <w:spacing w:beforeAutospacing="0" w:afterAutospacing="0" w:line="0" w:lineRule="atLeast"/>
        <w:ind w:firstLine="480"/>
        <w:jc w:val="both"/>
        <w:rPr>
          <w:color w:val="auto"/>
          <w:highlight w:val="none"/>
        </w:rPr>
      </w:pPr>
      <w:r>
        <w:rPr>
          <w:color w:val="auto"/>
          <w:highlight w:val="none"/>
        </w:rPr>
        <w:t> </w:t>
      </w:r>
    </w:p>
    <w:p w14:paraId="3AFD48EA">
      <w:pPr>
        <w:pStyle w:val="14"/>
        <w:spacing w:beforeAutospacing="0" w:afterAutospacing="0"/>
        <w:jc w:val="both"/>
        <w:rPr>
          <w:color w:val="auto"/>
          <w:highlight w:val="none"/>
        </w:rPr>
      </w:pPr>
      <w:r>
        <w:rPr>
          <w:rFonts w:hint="eastAsia" w:ascii="黑体" w:hAnsi="宋体" w:eastAsia="黑体" w:cs="黑体"/>
          <w:i/>
          <w:color w:val="auto"/>
          <w:sz w:val="32"/>
          <w:szCs w:val="32"/>
          <w:highlight w:val="none"/>
          <w:u w:val="single"/>
        </w:rPr>
        <w:t>一、法人或者其他组织的营业执照等证明文件，自然人的身份证明</w:t>
      </w:r>
    </w:p>
    <w:p w14:paraId="20683007">
      <w:pPr>
        <w:pStyle w:val="14"/>
        <w:spacing w:beforeAutospacing="0" w:afterAutospacing="0" w:line="0" w:lineRule="atLeast"/>
        <w:ind w:firstLine="480"/>
        <w:jc w:val="both"/>
        <w:rPr>
          <w:color w:val="auto"/>
          <w:highlight w:val="none"/>
        </w:rPr>
      </w:pPr>
      <w:r>
        <w:rPr>
          <w:color w:val="auto"/>
          <w:highlight w:val="none"/>
        </w:rPr>
        <w:t> </w:t>
      </w:r>
    </w:p>
    <w:p w14:paraId="31F29E3F">
      <w:pPr>
        <w:pStyle w:val="14"/>
        <w:spacing w:beforeAutospacing="0" w:afterAutospacing="0"/>
        <w:jc w:val="both"/>
        <w:rPr>
          <w:rFonts w:hint="eastAsia" w:eastAsia="黑体"/>
          <w:color w:val="auto"/>
          <w:highlight w:val="none"/>
          <w:lang w:val="en-US" w:eastAsia="zh-CN"/>
        </w:rPr>
      </w:pPr>
      <w:r>
        <w:rPr>
          <w:rFonts w:hint="eastAsia" w:ascii="黑体" w:hAnsi="宋体" w:eastAsia="黑体" w:cs="黑体"/>
          <w:i/>
          <w:color w:val="auto"/>
          <w:sz w:val="32"/>
          <w:szCs w:val="32"/>
          <w:highlight w:val="none"/>
          <w:u w:val="single"/>
        </w:rPr>
        <w:t>二、上一年度的财务状况报</w:t>
      </w:r>
      <w:r>
        <w:rPr>
          <w:rFonts w:hint="eastAsia" w:ascii="黑体" w:hAnsi="宋体" w:eastAsia="黑体" w:cs="黑体"/>
          <w:i/>
          <w:color w:val="auto"/>
          <w:sz w:val="32"/>
          <w:szCs w:val="32"/>
          <w:highlight w:val="none"/>
          <w:u w:val="single"/>
          <w:lang w:val="en-US" w:eastAsia="zh-CN"/>
        </w:rPr>
        <w:t>告</w:t>
      </w:r>
    </w:p>
    <w:p w14:paraId="057FE733">
      <w:pPr>
        <w:tabs>
          <w:tab w:val="left" w:pos="1331"/>
        </w:tabs>
        <w:bidi w:val="0"/>
        <w:jc w:val="left"/>
        <w:rPr>
          <w:rFonts w:hint="eastAsia" w:ascii="宋体" w:hAnsi="宋体" w:eastAsia="宋体" w:cs="宋体"/>
          <w:i w:val="0"/>
          <w:iCs/>
          <w:color w:val="auto"/>
          <w:kern w:val="0"/>
          <w:sz w:val="24"/>
          <w:szCs w:val="24"/>
          <w:highlight w:val="none"/>
          <w:u w:val="none"/>
          <w:lang w:val="en-US" w:eastAsia="zh-CN" w:bidi="ar-SA"/>
        </w:rPr>
      </w:pPr>
      <w:r>
        <w:rPr>
          <w:rFonts w:hint="eastAsia" w:ascii="宋体" w:hAnsi="宋体" w:eastAsia="宋体" w:cs="宋体"/>
          <w:i w:val="0"/>
          <w:iCs/>
          <w:color w:val="auto"/>
          <w:kern w:val="0"/>
          <w:sz w:val="24"/>
          <w:szCs w:val="24"/>
          <w:highlight w:val="none"/>
          <w:u w:val="none"/>
          <w:lang w:val="en-US" w:eastAsia="zh-CN" w:bidi="ar-SA"/>
        </w:rPr>
        <w:t>（至少提供资产负债表、利润表、现金流量表，投标人成立不满一年无需提供）</w:t>
      </w:r>
    </w:p>
    <w:p w14:paraId="4778C699">
      <w:pPr>
        <w:pStyle w:val="14"/>
        <w:spacing w:beforeAutospacing="0" w:afterAutospacing="0" w:line="0" w:lineRule="atLeast"/>
        <w:ind w:firstLine="480"/>
        <w:jc w:val="both"/>
        <w:rPr>
          <w:color w:val="auto"/>
          <w:highlight w:val="none"/>
        </w:rPr>
      </w:pPr>
    </w:p>
    <w:p w14:paraId="25FFB547">
      <w:pPr>
        <w:pStyle w:val="14"/>
        <w:spacing w:beforeAutospacing="0" w:afterAutospacing="0"/>
        <w:jc w:val="both"/>
        <w:rPr>
          <w:color w:val="auto"/>
          <w:highlight w:val="none"/>
        </w:rPr>
      </w:pPr>
      <w:r>
        <w:rPr>
          <w:color w:val="auto"/>
          <w:highlight w:val="none"/>
        </w:rPr>
        <w:t> </w:t>
      </w:r>
    </w:p>
    <w:p w14:paraId="63180049">
      <w:pPr>
        <w:pStyle w:val="14"/>
        <w:spacing w:beforeAutospacing="0" w:afterAutospacing="0"/>
        <w:jc w:val="both"/>
        <w:rPr>
          <w:color w:val="auto"/>
          <w:highlight w:val="none"/>
        </w:rPr>
      </w:pPr>
      <w:r>
        <w:rPr>
          <w:color w:val="auto"/>
          <w:highlight w:val="none"/>
        </w:rPr>
        <w:t> </w:t>
      </w:r>
    </w:p>
    <w:p w14:paraId="7F1E7E29">
      <w:pPr>
        <w:pStyle w:val="14"/>
        <w:spacing w:beforeAutospacing="0" w:afterAutospacing="0"/>
        <w:jc w:val="both"/>
        <w:rPr>
          <w:color w:val="auto"/>
          <w:highlight w:val="none"/>
        </w:rPr>
      </w:pPr>
      <w:r>
        <w:rPr>
          <w:rFonts w:hint="eastAsia" w:ascii="黑体" w:hAnsi="宋体" w:eastAsia="黑体" w:cs="黑体"/>
          <w:i/>
          <w:color w:val="auto"/>
          <w:sz w:val="32"/>
          <w:szCs w:val="32"/>
          <w:highlight w:val="none"/>
          <w:u w:val="single"/>
          <w:lang w:val="en-US" w:eastAsia="zh-CN"/>
        </w:rPr>
        <w:t>三</w:t>
      </w:r>
      <w:r>
        <w:rPr>
          <w:rFonts w:hint="eastAsia" w:ascii="黑体" w:hAnsi="宋体" w:eastAsia="黑体" w:cs="黑体"/>
          <w:i/>
          <w:color w:val="auto"/>
          <w:sz w:val="32"/>
          <w:szCs w:val="32"/>
          <w:highlight w:val="none"/>
          <w:u w:val="single"/>
        </w:rPr>
        <w:t>、具备履行合同所必需的设备和专业技术能力的书面声明</w:t>
      </w:r>
    </w:p>
    <w:p w14:paraId="472E9ABD">
      <w:pPr>
        <w:pStyle w:val="14"/>
        <w:spacing w:beforeAutospacing="0" w:afterAutospacing="0" w:line="0" w:lineRule="atLeast"/>
        <w:ind w:firstLine="492"/>
        <w:jc w:val="both"/>
        <w:rPr>
          <w:color w:val="auto"/>
          <w:highlight w:val="none"/>
        </w:rPr>
      </w:pPr>
      <w:r>
        <w:rPr>
          <w:rFonts w:hint="eastAsia" w:ascii="宋体" w:hAnsi="宋体" w:eastAsia="宋体" w:cs="宋体"/>
          <w:color w:val="auto"/>
          <w:highlight w:val="none"/>
        </w:rPr>
        <w:t>我单位郑重声明：我单位具备履行本项采购合同所必需的设备和专业技术能力，为履行本项采购合同我公司具备如下主要设备和主要专业技术能力：</w:t>
      </w:r>
    </w:p>
    <w:p w14:paraId="2987A767">
      <w:pPr>
        <w:pStyle w:val="14"/>
        <w:spacing w:beforeAutospacing="0" w:afterAutospacing="0" w:line="0" w:lineRule="atLeast"/>
        <w:ind w:firstLine="492"/>
        <w:jc w:val="both"/>
        <w:rPr>
          <w:color w:val="auto"/>
          <w:highlight w:val="none"/>
        </w:rPr>
      </w:pPr>
      <w:r>
        <w:rPr>
          <w:rFonts w:hint="eastAsia" w:ascii="宋体" w:hAnsi="宋体" w:eastAsia="宋体" w:cs="宋体"/>
          <w:color w:val="auto"/>
          <w:highlight w:val="none"/>
        </w:rPr>
        <w:t>主要设备有：</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BCA7677">
      <w:pPr>
        <w:pStyle w:val="14"/>
        <w:spacing w:beforeAutospacing="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主要专业技术能力有：</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E763E7C">
      <w:pPr>
        <w:pStyle w:val="14"/>
        <w:spacing w:beforeAutospacing="0" w:afterAutospacing="0"/>
        <w:jc w:val="both"/>
        <w:rPr>
          <w:color w:val="auto"/>
          <w:highlight w:val="none"/>
        </w:rPr>
      </w:pPr>
      <w:r>
        <w:rPr>
          <w:rFonts w:hint="eastAsia" w:ascii="黑体" w:hAnsi="宋体" w:eastAsia="黑体" w:cs="黑体"/>
          <w:i/>
          <w:color w:val="auto"/>
          <w:sz w:val="32"/>
          <w:szCs w:val="32"/>
          <w:highlight w:val="none"/>
          <w:u w:val="single"/>
          <w:lang w:val="en-US" w:eastAsia="zh-CN"/>
        </w:rPr>
        <w:t>四</w:t>
      </w:r>
      <w:r>
        <w:rPr>
          <w:rFonts w:hint="eastAsia" w:ascii="黑体" w:hAnsi="宋体" w:eastAsia="黑体" w:cs="黑体"/>
          <w:i/>
          <w:color w:val="auto"/>
          <w:sz w:val="32"/>
          <w:szCs w:val="32"/>
          <w:highlight w:val="none"/>
          <w:u w:val="single"/>
        </w:rPr>
        <w:t>、依法缴纳税收和社会保障资金的相关材料</w:t>
      </w:r>
    </w:p>
    <w:p w14:paraId="573B755F">
      <w:pPr>
        <w:pStyle w:val="14"/>
        <w:spacing w:beforeAutospacing="0" w:afterAutospacing="0"/>
        <w:ind w:firstLine="480"/>
        <w:jc w:val="both"/>
        <w:rPr>
          <w:color w:val="auto"/>
          <w:highlight w:val="none"/>
        </w:rPr>
      </w:pPr>
      <w:bookmarkStart w:id="176" w:name="_Toc120614284"/>
      <w:r>
        <w:rPr>
          <w:rFonts w:hint="eastAsia" w:ascii="宋体" w:hAnsi="宋体" w:eastAsia="宋体" w:cs="宋体"/>
          <w:color w:val="auto"/>
          <w:highlight w:val="none"/>
        </w:rPr>
        <w:t>提供提交投标文件截止时间前一年内至少一个月依法缴纳税收及缴纳社会保障资金的证明材料。投标人依法享受缓缴、免缴税收、社会保障资金的提供证明材料。</w:t>
      </w:r>
      <w:bookmarkEnd w:id="176"/>
    </w:p>
    <w:p w14:paraId="363F6DD6">
      <w:pPr>
        <w:pStyle w:val="14"/>
        <w:spacing w:beforeAutospacing="0" w:afterAutospacing="0"/>
        <w:jc w:val="both"/>
        <w:rPr>
          <w:color w:val="auto"/>
          <w:highlight w:val="none"/>
        </w:rPr>
      </w:pPr>
      <w:r>
        <w:rPr>
          <w:rFonts w:hint="eastAsia" w:ascii="黑体" w:hAnsi="宋体" w:eastAsia="黑体" w:cs="黑体"/>
          <w:i/>
          <w:color w:val="auto"/>
          <w:sz w:val="32"/>
          <w:szCs w:val="32"/>
          <w:highlight w:val="none"/>
          <w:u w:val="single"/>
        </w:rPr>
        <w:t>五、参加政府采购活动前 3 年内在经营活动中没有重大违法记录的书面声明</w:t>
      </w:r>
    </w:p>
    <w:p w14:paraId="493AC879">
      <w:pPr>
        <w:pStyle w:val="14"/>
        <w:spacing w:beforeAutospacing="0" w:afterAutospacing="0" w:line="0" w:lineRule="atLeast"/>
        <w:jc w:val="both"/>
        <w:rPr>
          <w:color w:val="auto"/>
          <w:highlight w:val="none"/>
        </w:rPr>
      </w:pPr>
      <w:r>
        <w:rPr>
          <w:rFonts w:hint="eastAsia" w:ascii="宋体" w:hAnsi="宋体" w:eastAsia="宋体" w:cs="宋体"/>
          <w:b/>
          <w:color w:val="auto"/>
          <w:sz w:val="44"/>
          <w:szCs w:val="44"/>
          <w:highlight w:val="none"/>
        </w:rPr>
        <w:t>       声  明</w:t>
      </w:r>
    </w:p>
    <w:p w14:paraId="41791563">
      <w:pPr>
        <w:pStyle w:val="14"/>
        <w:spacing w:beforeAutospacing="0" w:afterAutospacing="0" w:line="0" w:lineRule="atLeast"/>
        <w:jc w:val="both"/>
        <w:rPr>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我单位郑重声明：参加本次政府采购活动前 3 年内，我单位在经营活动中没有因违法经营受到刑事处罚或者责令停产停业、吊销许可证或者执照、较大数额罚款等行政处罚。</w:t>
      </w:r>
    </w:p>
    <w:p w14:paraId="6119E2AF">
      <w:pPr>
        <w:pStyle w:val="14"/>
        <w:spacing w:beforeAutospacing="0" w:afterAutospacing="0"/>
        <w:jc w:val="both"/>
        <w:rPr>
          <w:color w:val="auto"/>
          <w:highlight w:val="none"/>
        </w:rPr>
      </w:pPr>
      <w:r>
        <w:rPr>
          <w:color w:val="auto"/>
          <w:highlight w:val="none"/>
        </w:rPr>
        <w:t> </w:t>
      </w:r>
    </w:p>
    <w:p w14:paraId="03822A78">
      <w:pPr>
        <w:pStyle w:val="14"/>
        <w:spacing w:beforeAutospacing="0" w:afterAutospacing="0"/>
        <w:jc w:val="both"/>
        <w:rPr>
          <w:color w:val="auto"/>
          <w:highlight w:val="none"/>
        </w:rPr>
      </w:pPr>
      <w:r>
        <w:rPr>
          <w:rFonts w:hint="eastAsia" w:ascii="黑体" w:hAnsi="宋体" w:eastAsia="黑体" w:cs="黑体"/>
          <w:i/>
          <w:color w:val="auto"/>
          <w:sz w:val="32"/>
          <w:szCs w:val="32"/>
          <w:highlight w:val="none"/>
          <w:u w:val="single"/>
        </w:rPr>
        <w:t>六、特定资格要求的证明文件</w:t>
      </w:r>
    </w:p>
    <w:p w14:paraId="4C7AE4BB">
      <w:pPr>
        <w:pStyle w:val="14"/>
        <w:spacing w:beforeAutospacing="0" w:afterAutospacing="0" w:line="0" w:lineRule="atLeast"/>
        <w:jc w:val="both"/>
        <w:rPr>
          <w:color w:val="auto"/>
          <w:highlight w:val="none"/>
        </w:rPr>
      </w:pPr>
      <w:r>
        <w:rPr>
          <w:rFonts w:hint="eastAsia" w:ascii="宋体" w:hAnsi="宋体" w:eastAsia="宋体" w:cs="宋体"/>
          <w:color w:val="auto"/>
          <w:highlight w:val="none"/>
        </w:rPr>
        <w:t>    如果本项目申请人的特定资格要求中要求提供的，必须提供。</w:t>
      </w:r>
    </w:p>
    <w:p w14:paraId="4F82CDD6">
      <w:pPr>
        <w:pStyle w:val="14"/>
        <w:spacing w:beforeAutospacing="0" w:afterAutospacing="0" w:line="0" w:lineRule="atLeast"/>
        <w:jc w:val="both"/>
        <w:rPr>
          <w:color w:val="auto"/>
          <w:highlight w:val="none"/>
        </w:rPr>
      </w:pPr>
      <w:r>
        <w:rPr>
          <w:color w:val="auto"/>
          <w:highlight w:val="none"/>
        </w:rPr>
        <w:t> </w:t>
      </w:r>
    </w:p>
    <w:p w14:paraId="18734FE7">
      <w:pPr>
        <w:pStyle w:val="14"/>
        <w:spacing w:beforeAutospacing="0" w:afterAutospacing="0"/>
        <w:jc w:val="center"/>
        <w:rPr>
          <w:rFonts w:ascii="黑体" w:hAnsi="宋体" w:eastAsia="黑体" w:cs="黑体"/>
          <w:i/>
          <w:color w:val="auto"/>
          <w:sz w:val="32"/>
          <w:szCs w:val="32"/>
          <w:highlight w:val="none"/>
          <w:u w:val="single"/>
        </w:rPr>
      </w:pPr>
    </w:p>
    <w:p w14:paraId="3819BF7B">
      <w:pPr>
        <w:pStyle w:val="14"/>
        <w:spacing w:beforeAutospacing="0" w:afterAutospacing="0"/>
        <w:jc w:val="center"/>
        <w:rPr>
          <w:rFonts w:ascii="黑体" w:hAnsi="宋体" w:eastAsia="黑体" w:cs="黑体"/>
          <w:i/>
          <w:color w:val="auto"/>
          <w:sz w:val="32"/>
          <w:szCs w:val="32"/>
          <w:highlight w:val="none"/>
          <w:u w:val="single"/>
        </w:rPr>
      </w:pPr>
    </w:p>
    <w:p w14:paraId="24A61D77">
      <w:pPr>
        <w:pStyle w:val="14"/>
        <w:spacing w:beforeAutospacing="0" w:afterAutospacing="0"/>
        <w:jc w:val="center"/>
        <w:rPr>
          <w:rFonts w:ascii="黑体" w:hAnsi="宋体" w:eastAsia="黑体" w:cs="黑体"/>
          <w:i/>
          <w:color w:val="auto"/>
          <w:sz w:val="32"/>
          <w:szCs w:val="32"/>
          <w:highlight w:val="none"/>
          <w:u w:val="single"/>
        </w:rPr>
      </w:pPr>
    </w:p>
    <w:p w14:paraId="54B76366">
      <w:pPr>
        <w:pStyle w:val="14"/>
        <w:spacing w:beforeAutospacing="0" w:afterAutospacing="0"/>
        <w:jc w:val="center"/>
        <w:rPr>
          <w:rFonts w:hint="eastAsia" w:ascii="黑体" w:hAnsi="宋体" w:eastAsia="黑体" w:cs="黑体"/>
          <w:i/>
          <w:color w:val="auto"/>
          <w:sz w:val="32"/>
          <w:szCs w:val="32"/>
          <w:highlight w:val="none"/>
          <w:u w:val="single"/>
        </w:rPr>
      </w:pPr>
    </w:p>
    <w:p w14:paraId="429D58A5">
      <w:pPr>
        <w:pStyle w:val="14"/>
        <w:spacing w:beforeAutospacing="0" w:afterAutospacing="0"/>
        <w:jc w:val="center"/>
        <w:rPr>
          <w:color w:val="auto"/>
          <w:highlight w:val="none"/>
        </w:rPr>
      </w:pPr>
      <w:r>
        <w:rPr>
          <w:rFonts w:hint="eastAsia" w:ascii="黑体" w:hAnsi="宋体" w:eastAsia="黑体" w:cs="黑体"/>
          <w:i/>
          <w:color w:val="auto"/>
          <w:sz w:val="32"/>
          <w:szCs w:val="32"/>
          <w:highlight w:val="none"/>
          <w:u w:val="single"/>
        </w:rPr>
        <w:t>七、法人授权书</w:t>
      </w:r>
    </w:p>
    <w:p w14:paraId="75371E96">
      <w:pPr>
        <w:pStyle w:val="14"/>
        <w:tabs>
          <w:tab w:val="left" w:pos="360"/>
        </w:tabs>
        <w:spacing w:beforeAutospacing="0" w:afterAutospacing="0"/>
        <w:ind w:firstLine="480"/>
        <w:jc w:val="both"/>
        <w:rPr>
          <w:color w:val="auto"/>
          <w:highlight w:val="none"/>
        </w:rPr>
      </w:pPr>
      <w:r>
        <w:rPr>
          <w:rFonts w:ascii="Times New Roman" w:hAnsi="Times New Roman"/>
          <w:color w:val="auto"/>
          <w:highlight w:val="none"/>
        </w:rPr>
        <w:t>本授权书声明：____________（投标人名称）授权________________（被授权人的姓名）为我方就</w:t>
      </w:r>
      <w:r>
        <w:rPr>
          <w:rFonts w:ascii="Times New Roman" w:hAnsi="Times New Roman"/>
          <w:color w:val="auto"/>
          <w:highlight w:val="none"/>
          <w:u w:val="single"/>
        </w:rPr>
        <w:t>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r>
        <w:rPr>
          <w:rFonts w:ascii="Times New Roman" w:hAnsi="Times New Roman"/>
          <w:color w:val="auto"/>
          <w:highlight w:val="none"/>
        </w:rPr>
        <w:t>号项目采购活动的合法代理人，以本单位名义全权处理一切与该项目采购有关的事务。</w:t>
      </w:r>
    </w:p>
    <w:p w14:paraId="3AC9EC25">
      <w:pPr>
        <w:pStyle w:val="14"/>
        <w:tabs>
          <w:tab w:val="left" w:pos="360"/>
        </w:tabs>
        <w:spacing w:beforeAutospacing="0" w:afterAutospacing="0"/>
        <w:ind w:firstLine="480"/>
        <w:jc w:val="both"/>
        <w:rPr>
          <w:color w:val="auto"/>
          <w:highlight w:val="none"/>
        </w:rPr>
      </w:pPr>
      <w:r>
        <w:rPr>
          <w:rFonts w:ascii="Times New Roman" w:hAnsi="Times New Roman"/>
          <w:color w:val="auto"/>
          <w:highlight w:val="none"/>
        </w:rPr>
        <w:t>本授权书于______年____月____日起生效，特此声明。</w:t>
      </w:r>
    </w:p>
    <w:p w14:paraId="2DC53DE8">
      <w:pPr>
        <w:pStyle w:val="14"/>
        <w:tabs>
          <w:tab w:val="left" w:pos="360"/>
        </w:tabs>
        <w:spacing w:beforeAutospacing="0" w:afterAutospacing="0"/>
        <w:jc w:val="both"/>
        <w:rPr>
          <w:color w:val="auto"/>
          <w:highlight w:val="none"/>
        </w:rPr>
      </w:pPr>
      <w:r>
        <w:rPr>
          <w:rFonts w:ascii="Times New Roman" w:hAnsi="Times New Roman"/>
          <w:color w:val="auto"/>
          <w:highlight w:val="none"/>
        </w:rPr>
        <w:t>          被授权人身份证号码：</w:t>
      </w:r>
      <w:r>
        <w:rPr>
          <w:rFonts w:ascii="Times New Roman" w:hAnsi="Times New Roman"/>
          <w:color w:val="auto"/>
          <w:highlight w:val="none"/>
          <w:u w:val="single"/>
        </w:rPr>
        <w:t xml:space="preserve">                              </w:t>
      </w:r>
    </w:p>
    <w:p w14:paraId="75D0F0B5">
      <w:pPr>
        <w:pStyle w:val="14"/>
        <w:tabs>
          <w:tab w:val="left" w:pos="360"/>
        </w:tabs>
        <w:spacing w:beforeAutospacing="0" w:afterAutospacing="0"/>
        <w:jc w:val="both"/>
        <w:rPr>
          <w:color w:val="auto"/>
          <w:highlight w:val="none"/>
        </w:rPr>
      </w:pPr>
      <w:r>
        <w:rPr>
          <w:rFonts w:ascii="Times New Roman" w:hAnsi="Times New Roman"/>
          <w:color w:val="auto"/>
          <w:highlight w:val="none"/>
        </w:rPr>
        <w:t>          被授权人联系电话：（手机）</w:t>
      </w:r>
      <w:r>
        <w:rPr>
          <w:rFonts w:ascii="Times New Roman" w:hAnsi="Times New Roman"/>
          <w:color w:val="auto"/>
          <w:highlight w:val="none"/>
          <w:u w:val="single"/>
        </w:rPr>
        <w:t xml:space="preserve">                          </w:t>
      </w:r>
    </w:p>
    <w:p w14:paraId="4FE26A2D">
      <w:pPr>
        <w:pStyle w:val="14"/>
        <w:tabs>
          <w:tab w:val="left" w:pos="360"/>
        </w:tabs>
        <w:spacing w:beforeAutospacing="0" w:afterAutospacing="0"/>
        <w:ind w:firstLine="1200"/>
        <w:jc w:val="both"/>
        <w:rPr>
          <w:color w:val="auto"/>
          <w:highlight w:val="none"/>
        </w:rPr>
      </w:pPr>
      <w:r>
        <w:rPr>
          <w:rFonts w:ascii="Times New Roman" w:hAnsi="Times New Roman"/>
          <w:color w:val="auto"/>
          <w:highlight w:val="none"/>
        </w:rPr>
        <w:t>授权单位名称：</w:t>
      </w:r>
      <w:r>
        <w:rPr>
          <w:rFonts w:ascii="Times New Roman" w:hAnsi="Times New Roman"/>
          <w:color w:val="auto"/>
          <w:highlight w:val="none"/>
          <w:u w:val="single"/>
        </w:rPr>
        <w:t>（加盖</w:t>
      </w:r>
      <w:r>
        <w:rPr>
          <w:rFonts w:hint="eastAsia" w:ascii="Times New Roman" w:hAnsi="Times New Roman"/>
          <w:color w:val="auto"/>
          <w:highlight w:val="none"/>
          <w:u w:val="single"/>
          <w:lang w:eastAsia="zh-CN"/>
        </w:rPr>
        <w:t>供应商</w:t>
      </w:r>
      <w:r>
        <w:rPr>
          <w:rFonts w:ascii="Times New Roman" w:hAnsi="Times New Roman"/>
          <w:color w:val="auto"/>
          <w:highlight w:val="none"/>
          <w:u w:val="single"/>
        </w:rPr>
        <w:t>公章）</w:t>
      </w:r>
    </w:p>
    <w:p w14:paraId="659A81C5">
      <w:pPr>
        <w:pStyle w:val="14"/>
        <w:tabs>
          <w:tab w:val="left" w:pos="360"/>
        </w:tabs>
        <w:spacing w:beforeAutospacing="0" w:afterAutospacing="0"/>
        <w:ind w:firstLine="480"/>
        <w:jc w:val="both"/>
        <w:rPr>
          <w:color w:val="auto"/>
          <w:highlight w:val="none"/>
        </w:rPr>
      </w:pPr>
      <w:r>
        <w:rPr>
          <w:rFonts w:ascii="Times New Roman" w:hAnsi="Times New Roman"/>
          <w:color w:val="auto"/>
          <w:highlight w:val="none"/>
        </w:rPr>
        <w:t>      单位地址：</w:t>
      </w:r>
      <w:r>
        <w:rPr>
          <w:rFonts w:ascii="Times New Roman" w:hAnsi="Times New Roman"/>
          <w:color w:val="auto"/>
          <w:highlight w:val="none"/>
          <w:u w:val="single"/>
        </w:rPr>
        <w:t xml:space="preserve">                                         </w:t>
      </w:r>
    </w:p>
    <w:p w14:paraId="747B88F2">
      <w:pPr>
        <w:pStyle w:val="14"/>
        <w:tabs>
          <w:tab w:val="left" w:pos="360"/>
        </w:tabs>
        <w:spacing w:beforeAutospacing="0" w:afterAutospacing="0"/>
        <w:ind w:firstLine="480"/>
        <w:jc w:val="both"/>
        <w:rPr>
          <w:color w:val="auto"/>
          <w:highlight w:val="none"/>
        </w:rPr>
      </w:pPr>
      <w:r>
        <w:rPr>
          <w:rFonts w:ascii="Times New Roman" w:hAnsi="Times New Roman"/>
          <w:color w:val="auto"/>
          <w:highlight w:val="none"/>
        </w:rPr>
        <w:t>      日期：</w:t>
      </w:r>
      <w:bookmarkStart w:id="177" w:name="_Hlt26955070"/>
      <w:bookmarkStart w:id="178" w:name="_格式3__银行出具的资信证明"/>
      <w:bookmarkStart w:id="179" w:name="_Hlt26671380"/>
      <w:r>
        <w:rPr>
          <w:rFonts w:ascii="Times New Roman" w:hAnsi="Times New Roman"/>
          <w:color w:val="auto"/>
          <w:highlight w:val="none"/>
          <w:u w:val="single"/>
        </w:rPr>
        <w:t xml:space="preserve">                                         </w:t>
      </w:r>
    </w:p>
    <w:p w14:paraId="4434C07B">
      <w:pPr>
        <w:pStyle w:val="14"/>
        <w:spacing w:beforeAutospacing="0" w:afterAutospacing="0"/>
        <w:ind w:firstLine="420"/>
        <w:jc w:val="both"/>
        <w:rPr>
          <w:color w:val="auto"/>
          <w:highlight w:val="none"/>
        </w:rPr>
      </w:pPr>
      <w:r>
        <w:rPr>
          <w:color w:val="auto"/>
          <w:highlight w:val="none"/>
        </w:rPr>
        <w:t> </w:t>
      </w:r>
    </w:p>
    <w:p w14:paraId="54380AE8">
      <w:pPr>
        <w:pStyle w:val="14"/>
        <w:spacing w:beforeAutospacing="0" w:afterAutospacing="0"/>
        <w:jc w:val="both"/>
        <w:rPr>
          <w:color w:val="auto"/>
          <w:highlight w:val="none"/>
        </w:rPr>
      </w:pPr>
      <w:r>
        <w:rPr>
          <w:color w:val="auto"/>
          <w:highlight w:val="none"/>
        </w:rPr>
        <w:t> </w:t>
      </w:r>
    </w:p>
    <w:p w14:paraId="35C87C39">
      <w:pPr>
        <w:pStyle w:val="14"/>
        <w:spacing w:beforeAutospacing="0" w:afterAutospacing="0" w:line="0" w:lineRule="atLeast"/>
        <w:jc w:val="both"/>
        <w:rPr>
          <w:color w:val="auto"/>
          <w:highlight w:val="none"/>
        </w:rPr>
      </w:pPr>
      <w:r>
        <w:rPr>
          <w:color w:val="auto"/>
          <w:highlight w:val="none"/>
        </w:rPr>
        <w:t> </w:t>
      </w:r>
    </w:p>
    <w:p w14:paraId="4D926D99">
      <w:pPr>
        <w:pStyle w:val="14"/>
        <w:spacing w:beforeAutospacing="0" w:afterAutospacing="0" w:line="0" w:lineRule="atLeast"/>
        <w:ind w:firstLine="48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 我公司（单位）委托进行现场演示的人员为（本项目如果无现场演示要求，请项目经办人自行删除该备注）</w:t>
      </w:r>
    </w:p>
    <w:p w14:paraId="5317642F">
      <w:pPr>
        <w:pStyle w:val="14"/>
        <w:spacing w:beforeAutospacing="0" w:afterAutospacing="0" w:line="0" w:lineRule="atLeast"/>
        <w:ind w:firstLine="48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（人员姓名），身份证号          。</w:t>
      </w:r>
    </w:p>
    <w:p w14:paraId="56E61D5E">
      <w:pPr>
        <w:pStyle w:val="14"/>
        <w:spacing w:beforeAutospacing="0" w:afterAutospacing="0" w:line="0" w:lineRule="atLeast"/>
        <w:ind w:firstLine="48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w:t>
      </w:r>
    </w:p>
    <w:p w14:paraId="4937D57C">
      <w:pPr>
        <w:pStyle w:val="14"/>
        <w:spacing w:beforeAutospacing="0" w:afterAutospacing="0" w:line="0" w:lineRule="atLeast"/>
        <w:jc w:val="both"/>
        <w:rPr>
          <w:color w:val="auto"/>
          <w:highlight w:val="none"/>
        </w:rPr>
      </w:pPr>
      <w:r>
        <w:rPr>
          <w:color w:val="auto"/>
          <w:highlight w:val="none"/>
        </w:rPr>
        <w:t> </w:t>
      </w:r>
    </w:p>
    <w:p w14:paraId="0F02C396">
      <w:pPr>
        <w:pStyle w:val="14"/>
        <w:keepNext/>
        <w:keepLines/>
        <w:spacing w:before="260" w:beforeAutospacing="0" w:after="260" w:afterAutospacing="0" w:line="415" w:lineRule="auto"/>
        <w:ind w:firstLine="3390"/>
        <w:jc w:val="both"/>
        <w:rPr>
          <w:rFonts w:ascii="黑体" w:hAnsi="宋体" w:eastAsia="黑体" w:cs="黑体"/>
          <w:b/>
          <w:color w:val="auto"/>
          <w:sz w:val="32"/>
          <w:szCs w:val="32"/>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 </w:t>
      </w:r>
      <w:r>
        <w:rPr>
          <w:rFonts w:hint="eastAsia" w:ascii="黑体" w:hAnsi="宋体" w:eastAsia="黑体" w:cs="黑体"/>
          <w:b/>
          <w:color w:val="auto"/>
          <w:sz w:val="32"/>
          <w:szCs w:val="32"/>
          <w:highlight w:val="none"/>
        </w:rPr>
        <w:t>八、投标函</w:t>
      </w:r>
    </w:p>
    <w:p w14:paraId="26D1CCB0">
      <w:pPr>
        <w:pStyle w:val="14"/>
        <w:spacing w:beforeAutospacing="0" w:afterAutospacing="0" w:line="0" w:lineRule="atLeast"/>
        <w:rPr>
          <w:rFonts w:hint="default" w:eastAsia="宋体"/>
          <w:color w:val="auto"/>
          <w:highlight w:val="none"/>
          <w:u w:val="single"/>
          <w:lang w:val="en-US" w:eastAsia="zh-CN"/>
        </w:rPr>
      </w:pPr>
      <w:r>
        <w:rPr>
          <w:rFonts w:hint="eastAsia" w:ascii="宋体" w:hAnsi="宋体" w:eastAsia="宋体" w:cs="宋体"/>
          <w:color w:val="auto"/>
          <w:highlight w:val="none"/>
        </w:rPr>
        <w:t>致：</w:t>
      </w:r>
      <w:r>
        <w:rPr>
          <w:rFonts w:hint="eastAsia" w:ascii="宋体" w:hAnsi="宋体" w:eastAsia="宋体" w:cs="宋体"/>
          <w:color w:val="auto"/>
          <w:highlight w:val="none"/>
          <w:u w:val="single"/>
          <w:lang w:val="en-US" w:eastAsia="zh-CN"/>
        </w:rPr>
        <w:t xml:space="preserve">               </w:t>
      </w:r>
    </w:p>
    <w:p w14:paraId="2DE50441">
      <w:pPr>
        <w:pStyle w:val="14"/>
        <w:spacing w:beforeAutospacing="0" w:afterAutospacing="0" w:line="0" w:lineRule="atLeast"/>
        <w:ind w:firstLine="480"/>
        <w:rPr>
          <w:color w:val="auto"/>
          <w:highlight w:val="none"/>
        </w:rPr>
      </w:pPr>
      <w:r>
        <w:rPr>
          <w:rFonts w:hint="eastAsia" w:ascii="宋体" w:hAnsi="宋体" w:eastAsia="宋体" w:cs="宋体"/>
          <w:color w:val="auto"/>
          <w:highlight w:val="none"/>
        </w:rPr>
        <w:t>根据贵方的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号招标文件，正式授权下述签字人______(姓名)代表我方______________（投标人的名称），全权处理本次项目投标的有关事宜。</w:t>
      </w:r>
    </w:p>
    <w:p w14:paraId="64F87FD4">
      <w:pPr>
        <w:pStyle w:val="14"/>
        <w:spacing w:beforeAutospacing="0" w:afterAutospacing="0" w:line="0" w:lineRule="atLeast"/>
        <w:ind w:firstLine="480"/>
        <w:rPr>
          <w:color w:val="auto"/>
          <w:highlight w:val="none"/>
        </w:rPr>
      </w:pPr>
      <w:r>
        <w:rPr>
          <w:rFonts w:hint="eastAsia" w:ascii="宋体" w:hAnsi="宋体" w:eastAsia="宋体" w:cs="宋体"/>
          <w:color w:val="auto"/>
          <w:highlight w:val="none"/>
        </w:rPr>
        <w:t>据此函，__________签字人兹宣布同意如下：</w:t>
      </w:r>
    </w:p>
    <w:p w14:paraId="313F2607">
      <w:pPr>
        <w:pStyle w:val="14"/>
        <w:spacing w:beforeAutospacing="0" w:afterAutospacing="0" w:line="0" w:lineRule="atLeast"/>
        <w:ind w:firstLine="480"/>
        <w:rPr>
          <w:color w:val="auto"/>
          <w:highlight w:val="none"/>
        </w:rPr>
      </w:pPr>
      <w:r>
        <w:rPr>
          <w:rFonts w:hint="eastAsia" w:ascii="宋体" w:hAnsi="宋体" w:eastAsia="宋体" w:cs="宋体"/>
          <w:color w:val="auto"/>
          <w:highlight w:val="none"/>
        </w:rPr>
        <w:t>1.按招标文件规定的各项要求，向买方提供所需服务（包含与服务相关的货物）。</w:t>
      </w:r>
    </w:p>
    <w:p w14:paraId="473EF1FB">
      <w:pPr>
        <w:pStyle w:val="14"/>
        <w:spacing w:beforeAutospacing="0" w:afterAutospacing="0" w:line="0" w:lineRule="atLeast"/>
        <w:ind w:firstLine="480"/>
        <w:rPr>
          <w:color w:val="auto"/>
          <w:highlight w:val="none"/>
        </w:rPr>
      </w:pPr>
      <w:r>
        <w:rPr>
          <w:rFonts w:hint="eastAsia" w:ascii="宋体" w:hAnsi="宋体" w:eastAsia="宋体" w:cs="宋体"/>
          <w:color w:val="auto"/>
          <w:highlight w:val="none"/>
        </w:rPr>
        <w:t>2.我们完全理解贵方不一定将合同授予最低报价的投标人。</w:t>
      </w:r>
    </w:p>
    <w:p w14:paraId="58062D8A">
      <w:pPr>
        <w:pStyle w:val="14"/>
        <w:spacing w:beforeAutospacing="0" w:afterAutospacing="0" w:line="0" w:lineRule="atLeast"/>
        <w:ind w:firstLine="480"/>
        <w:rPr>
          <w:color w:val="auto"/>
          <w:highlight w:val="none"/>
        </w:rPr>
      </w:pPr>
      <w:r>
        <w:rPr>
          <w:rFonts w:hint="eastAsia" w:ascii="宋体" w:hAnsi="宋体" w:eastAsia="宋体" w:cs="宋体"/>
          <w:color w:val="auto"/>
          <w:highlight w:val="none"/>
        </w:rPr>
        <w:t>3.我们已详细审核全部招标文件及其有效补充文件，我们知道必须放弃提出含糊不清或误解问题的权利。</w:t>
      </w:r>
    </w:p>
    <w:p w14:paraId="08CB0CD4">
      <w:pPr>
        <w:pStyle w:val="14"/>
        <w:spacing w:beforeAutospacing="0" w:afterAutospacing="0" w:line="0" w:lineRule="atLeast"/>
        <w:ind w:firstLine="480"/>
        <w:rPr>
          <w:color w:val="auto"/>
          <w:highlight w:val="none"/>
        </w:rPr>
      </w:pPr>
      <w:r>
        <w:rPr>
          <w:rFonts w:hint="eastAsia" w:ascii="宋体" w:hAnsi="宋体" w:eastAsia="宋体" w:cs="宋体"/>
          <w:color w:val="auto"/>
          <w:highlight w:val="none"/>
        </w:rPr>
        <w:t>4.我们同意从规定的开标日期起遵循本投标文件，并在规定的投标有效期期满之前均具有约束力。</w:t>
      </w:r>
    </w:p>
    <w:p w14:paraId="209DD427">
      <w:pPr>
        <w:pStyle w:val="14"/>
        <w:spacing w:beforeAutospacing="0" w:afterAutospacing="0" w:line="0" w:lineRule="atLeast"/>
        <w:ind w:firstLine="480"/>
        <w:rPr>
          <w:color w:val="auto"/>
          <w:highlight w:val="none"/>
        </w:rPr>
      </w:pPr>
      <w:r>
        <w:rPr>
          <w:rFonts w:hint="eastAsia" w:ascii="宋体" w:hAnsi="宋体" w:eastAsia="宋体" w:cs="宋体"/>
          <w:color w:val="auto"/>
          <w:highlight w:val="none"/>
        </w:rPr>
        <w:t>5.同意向贵方提供贵方可能另外要求的与投标有关的任何证据或资料，并保证我方已提供和将要提供的文件是真实的、准确的。</w:t>
      </w:r>
    </w:p>
    <w:p w14:paraId="1F9BB1C3">
      <w:pPr>
        <w:pStyle w:val="14"/>
        <w:spacing w:beforeAutospacing="0" w:afterAutospacing="0" w:line="0" w:lineRule="atLeast"/>
        <w:ind w:firstLine="480"/>
        <w:rPr>
          <w:color w:val="auto"/>
          <w:highlight w:val="none"/>
        </w:rPr>
      </w:pPr>
      <w:r>
        <w:rPr>
          <w:rFonts w:hint="eastAsia" w:ascii="宋体" w:hAnsi="宋体" w:eastAsia="宋体" w:cs="宋体"/>
          <w:color w:val="auto"/>
          <w:highlight w:val="none"/>
        </w:rPr>
        <w:t>6.一旦我方中标,我方将根据招标文件的规定，严格履行合同的责任和义务,并保证在招标文件规定的时间完成项目，交付买方验收、使用。</w:t>
      </w:r>
    </w:p>
    <w:p w14:paraId="33641869">
      <w:pPr>
        <w:pStyle w:val="14"/>
        <w:spacing w:beforeAutospacing="0" w:afterAutospacing="0" w:line="0" w:lineRule="atLeast"/>
        <w:ind w:firstLine="480"/>
        <w:rPr>
          <w:color w:val="auto"/>
          <w:highlight w:val="none"/>
        </w:rPr>
      </w:pPr>
      <w:r>
        <w:rPr>
          <w:rFonts w:hint="eastAsia" w:ascii="宋体" w:hAnsi="宋体" w:eastAsia="宋体" w:cs="宋体"/>
          <w:color w:val="auto"/>
          <w:highlight w:val="none"/>
        </w:rPr>
        <w:t>7.与本投标有关的正式通讯地址为：</w:t>
      </w:r>
    </w:p>
    <w:p w14:paraId="63F512FF">
      <w:pPr>
        <w:pStyle w:val="14"/>
        <w:spacing w:beforeAutospacing="0" w:afterAutospacing="0" w:line="0" w:lineRule="atLeast"/>
        <w:ind w:left="420" w:firstLine="480"/>
        <w:rPr>
          <w:color w:val="auto"/>
          <w:highlight w:val="none"/>
        </w:rPr>
      </w:pPr>
      <w:r>
        <w:rPr>
          <w:rFonts w:hint="eastAsia" w:ascii="宋体" w:hAnsi="宋体" w:eastAsia="宋体" w:cs="宋体"/>
          <w:color w:val="auto"/>
          <w:highlight w:val="none"/>
        </w:rPr>
        <w:t>地          址：</w:t>
      </w:r>
    </w:p>
    <w:p w14:paraId="40615D05">
      <w:pPr>
        <w:pStyle w:val="14"/>
        <w:spacing w:beforeAutospacing="0" w:afterAutospacing="0" w:line="0" w:lineRule="atLeast"/>
        <w:ind w:left="420" w:firstLine="480"/>
        <w:rPr>
          <w:color w:val="auto"/>
          <w:highlight w:val="none"/>
        </w:rPr>
      </w:pPr>
      <w:r>
        <w:rPr>
          <w:rFonts w:hint="eastAsia" w:ascii="宋体" w:hAnsi="宋体" w:eastAsia="宋体" w:cs="宋体"/>
          <w:color w:val="auto"/>
          <w:highlight w:val="none"/>
        </w:rPr>
        <w:t>邮          编：</w:t>
      </w:r>
    </w:p>
    <w:p w14:paraId="6828345E">
      <w:pPr>
        <w:pStyle w:val="14"/>
        <w:spacing w:beforeAutospacing="0" w:afterAutospacing="0" w:line="0" w:lineRule="atLeast"/>
        <w:ind w:left="420" w:firstLine="480"/>
        <w:rPr>
          <w:color w:val="auto"/>
          <w:highlight w:val="none"/>
        </w:rPr>
      </w:pPr>
      <w:r>
        <w:rPr>
          <w:rFonts w:hint="eastAsia" w:ascii="宋体" w:hAnsi="宋体" w:eastAsia="宋体" w:cs="宋体"/>
          <w:color w:val="auto"/>
          <w:highlight w:val="none"/>
        </w:rPr>
        <w:t>电          话：</w:t>
      </w:r>
    </w:p>
    <w:p w14:paraId="3AB5B37A">
      <w:pPr>
        <w:pStyle w:val="14"/>
        <w:spacing w:beforeAutospacing="0" w:afterAutospacing="0" w:line="0" w:lineRule="atLeast"/>
        <w:ind w:left="420" w:firstLine="480"/>
        <w:rPr>
          <w:color w:val="auto"/>
          <w:highlight w:val="none"/>
        </w:rPr>
      </w:pPr>
      <w:r>
        <w:rPr>
          <w:rFonts w:hint="eastAsia" w:ascii="宋体" w:hAnsi="宋体" w:eastAsia="宋体" w:cs="宋体"/>
          <w:color w:val="auto"/>
          <w:highlight w:val="none"/>
        </w:rPr>
        <w:t>传          真：</w:t>
      </w:r>
    </w:p>
    <w:p w14:paraId="3DA45C60">
      <w:pPr>
        <w:pStyle w:val="14"/>
        <w:spacing w:beforeAutospacing="0" w:afterAutospacing="0" w:line="0" w:lineRule="atLeast"/>
        <w:ind w:left="420" w:firstLine="480"/>
        <w:rPr>
          <w:color w:val="auto"/>
          <w:highlight w:val="none"/>
        </w:rPr>
      </w:pPr>
      <w:r>
        <w:rPr>
          <w:rFonts w:hint="eastAsia" w:ascii="宋体" w:hAnsi="宋体" w:eastAsia="宋体" w:cs="宋体"/>
          <w:color w:val="auto"/>
          <w:highlight w:val="none"/>
        </w:rPr>
        <w:t>投标人开户行：</w:t>
      </w:r>
    </w:p>
    <w:p w14:paraId="19B2C12A">
      <w:pPr>
        <w:pStyle w:val="14"/>
        <w:spacing w:beforeAutospacing="0" w:afterAutospacing="0" w:line="0" w:lineRule="atLeast"/>
        <w:ind w:left="420" w:firstLine="480"/>
        <w:rPr>
          <w:color w:val="auto"/>
          <w:highlight w:val="none"/>
        </w:rPr>
      </w:pPr>
      <w:r>
        <w:rPr>
          <w:rFonts w:hint="eastAsia" w:ascii="宋体" w:hAnsi="宋体" w:eastAsia="宋体" w:cs="宋体"/>
          <w:color w:val="auto"/>
          <w:highlight w:val="none"/>
        </w:rPr>
        <w:t xml:space="preserve">账          号： </w:t>
      </w:r>
    </w:p>
    <w:p w14:paraId="4B904C99">
      <w:pPr>
        <w:pStyle w:val="14"/>
        <w:spacing w:beforeAutospacing="0" w:afterAutospacing="0" w:line="0" w:lineRule="atLeast"/>
        <w:ind w:left="420" w:firstLine="480"/>
        <w:rPr>
          <w:color w:val="auto"/>
          <w:highlight w:val="none"/>
        </w:rPr>
      </w:pPr>
      <w:r>
        <w:rPr>
          <w:rFonts w:hint="eastAsia" w:ascii="宋体" w:hAnsi="宋体" w:eastAsia="宋体" w:cs="宋体"/>
          <w:color w:val="auto"/>
          <w:highlight w:val="none"/>
        </w:rPr>
        <w:t>日           期：________年____月____日</w:t>
      </w:r>
    </w:p>
    <w:p w14:paraId="517D30F4">
      <w:pPr>
        <w:pStyle w:val="14"/>
        <w:spacing w:beforeAutospacing="0" w:afterAutospacing="0" w:line="0" w:lineRule="atLeast"/>
        <w:ind w:firstLine="240"/>
        <w:jc w:val="center"/>
        <w:rPr>
          <w:color w:val="auto"/>
          <w:highlight w:val="none"/>
        </w:rPr>
      </w:pPr>
      <w:r>
        <w:rPr>
          <w:color w:val="auto"/>
          <w:highlight w:val="none"/>
        </w:rPr>
        <w:t> </w:t>
      </w:r>
    </w:p>
    <w:p w14:paraId="7D02EC5F">
      <w:pPr>
        <w:pStyle w:val="14"/>
        <w:spacing w:beforeAutospacing="0" w:afterAutospacing="0" w:line="0" w:lineRule="atLeast"/>
        <w:ind w:firstLine="240"/>
        <w:jc w:val="center"/>
        <w:rPr>
          <w:color w:val="auto"/>
          <w:highlight w:val="none"/>
        </w:rPr>
      </w:pPr>
      <w:r>
        <w:rPr>
          <w:color w:val="auto"/>
          <w:highlight w:val="none"/>
        </w:rPr>
        <w:t> </w:t>
      </w:r>
    </w:p>
    <w:p w14:paraId="526D8B48">
      <w:pPr>
        <w:pStyle w:val="14"/>
        <w:spacing w:beforeAutospacing="0" w:afterAutospacing="0" w:line="0" w:lineRule="atLeast"/>
        <w:ind w:firstLine="240"/>
        <w:jc w:val="center"/>
        <w:rPr>
          <w:color w:val="auto"/>
          <w:highlight w:val="none"/>
        </w:rPr>
      </w:pPr>
      <w:r>
        <w:rPr>
          <w:color w:val="auto"/>
          <w:highlight w:val="none"/>
        </w:rPr>
        <w:t> </w:t>
      </w:r>
    </w:p>
    <w:p w14:paraId="7D664580">
      <w:pPr>
        <w:pStyle w:val="14"/>
        <w:spacing w:beforeAutospacing="0" w:afterAutospacing="0" w:line="0" w:lineRule="atLeast"/>
        <w:ind w:firstLine="240"/>
        <w:jc w:val="center"/>
        <w:rPr>
          <w:color w:val="auto"/>
          <w:highlight w:val="none"/>
        </w:rPr>
      </w:pPr>
      <w:r>
        <w:rPr>
          <w:color w:val="auto"/>
          <w:highlight w:val="none"/>
        </w:rPr>
        <w:t> </w:t>
      </w:r>
    </w:p>
    <w:p w14:paraId="4CB43A27">
      <w:pPr>
        <w:pStyle w:val="14"/>
        <w:spacing w:beforeAutospacing="0" w:afterAutospacing="0" w:line="0" w:lineRule="atLeast"/>
        <w:ind w:firstLine="240"/>
        <w:jc w:val="center"/>
        <w:rPr>
          <w:color w:val="auto"/>
          <w:highlight w:val="none"/>
        </w:rPr>
      </w:pPr>
      <w:r>
        <w:rPr>
          <w:color w:val="auto"/>
          <w:highlight w:val="none"/>
        </w:rPr>
        <w:t> </w:t>
      </w:r>
    </w:p>
    <w:p w14:paraId="009E3C67">
      <w:pPr>
        <w:pStyle w:val="14"/>
        <w:spacing w:beforeAutospacing="0" w:afterAutospacing="0" w:line="0" w:lineRule="atLeast"/>
        <w:ind w:firstLine="240"/>
        <w:jc w:val="center"/>
        <w:rPr>
          <w:color w:val="auto"/>
          <w:highlight w:val="none"/>
        </w:rPr>
      </w:pPr>
    </w:p>
    <w:p w14:paraId="076B6F71">
      <w:pPr>
        <w:pStyle w:val="14"/>
        <w:spacing w:beforeAutospacing="0" w:afterAutospacing="0" w:line="0" w:lineRule="atLeast"/>
        <w:ind w:firstLine="240"/>
        <w:jc w:val="center"/>
        <w:rPr>
          <w:color w:val="auto"/>
          <w:highlight w:val="none"/>
        </w:rPr>
      </w:pPr>
    </w:p>
    <w:p w14:paraId="3827CC3B">
      <w:pPr>
        <w:pStyle w:val="14"/>
        <w:spacing w:beforeAutospacing="0" w:afterAutospacing="0" w:line="0" w:lineRule="atLeast"/>
        <w:ind w:firstLine="240"/>
        <w:jc w:val="center"/>
        <w:rPr>
          <w:color w:val="auto"/>
          <w:highlight w:val="none"/>
        </w:rPr>
      </w:pPr>
    </w:p>
    <w:p w14:paraId="2B728E37">
      <w:pPr>
        <w:pStyle w:val="14"/>
        <w:spacing w:beforeAutospacing="0" w:afterAutospacing="0" w:line="0" w:lineRule="atLeast"/>
        <w:ind w:firstLine="240"/>
        <w:jc w:val="center"/>
        <w:rPr>
          <w:color w:val="auto"/>
          <w:highlight w:val="none"/>
        </w:rPr>
      </w:pPr>
    </w:p>
    <w:p w14:paraId="4A16AAF8">
      <w:pPr>
        <w:pStyle w:val="14"/>
        <w:spacing w:beforeAutospacing="0" w:afterAutospacing="0" w:line="0" w:lineRule="atLeast"/>
        <w:ind w:firstLine="240"/>
        <w:jc w:val="center"/>
        <w:rPr>
          <w:color w:val="auto"/>
          <w:highlight w:val="none"/>
        </w:rPr>
      </w:pPr>
    </w:p>
    <w:p w14:paraId="69A5DCA0">
      <w:pPr>
        <w:pStyle w:val="14"/>
        <w:spacing w:beforeAutospacing="0" w:afterAutospacing="0" w:line="0" w:lineRule="atLeast"/>
        <w:ind w:firstLine="240"/>
        <w:jc w:val="center"/>
        <w:rPr>
          <w:color w:val="auto"/>
          <w:highlight w:val="none"/>
        </w:rPr>
      </w:pPr>
    </w:p>
    <w:p w14:paraId="0F79A881">
      <w:pPr>
        <w:pStyle w:val="14"/>
        <w:spacing w:beforeAutospacing="0" w:afterAutospacing="0" w:line="0" w:lineRule="atLeast"/>
        <w:ind w:firstLine="240"/>
        <w:jc w:val="center"/>
        <w:rPr>
          <w:color w:val="auto"/>
          <w:highlight w:val="none"/>
        </w:rPr>
      </w:pPr>
    </w:p>
    <w:p w14:paraId="15EC5A70">
      <w:pPr>
        <w:pStyle w:val="14"/>
        <w:spacing w:beforeAutospacing="0" w:afterAutospacing="0" w:line="0" w:lineRule="atLeast"/>
        <w:ind w:firstLine="240"/>
        <w:jc w:val="center"/>
        <w:rPr>
          <w:color w:val="auto"/>
          <w:highlight w:val="none"/>
        </w:rPr>
      </w:pPr>
    </w:p>
    <w:p w14:paraId="048221C4">
      <w:pPr>
        <w:pStyle w:val="14"/>
        <w:spacing w:beforeAutospacing="0" w:afterAutospacing="0" w:line="0" w:lineRule="atLeast"/>
        <w:ind w:firstLine="240"/>
        <w:jc w:val="center"/>
        <w:rPr>
          <w:color w:val="auto"/>
          <w:highlight w:val="none"/>
        </w:rPr>
      </w:pPr>
    </w:p>
    <w:p w14:paraId="3802D699">
      <w:pPr>
        <w:pStyle w:val="14"/>
        <w:spacing w:beforeAutospacing="0" w:afterAutospacing="0" w:line="0" w:lineRule="atLeast"/>
        <w:ind w:firstLine="240"/>
        <w:jc w:val="center"/>
        <w:rPr>
          <w:color w:val="auto"/>
          <w:highlight w:val="none"/>
        </w:rPr>
      </w:pPr>
    </w:p>
    <w:p w14:paraId="2B93E367">
      <w:pPr>
        <w:pStyle w:val="14"/>
        <w:spacing w:beforeAutospacing="0" w:afterAutospacing="0" w:line="0" w:lineRule="atLeast"/>
        <w:ind w:firstLine="240"/>
        <w:jc w:val="center"/>
        <w:rPr>
          <w:color w:val="auto"/>
          <w:highlight w:val="none"/>
        </w:rPr>
      </w:pPr>
    </w:p>
    <w:p w14:paraId="757DE681">
      <w:pPr>
        <w:pStyle w:val="14"/>
        <w:spacing w:beforeAutospacing="0" w:afterAutospacing="0" w:line="0" w:lineRule="atLeast"/>
        <w:jc w:val="center"/>
        <w:rPr>
          <w:color w:val="auto"/>
          <w:highlight w:val="none"/>
        </w:rPr>
      </w:pPr>
      <w:r>
        <w:rPr>
          <w:color w:val="auto"/>
          <w:highlight w:val="none"/>
        </w:rPr>
        <w:t> </w:t>
      </w:r>
    </w:p>
    <w:p w14:paraId="5B4F30B6">
      <w:pPr>
        <w:pStyle w:val="14"/>
        <w:spacing w:beforeAutospacing="0" w:afterAutospacing="0" w:line="0" w:lineRule="atLeast"/>
        <w:jc w:val="center"/>
        <w:rPr>
          <w:color w:val="auto"/>
          <w:highlight w:val="none"/>
        </w:rPr>
      </w:pPr>
      <w:r>
        <w:rPr>
          <w:rFonts w:hint="eastAsia" w:ascii="黑体" w:hAnsi="宋体" w:eastAsia="黑体" w:cs="黑体"/>
          <w:b/>
          <w:color w:val="auto"/>
          <w:sz w:val="32"/>
          <w:szCs w:val="32"/>
          <w:highlight w:val="none"/>
        </w:rPr>
        <w:br w:type="page"/>
      </w:r>
    </w:p>
    <w:p w14:paraId="0E7A7A07">
      <w:pPr>
        <w:pStyle w:val="14"/>
        <w:spacing w:beforeAutospacing="0" w:afterAutospacing="0" w:line="0" w:lineRule="atLeast"/>
        <w:jc w:val="center"/>
        <w:rPr>
          <w:color w:val="auto"/>
          <w:highlight w:val="none"/>
        </w:rPr>
      </w:pPr>
    </w:p>
    <w:p w14:paraId="25632175">
      <w:pPr>
        <w:pStyle w:val="14"/>
        <w:spacing w:beforeAutospacing="0" w:afterAutospacing="0" w:line="0" w:lineRule="atLeast"/>
        <w:jc w:val="center"/>
        <w:rPr>
          <w:color w:val="auto"/>
          <w:highlight w:val="none"/>
        </w:rPr>
      </w:pPr>
      <w:r>
        <w:rPr>
          <w:rFonts w:hint="eastAsia" w:ascii="黑体" w:hAnsi="宋体" w:eastAsia="黑体" w:cs="黑体"/>
          <w:b/>
          <w:color w:val="auto"/>
          <w:sz w:val="32"/>
          <w:szCs w:val="32"/>
          <w:highlight w:val="none"/>
          <w:lang w:val="en-US" w:eastAsia="zh-CN"/>
        </w:rPr>
        <w:t>九</w:t>
      </w:r>
      <w:r>
        <w:rPr>
          <w:rFonts w:hint="eastAsia" w:ascii="黑体" w:hAnsi="宋体" w:eastAsia="黑体" w:cs="黑体"/>
          <w:b/>
          <w:color w:val="auto"/>
          <w:sz w:val="32"/>
          <w:szCs w:val="32"/>
          <w:highlight w:val="none"/>
        </w:rPr>
        <w:t>、联合体协议（参考格式）（分包号：**）</w:t>
      </w:r>
    </w:p>
    <w:p w14:paraId="47099288">
      <w:pPr>
        <w:pStyle w:val="14"/>
        <w:spacing w:beforeAutospacing="0" w:afterAutospacing="0" w:line="0" w:lineRule="atLeast"/>
        <w:jc w:val="both"/>
        <w:rPr>
          <w:color w:val="auto"/>
          <w:highlight w:val="none"/>
        </w:rPr>
      </w:pPr>
      <w:r>
        <w:rPr>
          <w:rFonts w:hint="eastAsia" w:ascii="宋体" w:hAnsi="宋体" w:eastAsia="宋体" w:cs="宋体"/>
          <w:color w:val="auto"/>
          <w:highlight w:val="none"/>
        </w:rPr>
        <w:t>（联合体中各供应商全称）在此达成以下协议：</w:t>
      </w:r>
    </w:p>
    <w:p w14:paraId="171F8296">
      <w:pPr>
        <w:pStyle w:val="14"/>
        <w:spacing w:beforeAutospacing="0" w:afterAutospacing="0" w:line="0" w:lineRule="atLeast"/>
        <w:ind w:firstLine="645"/>
        <w:jc w:val="both"/>
        <w:rPr>
          <w:color w:val="auto"/>
          <w:highlight w:val="none"/>
        </w:rPr>
      </w:pPr>
      <w:r>
        <w:rPr>
          <w:rFonts w:hint="eastAsia" w:ascii="宋体" w:hAnsi="宋体" w:eastAsia="宋体" w:cs="宋体"/>
          <w:color w:val="auto"/>
          <w:highlight w:val="none"/>
        </w:rPr>
        <w:t>1、我们</w:t>
      </w:r>
      <w:r>
        <w:rPr>
          <w:rFonts w:hint="eastAsia" w:ascii="宋体" w:hAnsi="宋体" w:eastAsia="宋体" w:cs="宋体"/>
          <w:color w:val="auto"/>
          <w:highlight w:val="none"/>
          <w:u w:val="single"/>
        </w:rPr>
        <w:t xml:space="preserve"> （供应商1），（供应商2） ，……</w:t>
      </w:r>
      <w:r>
        <w:rPr>
          <w:rFonts w:hint="eastAsia" w:ascii="宋体" w:hAnsi="宋体" w:eastAsia="宋体" w:cs="宋体"/>
          <w:color w:val="auto"/>
          <w:highlight w:val="none"/>
        </w:rPr>
        <w:t>自愿组成联合体，参加采购</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rPr>
        <w:t>组织的采购编号为</w:t>
      </w:r>
      <w:r>
        <w:rPr>
          <w:rFonts w:hint="eastAsia" w:ascii="宋体" w:hAnsi="宋体" w:eastAsia="宋体" w:cs="宋体"/>
          <w:color w:val="auto"/>
          <w:highlight w:val="none"/>
          <w:u w:val="single"/>
        </w:rPr>
        <w:t>（编号全称），（项目全称）</w:t>
      </w:r>
      <w:r>
        <w:rPr>
          <w:rFonts w:hint="eastAsia" w:ascii="宋体" w:hAnsi="宋体" w:eastAsia="宋体" w:cs="宋体"/>
          <w:color w:val="auto"/>
          <w:highlight w:val="none"/>
        </w:rPr>
        <w:t>项目（分包号：**）的政府采购活动，我联合体指定</w:t>
      </w:r>
      <w:r>
        <w:rPr>
          <w:rFonts w:hint="eastAsia" w:ascii="宋体" w:hAnsi="宋体" w:eastAsia="宋体" w:cs="宋体"/>
          <w:color w:val="auto"/>
          <w:highlight w:val="none"/>
          <w:u w:val="single"/>
        </w:rPr>
        <w:t>（供应商*）</w:t>
      </w:r>
      <w:r>
        <w:rPr>
          <w:rFonts w:hint="eastAsia" w:ascii="宋体" w:hAnsi="宋体" w:eastAsia="宋体" w:cs="宋体"/>
          <w:color w:val="auto"/>
          <w:highlight w:val="none"/>
        </w:rPr>
        <w:t>为牵头单位（牵头单位必须为联合体成员）。</w:t>
      </w:r>
    </w:p>
    <w:p w14:paraId="1E770E3A">
      <w:pPr>
        <w:pStyle w:val="14"/>
        <w:spacing w:beforeAutospacing="0" w:afterAutospacing="0" w:line="0" w:lineRule="atLeast"/>
        <w:ind w:firstLine="645"/>
        <w:jc w:val="both"/>
        <w:rPr>
          <w:color w:val="auto"/>
          <w:highlight w:val="none"/>
        </w:rPr>
      </w:pPr>
      <w:r>
        <w:rPr>
          <w:rFonts w:hint="eastAsia" w:ascii="宋体" w:hAnsi="宋体" w:eastAsia="宋体" w:cs="宋体"/>
          <w:color w:val="auto"/>
          <w:highlight w:val="none"/>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14:paraId="3B965178">
      <w:pPr>
        <w:pStyle w:val="14"/>
        <w:spacing w:beforeAutospacing="0" w:afterAutospacing="0" w:line="0" w:lineRule="atLeast"/>
        <w:ind w:firstLine="645"/>
        <w:jc w:val="both"/>
        <w:rPr>
          <w:color w:val="auto"/>
          <w:highlight w:val="none"/>
        </w:rPr>
      </w:pPr>
      <w:r>
        <w:rPr>
          <w:rFonts w:hint="eastAsia" w:ascii="宋体" w:hAnsi="宋体" w:eastAsia="宋体" w:cs="宋体"/>
          <w:color w:val="auto"/>
          <w:highlight w:val="none"/>
        </w:rPr>
        <w:t>3、其中</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（小型、微型企业/残疾人福利性单位/监狱企业全称）为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（小型、微型企业/残疾人福利性单位/监狱企业）企业，且我们约定该公司/单位所承担的合同金额将占本项目合同总金额的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A603B1A">
      <w:pPr>
        <w:pStyle w:val="14"/>
        <w:spacing w:beforeAutospacing="0" w:afterAutospacing="0" w:line="0" w:lineRule="atLeast"/>
        <w:ind w:firstLine="645"/>
        <w:jc w:val="both"/>
        <w:rPr>
          <w:color w:val="auto"/>
          <w:highlight w:val="none"/>
        </w:rPr>
      </w:pPr>
      <w:r>
        <w:rPr>
          <w:color w:val="auto"/>
          <w:highlight w:val="none"/>
        </w:rPr>
        <w:t> </w:t>
      </w:r>
    </w:p>
    <w:p w14:paraId="48FA2AD9">
      <w:pPr>
        <w:pStyle w:val="14"/>
        <w:spacing w:beforeAutospacing="0" w:afterAutospacing="0" w:line="0" w:lineRule="atLeast"/>
        <w:ind w:firstLine="645"/>
        <w:jc w:val="both"/>
        <w:rPr>
          <w:color w:val="auto"/>
          <w:highlight w:val="none"/>
        </w:rPr>
      </w:pPr>
      <w:r>
        <w:rPr>
          <w:rFonts w:hint="eastAsia" w:ascii="宋体" w:hAnsi="宋体" w:eastAsia="宋体" w:cs="宋体"/>
          <w:color w:val="auto"/>
          <w:highlight w:val="none"/>
        </w:rPr>
        <w:t>备注：本招标文件中要求加盖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签章的地方，仅需加盖牵头单位的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签章。</w:t>
      </w:r>
    </w:p>
    <w:p w14:paraId="1CB655E2">
      <w:pPr>
        <w:pStyle w:val="14"/>
        <w:spacing w:beforeAutospacing="0" w:afterAutospacing="0" w:line="0" w:lineRule="atLeast"/>
        <w:ind w:firstLine="645"/>
        <w:jc w:val="both"/>
        <w:rPr>
          <w:color w:val="auto"/>
          <w:highlight w:val="none"/>
        </w:rPr>
      </w:pPr>
      <w:r>
        <w:rPr>
          <w:rFonts w:hint="eastAsia" w:ascii="宋体" w:hAnsi="宋体" w:eastAsia="宋体" w:cs="宋体"/>
          <w:color w:val="auto"/>
          <w:highlight w:val="none"/>
        </w:rPr>
        <w:t>                               </w:t>
      </w:r>
    </w:p>
    <w:p w14:paraId="41749F3F">
      <w:pPr>
        <w:pStyle w:val="14"/>
        <w:spacing w:beforeAutospacing="0" w:afterAutospacing="0" w:line="0" w:lineRule="atLeast"/>
        <w:ind w:firstLine="645"/>
        <w:jc w:val="right"/>
        <w:rPr>
          <w:color w:val="auto"/>
          <w:highlight w:val="none"/>
        </w:rPr>
      </w:pPr>
      <w:r>
        <w:rPr>
          <w:rFonts w:hint="eastAsia" w:ascii="宋体" w:hAnsi="宋体" w:eastAsia="宋体" w:cs="宋体"/>
          <w:color w:val="auto"/>
          <w:highlight w:val="none"/>
        </w:rPr>
        <w:t xml:space="preserve">联合体中各供应商全称（公章）：     </w:t>
      </w:r>
    </w:p>
    <w:p w14:paraId="31BFF35C">
      <w:pPr>
        <w:pStyle w:val="14"/>
        <w:spacing w:beforeAutospacing="0" w:afterAutospacing="0" w:line="0" w:lineRule="atLeast"/>
        <w:ind w:firstLine="645"/>
        <w:jc w:val="both"/>
        <w:rPr>
          <w:color w:val="auto"/>
          <w:highlight w:val="none"/>
        </w:rPr>
      </w:pPr>
      <w:r>
        <w:rPr>
          <w:rFonts w:hint="eastAsia" w:ascii="宋体" w:hAnsi="宋体" w:eastAsia="宋体" w:cs="宋体"/>
          <w:color w:val="auto"/>
          <w:highlight w:val="none"/>
        </w:rPr>
        <w:t>                                                          日期：</w:t>
      </w:r>
    </w:p>
    <w:p w14:paraId="1362C19C">
      <w:pPr>
        <w:pStyle w:val="14"/>
        <w:spacing w:beforeAutospacing="0" w:afterAutospacing="0" w:line="0" w:lineRule="atLeast"/>
        <w:ind w:firstLine="645"/>
        <w:jc w:val="both"/>
        <w:rPr>
          <w:color w:val="auto"/>
          <w:highlight w:val="none"/>
        </w:rPr>
      </w:pPr>
      <w:r>
        <w:rPr>
          <w:color w:val="auto"/>
          <w:highlight w:val="none"/>
        </w:rPr>
        <w:t> </w:t>
      </w:r>
    </w:p>
    <w:p w14:paraId="166AC735">
      <w:pPr>
        <w:pStyle w:val="14"/>
        <w:spacing w:beforeAutospacing="0" w:afterAutospacing="0" w:line="0" w:lineRule="atLeast"/>
        <w:jc w:val="both"/>
        <w:rPr>
          <w:color w:val="auto"/>
          <w:highlight w:val="none"/>
        </w:rPr>
      </w:pPr>
      <w:r>
        <w:rPr>
          <w:color w:val="auto"/>
          <w:highlight w:val="none"/>
        </w:rPr>
        <w:t> </w:t>
      </w:r>
    </w:p>
    <w:p w14:paraId="3D799F36">
      <w:pPr>
        <w:pStyle w:val="14"/>
        <w:spacing w:beforeAutospacing="0" w:afterAutospacing="0" w:line="0" w:lineRule="atLeast"/>
        <w:jc w:val="both"/>
        <w:rPr>
          <w:color w:val="auto"/>
          <w:highlight w:val="none"/>
        </w:rPr>
      </w:pPr>
      <w:r>
        <w:rPr>
          <w:color w:val="auto"/>
          <w:highlight w:val="none"/>
        </w:rPr>
        <w:t> </w:t>
      </w:r>
    </w:p>
    <w:p w14:paraId="37E6BE0B">
      <w:pPr>
        <w:pStyle w:val="14"/>
        <w:spacing w:beforeAutospacing="0" w:afterAutospacing="0" w:line="0" w:lineRule="atLeast"/>
        <w:jc w:val="both"/>
        <w:rPr>
          <w:color w:val="auto"/>
          <w:highlight w:val="none"/>
        </w:rPr>
      </w:pPr>
      <w:r>
        <w:rPr>
          <w:color w:val="auto"/>
          <w:highlight w:val="none"/>
        </w:rPr>
        <w:t> </w:t>
      </w:r>
    </w:p>
    <w:p w14:paraId="2B60C190">
      <w:pPr>
        <w:pStyle w:val="14"/>
        <w:spacing w:beforeAutospacing="0" w:afterAutospacing="0" w:line="0" w:lineRule="atLeast"/>
        <w:jc w:val="both"/>
        <w:rPr>
          <w:color w:val="auto"/>
          <w:highlight w:val="none"/>
        </w:rPr>
      </w:pPr>
      <w:r>
        <w:rPr>
          <w:color w:val="auto"/>
          <w:highlight w:val="none"/>
        </w:rPr>
        <w:t> </w:t>
      </w:r>
    </w:p>
    <w:p w14:paraId="57527C1B">
      <w:pPr>
        <w:pStyle w:val="14"/>
        <w:spacing w:beforeAutospacing="0" w:afterAutospacing="0" w:line="0" w:lineRule="atLeast"/>
        <w:jc w:val="both"/>
        <w:rPr>
          <w:color w:val="auto"/>
          <w:highlight w:val="none"/>
        </w:rPr>
      </w:pPr>
      <w:r>
        <w:rPr>
          <w:color w:val="auto"/>
          <w:highlight w:val="none"/>
        </w:rPr>
        <w:t> </w:t>
      </w:r>
    </w:p>
    <w:p w14:paraId="3F791BC4">
      <w:pPr>
        <w:pStyle w:val="14"/>
        <w:spacing w:beforeAutospacing="0" w:afterAutospacing="0" w:line="0" w:lineRule="atLeast"/>
        <w:jc w:val="both"/>
        <w:rPr>
          <w:color w:val="auto"/>
          <w:highlight w:val="none"/>
        </w:rPr>
      </w:pPr>
    </w:p>
    <w:p w14:paraId="6A959F58">
      <w:pPr>
        <w:pStyle w:val="14"/>
        <w:spacing w:beforeAutospacing="0" w:afterAutospacing="0" w:line="0" w:lineRule="atLeast"/>
        <w:jc w:val="both"/>
        <w:rPr>
          <w:color w:val="auto"/>
          <w:highlight w:val="none"/>
        </w:rPr>
      </w:pPr>
    </w:p>
    <w:p w14:paraId="59120E29">
      <w:pPr>
        <w:pStyle w:val="14"/>
        <w:spacing w:beforeAutospacing="0" w:afterAutospacing="0" w:line="0" w:lineRule="atLeast"/>
        <w:jc w:val="both"/>
        <w:rPr>
          <w:color w:val="auto"/>
          <w:highlight w:val="none"/>
        </w:rPr>
      </w:pPr>
    </w:p>
    <w:p w14:paraId="7BFD87F7">
      <w:pPr>
        <w:pStyle w:val="14"/>
        <w:spacing w:beforeAutospacing="0" w:afterAutospacing="0" w:line="0" w:lineRule="atLeast"/>
        <w:jc w:val="both"/>
        <w:rPr>
          <w:color w:val="auto"/>
          <w:highlight w:val="none"/>
        </w:rPr>
      </w:pPr>
    </w:p>
    <w:p w14:paraId="46460017">
      <w:pPr>
        <w:pStyle w:val="14"/>
        <w:spacing w:beforeAutospacing="0" w:afterAutospacing="0" w:line="0" w:lineRule="atLeast"/>
        <w:jc w:val="both"/>
        <w:rPr>
          <w:color w:val="auto"/>
          <w:highlight w:val="none"/>
        </w:rPr>
      </w:pPr>
    </w:p>
    <w:p w14:paraId="319FDB43">
      <w:pPr>
        <w:pStyle w:val="14"/>
        <w:spacing w:beforeAutospacing="0" w:afterAutospacing="0" w:line="0" w:lineRule="atLeast"/>
        <w:jc w:val="both"/>
        <w:rPr>
          <w:color w:val="auto"/>
          <w:highlight w:val="none"/>
        </w:rPr>
      </w:pPr>
    </w:p>
    <w:p w14:paraId="48D90514">
      <w:pPr>
        <w:pStyle w:val="14"/>
        <w:spacing w:beforeAutospacing="0" w:afterAutospacing="0" w:line="0" w:lineRule="atLeast"/>
        <w:jc w:val="both"/>
        <w:rPr>
          <w:color w:val="auto"/>
          <w:highlight w:val="none"/>
        </w:rPr>
      </w:pPr>
    </w:p>
    <w:p w14:paraId="77319186">
      <w:pPr>
        <w:pStyle w:val="14"/>
        <w:spacing w:beforeAutospacing="0" w:afterAutospacing="0" w:line="0" w:lineRule="atLeast"/>
        <w:jc w:val="both"/>
        <w:rPr>
          <w:color w:val="auto"/>
          <w:highlight w:val="none"/>
        </w:rPr>
      </w:pPr>
    </w:p>
    <w:p w14:paraId="3EEE9B03">
      <w:pPr>
        <w:pStyle w:val="14"/>
        <w:spacing w:beforeAutospacing="0" w:afterAutospacing="0" w:line="0" w:lineRule="atLeast"/>
        <w:jc w:val="both"/>
        <w:rPr>
          <w:color w:val="auto"/>
          <w:highlight w:val="none"/>
        </w:rPr>
      </w:pPr>
    </w:p>
    <w:p w14:paraId="6F25DC03">
      <w:pPr>
        <w:pStyle w:val="14"/>
        <w:spacing w:beforeAutospacing="0" w:afterAutospacing="0" w:line="0" w:lineRule="atLeast"/>
        <w:jc w:val="both"/>
        <w:rPr>
          <w:color w:val="auto"/>
          <w:highlight w:val="none"/>
        </w:rPr>
      </w:pPr>
    </w:p>
    <w:p w14:paraId="5E3ACA2F">
      <w:pPr>
        <w:pStyle w:val="14"/>
        <w:spacing w:beforeAutospacing="0" w:afterAutospacing="0" w:line="0" w:lineRule="atLeast"/>
        <w:jc w:val="both"/>
        <w:rPr>
          <w:color w:val="auto"/>
          <w:highlight w:val="none"/>
        </w:rPr>
      </w:pPr>
    </w:p>
    <w:p w14:paraId="7E170FB9">
      <w:pPr>
        <w:pStyle w:val="14"/>
        <w:spacing w:beforeAutospacing="0" w:afterAutospacing="0" w:line="0" w:lineRule="atLeast"/>
        <w:jc w:val="both"/>
        <w:rPr>
          <w:color w:val="auto"/>
          <w:highlight w:val="none"/>
        </w:rPr>
      </w:pPr>
    </w:p>
    <w:p w14:paraId="07CFFF96">
      <w:pPr>
        <w:pStyle w:val="14"/>
        <w:spacing w:beforeAutospacing="0" w:afterAutospacing="0" w:line="0" w:lineRule="atLeast"/>
        <w:jc w:val="both"/>
        <w:rPr>
          <w:color w:val="auto"/>
          <w:highlight w:val="none"/>
        </w:rPr>
      </w:pPr>
    </w:p>
    <w:p w14:paraId="5940DC2F">
      <w:pPr>
        <w:pStyle w:val="14"/>
        <w:spacing w:beforeAutospacing="0" w:afterAutospacing="0" w:line="0" w:lineRule="atLeast"/>
        <w:jc w:val="both"/>
        <w:rPr>
          <w:color w:val="auto"/>
          <w:highlight w:val="none"/>
        </w:rPr>
      </w:pPr>
    </w:p>
    <w:p w14:paraId="1644ADE4">
      <w:pPr>
        <w:pStyle w:val="14"/>
        <w:spacing w:beforeAutospacing="0" w:afterAutospacing="0" w:line="0" w:lineRule="atLeast"/>
        <w:jc w:val="both"/>
        <w:rPr>
          <w:color w:val="auto"/>
          <w:highlight w:val="none"/>
        </w:rPr>
      </w:pPr>
    </w:p>
    <w:p w14:paraId="72752EF8">
      <w:pPr>
        <w:pStyle w:val="14"/>
        <w:spacing w:beforeAutospacing="0" w:afterAutospacing="0" w:line="0" w:lineRule="atLeast"/>
        <w:jc w:val="both"/>
        <w:rPr>
          <w:color w:val="auto"/>
          <w:highlight w:val="none"/>
        </w:rPr>
      </w:pPr>
    </w:p>
    <w:p w14:paraId="1627436F">
      <w:pPr>
        <w:pStyle w:val="14"/>
        <w:spacing w:beforeAutospacing="0" w:afterAutospacing="0" w:line="0" w:lineRule="atLeast"/>
        <w:jc w:val="both"/>
        <w:rPr>
          <w:color w:val="auto"/>
          <w:highlight w:val="none"/>
        </w:rPr>
      </w:pPr>
    </w:p>
    <w:p w14:paraId="752EB775">
      <w:pPr>
        <w:pStyle w:val="14"/>
        <w:spacing w:beforeAutospacing="0" w:afterAutospacing="0" w:line="0" w:lineRule="atLeast"/>
        <w:jc w:val="both"/>
        <w:rPr>
          <w:color w:val="auto"/>
          <w:highlight w:val="none"/>
        </w:rPr>
      </w:pPr>
      <w:r>
        <w:rPr>
          <w:color w:val="auto"/>
          <w:highlight w:val="none"/>
        </w:rPr>
        <w:t> </w:t>
      </w:r>
    </w:p>
    <w:p w14:paraId="047D93AE">
      <w:pPr>
        <w:pStyle w:val="14"/>
        <w:spacing w:beforeAutospacing="0" w:afterAutospacing="0"/>
        <w:jc w:val="both"/>
        <w:rPr>
          <w:color w:val="auto"/>
          <w:highlight w:val="none"/>
        </w:rPr>
      </w:pPr>
      <w:r>
        <w:rPr>
          <w:color w:val="auto"/>
          <w:highlight w:val="none"/>
        </w:rPr>
        <w:t> </w:t>
      </w:r>
    </w:p>
    <w:p w14:paraId="40A7DB27">
      <w:pPr>
        <w:pStyle w:val="14"/>
        <w:spacing w:beforeAutospacing="0" w:afterAutospacing="0"/>
        <w:jc w:val="center"/>
        <w:rPr>
          <w:color w:val="auto"/>
          <w:highlight w:val="none"/>
        </w:rPr>
      </w:pPr>
      <w:r>
        <w:rPr>
          <w:color w:val="auto"/>
          <w:highlight w:val="none"/>
        </w:rPr>
        <w:t> </w:t>
      </w:r>
    </w:p>
    <w:p w14:paraId="2D3E7171">
      <w:pPr>
        <w:pStyle w:val="14"/>
        <w:spacing w:beforeAutospacing="0" w:afterAutospacing="0"/>
        <w:jc w:val="center"/>
        <w:rPr>
          <w:color w:val="auto"/>
          <w:highlight w:val="none"/>
        </w:rPr>
      </w:pPr>
      <w:r>
        <w:rPr>
          <w:color w:val="auto"/>
          <w:highlight w:val="none"/>
        </w:rPr>
        <w:t> </w:t>
      </w:r>
    </w:p>
    <w:p w14:paraId="0FB8DD22">
      <w:pPr>
        <w:pStyle w:val="14"/>
        <w:spacing w:beforeAutospacing="0" w:afterAutospacing="0"/>
        <w:jc w:val="center"/>
        <w:rPr>
          <w:color w:val="auto"/>
          <w:highlight w:val="none"/>
        </w:rPr>
      </w:pPr>
    </w:p>
    <w:p w14:paraId="4C665761">
      <w:pPr>
        <w:pStyle w:val="14"/>
        <w:spacing w:beforeAutospacing="0" w:afterAutospacing="0"/>
        <w:jc w:val="center"/>
        <w:rPr>
          <w:color w:val="auto"/>
          <w:highlight w:val="none"/>
        </w:rPr>
      </w:pPr>
      <w:r>
        <w:rPr>
          <w:rFonts w:hint="eastAsia" w:ascii="黑体" w:hAnsi="宋体" w:eastAsia="黑体" w:cs="黑体"/>
          <w:b/>
          <w:color w:val="auto"/>
          <w:sz w:val="32"/>
          <w:szCs w:val="32"/>
          <w:highlight w:val="none"/>
        </w:rPr>
        <w:t>十、技术要求响应及偏离表（分包号：**）</w:t>
      </w:r>
    </w:p>
    <w:tbl>
      <w:tblPr>
        <w:tblStyle w:val="15"/>
        <w:tblW w:w="8520" w:type="dxa"/>
        <w:tblCellSpacing w:w="0" w:type="dxa"/>
        <w:tblInd w:w="10" w:type="dxa"/>
        <w:tblLayout w:type="fixed"/>
        <w:tblCellMar>
          <w:top w:w="0" w:type="dxa"/>
          <w:left w:w="108" w:type="dxa"/>
          <w:bottom w:w="0" w:type="dxa"/>
          <w:right w:w="108" w:type="dxa"/>
        </w:tblCellMar>
      </w:tblPr>
      <w:tblGrid>
        <w:gridCol w:w="538"/>
        <w:gridCol w:w="3026"/>
        <w:gridCol w:w="2608"/>
        <w:gridCol w:w="1247"/>
        <w:gridCol w:w="1101"/>
      </w:tblGrid>
      <w:tr w14:paraId="48C67D6B">
        <w:tblPrEx>
          <w:tblCellMar>
            <w:top w:w="0" w:type="dxa"/>
            <w:left w:w="108" w:type="dxa"/>
            <w:bottom w:w="0" w:type="dxa"/>
            <w:right w:w="108" w:type="dxa"/>
          </w:tblCellMar>
        </w:tblPrEx>
        <w:trPr>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E08D">
            <w:pPr>
              <w:pStyle w:val="14"/>
              <w:spacing w:beforeAutospacing="0" w:afterAutospacing="0"/>
              <w:jc w:val="center"/>
              <w:rPr>
                <w:color w:val="auto"/>
                <w:highlight w:val="none"/>
              </w:rPr>
            </w:pPr>
            <w:r>
              <w:rPr>
                <w:rFonts w:hint="eastAsia" w:ascii="宋体" w:hAnsi="宋体" w:eastAsia="宋体" w:cs="宋体"/>
                <w:color w:val="auto"/>
                <w:highlight w:val="none"/>
              </w:rPr>
              <w:t>序号</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E111">
            <w:pPr>
              <w:pStyle w:val="14"/>
              <w:spacing w:beforeAutospacing="0" w:afterAutospacing="0"/>
              <w:jc w:val="center"/>
              <w:rPr>
                <w:color w:val="auto"/>
                <w:highlight w:val="none"/>
              </w:rPr>
            </w:pPr>
            <w:r>
              <w:rPr>
                <w:rFonts w:hint="eastAsia" w:ascii="宋体" w:hAnsi="宋体" w:eastAsia="宋体" w:cs="宋体"/>
                <w:color w:val="auto"/>
                <w:highlight w:val="none"/>
              </w:rPr>
              <w:t>招标文件要求</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C2EF">
            <w:pPr>
              <w:pStyle w:val="14"/>
              <w:spacing w:beforeAutospacing="0" w:afterAutospacing="0"/>
              <w:jc w:val="center"/>
              <w:rPr>
                <w:color w:val="auto"/>
                <w:highlight w:val="none"/>
              </w:rPr>
            </w:pPr>
            <w:r>
              <w:rPr>
                <w:rFonts w:hint="eastAsia" w:ascii="宋体" w:hAnsi="宋体" w:eastAsia="宋体" w:cs="宋体"/>
                <w:color w:val="auto"/>
                <w:highlight w:val="none"/>
              </w:rPr>
              <w:t>投标响应情况</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4F6C">
            <w:pPr>
              <w:pStyle w:val="14"/>
              <w:spacing w:beforeAutospacing="0" w:afterAutospacing="0"/>
              <w:jc w:val="center"/>
              <w:rPr>
                <w:color w:val="auto"/>
                <w:highlight w:val="none"/>
              </w:rPr>
            </w:pPr>
            <w:r>
              <w:rPr>
                <w:rFonts w:hint="eastAsia" w:ascii="宋体" w:hAnsi="宋体" w:eastAsia="宋体" w:cs="宋体"/>
                <w:color w:val="auto"/>
                <w:highlight w:val="none"/>
              </w:rPr>
              <w:t>超出、符合或偏离</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0C9B">
            <w:pPr>
              <w:pStyle w:val="14"/>
              <w:spacing w:beforeAutospacing="0" w:afterAutospacing="0"/>
              <w:jc w:val="center"/>
              <w:rPr>
                <w:color w:val="auto"/>
                <w:highlight w:val="none"/>
              </w:rPr>
            </w:pPr>
            <w:r>
              <w:rPr>
                <w:rFonts w:hint="eastAsia" w:ascii="宋体" w:hAnsi="宋体" w:eastAsia="宋体" w:cs="宋体"/>
                <w:color w:val="auto"/>
                <w:highlight w:val="none"/>
              </w:rPr>
              <w:t>证明</w:t>
            </w:r>
          </w:p>
          <w:p w14:paraId="0AA567DE">
            <w:pPr>
              <w:pStyle w:val="14"/>
              <w:spacing w:beforeAutospacing="0" w:afterAutospacing="0"/>
              <w:jc w:val="center"/>
              <w:rPr>
                <w:color w:val="auto"/>
                <w:highlight w:val="none"/>
              </w:rPr>
            </w:pPr>
            <w:r>
              <w:rPr>
                <w:rFonts w:hint="eastAsia" w:ascii="宋体" w:hAnsi="宋体" w:eastAsia="宋体" w:cs="宋体"/>
                <w:color w:val="auto"/>
                <w:highlight w:val="none"/>
              </w:rPr>
              <w:t>材料</w:t>
            </w:r>
          </w:p>
        </w:tc>
      </w:tr>
      <w:tr w14:paraId="2D55E8DE">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3A6D">
            <w:pPr>
              <w:pStyle w:val="14"/>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3F98">
            <w:pPr>
              <w:pStyle w:val="14"/>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1D89">
            <w:pPr>
              <w:pStyle w:val="14"/>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7EF9">
            <w:pPr>
              <w:pStyle w:val="14"/>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079C">
            <w:pPr>
              <w:pStyle w:val="14"/>
              <w:spacing w:beforeAutospacing="0" w:afterAutospacing="0"/>
              <w:jc w:val="center"/>
              <w:rPr>
                <w:color w:val="auto"/>
                <w:highlight w:val="none"/>
              </w:rPr>
            </w:pPr>
            <w:r>
              <w:rPr>
                <w:color w:val="auto"/>
                <w:highlight w:val="none"/>
              </w:rPr>
              <w:t> </w:t>
            </w:r>
          </w:p>
        </w:tc>
      </w:tr>
      <w:tr w14:paraId="6A22AAF7">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958B">
            <w:pPr>
              <w:pStyle w:val="14"/>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19D3">
            <w:pPr>
              <w:pStyle w:val="14"/>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75A1">
            <w:pPr>
              <w:pStyle w:val="14"/>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C8BB">
            <w:pPr>
              <w:pStyle w:val="14"/>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FCA8">
            <w:pPr>
              <w:pStyle w:val="14"/>
              <w:spacing w:beforeAutospacing="0" w:afterAutospacing="0"/>
              <w:jc w:val="center"/>
              <w:rPr>
                <w:color w:val="auto"/>
                <w:highlight w:val="none"/>
              </w:rPr>
            </w:pPr>
            <w:r>
              <w:rPr>
                <w:color w:val="auto"/>
                <w:highlight w:val="none"/>
              </w:rPr>
              <w:t> </w:t>
            </w:r>
          </w:p>
        </w:tc>
      </w:tr>
      <w:tr w14:paraId="0A96D922">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45D8">
            <w:pPr>
              <w:pStyle w:val="14"/>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83CE">
            <w:pPr>
              <w:pStyle w:val="14"/>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206A">
            <w:pPr>
              <w:pStyle w:val="14"/>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4FE1">
            <w:pPr>
              <w:pStyle w:val="14"/>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81DA">
            <w:pPr>
              <w:pStyle w:val="14"/>
              <w:spacing w:beforeAutospacing="0" w:afterAutospacing="0"/>
              <w:jc w:val="center"/>
              <w:rPr>
                <w:color w:val="auto"/>
                <w:highlight w:val="none"/>
              </w:rPr>
            </w:pPr>
            <w:r>
              <w:rPr>
                <w:color w:val="auto"/>
                <w:highlight w:val="none"/>
              </w:rPr>
              <w:t> </w:t>
            </w:r>
          </w:p>
        </w:tc>
      </w:tr>
      <w:tr w14:paraId="6A3D630E">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5B2F">
            <w:pPr>
              <w:pStyle w:val="14"/>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B8D7">
            <w:pPr>
              <w:pStyle w:val="14"/>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DA57">
            <w:pPr>
              <w:pStyle w:val="14"/>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B6AD">
            <w:pPr>
              <w:pStyle w:val="14"/>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1883">
            <w:pPr>
              <w:pStyle w:val="14"/>
              <w:spacing w:beforeAutospacing="0" w:afterAutospacing="0"/>
              <w:jc w:val="center"/>
              <w:rPr>
                <w:color w:val="auto"/>
                <w:highlight w:val="none"/>
              </w:rPr>
            </w:pPr>
            <w:r>
              <w:rPr>
                <w:color w:val="auto"/>
                <w:highlight w:val="none"/>
              </w:rPr>
              <w:t> </w:t>
            </w:r>
          </w:p>
        </w:tc>
      </w:tr>
      <w:tr w14:paraId="1FD10307">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B157">
            <w:pPr>
              <w:pStyle w:val="14"/>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CAED">
            <w:pPr>
              <w:pStyle w:val="14"/>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D6B9">
            <w:pPr>
              <w:pStyle w:val="14"/>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F19F">
            <w:pPr>
              <w:pStyle w:val="14"/>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5CDD">
            <w:pPr>
              <w:pStyle w:val="14"/>
              <w:spacing w:beforeAutospacing="0" w:afterAutospacing="0"/>
              <w:jc w:val="center"/>
              <w:rPr>
                <w:color w:val="auto"/>
                <w:highlight w:val="none"/>
              </w:rPr>
            </w:pPr>
            <w:r>
              <w:rPr>
                <w:color w:val="auto"/>
                <w:highlight w:val="none"/>
              </w:rPr>
              <w:t> </w:t>
            </w:r>
          </w:p>
        </w:tc>
      </w:tr>
      <w:tr w14:paraId="7E7BEB0F">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E6E8">
            <w:pPr>
              <w:pStyle w:val="14"/>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2274">
            <w:pPr>
              <w:pStyle w:val="14"/>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B729">
            <w:pPr>
              <w:pStyle w:val="14"/>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35ED">
            <w:pPr>
              <w:pStyle w:val="14"/>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23FA">
            <w:pPr>
              <w:pStyle w:val="14"/>
              <w:spacing w:beforeAutospacing="0" w:afterAutospacing="0"/>
              <w:jc w:val="center"/>
              <w:rPr>
                <w:color w:val="auto"/>
                <w:highlight w:val="none"/>
              </w:rPr>
            </w:pPr>
            <w:r>
              <w:rPr>
                <w:color w:val="auto"/>
                <w:highlight w:val="none"/>
              </w:rPr>
              <w:t> </w:t>
            </w:r>
          </w:p>
        </w:tc>
      </w:tr>
      <w:tr w14:paraId="04CD8F28">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F401">
            <w:pPr>
              <w:pStyle w:val="14"/>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C446">
            <w:pPr>
              <w:pStyle w:val="14"/>
              <w:spacing w:beforeAutospacing="0" w:afterAutospacing="0"/>
              <w:jc w:val="center"/>
              <w:rPr>
                <w:color w:val="auto"/>
                <w:highlight w:val="none"/>
              </w:rPr>
            </w:pPr>
            <w:r>
              <w:rPr>
                <w:color w:val="auto"/>
                <w:highlight w:val="none"/>
              </w:rP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2FF0">
            <w:pPr>
              <w:pStyle w:val="14"/>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6148">
            <w:pPr>
              <w:pStyle w:val="14"/>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4035">
            <w:pPr>
              <w:pStyle w:val="14"/>
              <w:spacing w:beforeAutospacing="0" w:afterAutospacing="0"/>
              <w:jc w:val="center"/>
              <w:rPr>
                <w:color w:val="auto"/>
                <w:highlight w:val="none"/>
              </w:rPr>
            </w:pPr>
            <w:r>
              <w:rPr>
                <w:color w:val="auto"/>
                <w:highlight w:val="none"/>
              </w:rPr>
              <w:t> </w:t>
            </w:r>
          </w:p>
        </w:tc>
      </w:tr>
      <w:tr w14:paraId="42CC7CC8">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F694">
            <w:pPr>
              <w:pStyle w:val="14"/>
              <w:spacing w:beforeAutospacing="0" w:afterAutospacing="0"/>
              <w:jc w:val="center"/>
              <w:rPr>
                <w:color w:val="auto"/>
                <w:highlight w:val="none"/>
              </w:rPr>
            </w:pPr>
            <w:r>
              <w:rPr>
                <w:color w:val="auto"/>
                <w:highlight w:val="none"/>
              </w:rP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BBC6">
            <w:pPr>
              <w:pStyle w:val="14"/>
              <w:spacing w:beforeAutospacing="0" w:afterAutospacing="0"/>
              <w:jc w:val="center"/>
              <w:rPr>
                <w:color w:val="auto"/>
                <w:highlight w:val="none"/>
              </w:rPr>
            </w:pPr>
            <w:r>
              <w:rPr>
                <w:rFonts w:hint="eastAsia" w:ascii="宋体" w:hAnsi="宋体" w:eastAsia="宋体" w:cs="宋体"/>
                <w:color w:val="auto"/>
                <w:highlight w:val="none"/>
              </w:rPr>
              <w:t>……</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54F4">
            <w:pPr>
              <w:pStyle w:val="14"/>
              <w:spacing w:beforeAutospacing="0" w:afterAutospacing="0"/>
              <w:jc w:val="center"/>
              <w:rPr>
                <w:color w:val="auto"/>
                <w:highlight w:val="none"/>
              </w:rPr>
            </w:pPr>
            <w:r>
              <w:rPr>
                <w:color w:val="auto"/>
                <w:highlight w:val="none"/>
              </w:rP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8EFF">
            <w:pPr>
              <w:pStyle w:val="14"/>
              <w:spacing w:beforeAutospacing="0" w:afterAutospacing="0"/>
              <w:jc w:val="center"/>
              <w:rPr>
                <w:color w:val="auto"/>
                <w:highlight w:val="none"/>
              </w:rPr>
            </w:pPr>
            <w:r>
              <w:rPr>
                <w:color w:val="auto"/>
                <w:highlight w:val="none"/>
              </w:rP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90D4">
            <w:pPr>
              <w:pStyle w:val="14"/>
              <w:spacing w:beforeAutospacing="0" w:afterAutospacing="0"/>
              <w:jc w:val="center"/>
              <w:rPr>
                <w:color w:val="auto"/>
                <w:highlight w:val="none"/>
              </w:rPr>
            </w:pPr>
            <w:r>
              <w:rPr>
                <w:color w:val="auto"/>
                <w:highlight w:val="none"/>
              </w:rPr>
              <w:t> </w:t>
            </w:r>
          </w:p>
        </w:tc>
      </w:tr>
    </w:tbl>
    <w:p w14:paraId="039DC209">
      <w:pPr>
        <w:pStyle w:val="14"/>
        <w:spacing w:beforeAutospacing="0" w:afterAutospacing="0"/>
        <w:jc w:val="both"/>
        <w:rPr>
          <w:color w:val="auto"/>
          <w:highlight w:val="none"/>
        </w:rPr>
      </w:pPr>
      <w:r>
        <w:rPr>
          <w:rFonts w:hint="eastAsia" w:ascii="宋体" w:hAnsi="宋体" w:eastAsia="宋体" w:cs="宋体"/>
          <w:color w:val="auto"/>
          <w:highlight w:val="none"/>
        </w:rPr>
        <w:t>注： 行数不够，可自行添加。</w:t>
      </w:r>
    </w:p>
    <w:p w14:paraId="15AA5ABF">
      <w:pPr>
        <w:pStyle w:val="14"/>
        <w:spacing w:beforeAutospacing="0" w:afterAutospacing="0"/>
        <w:jc w:val="center"/>
        <w:rPr>
          <w:color w:val="auto"/>
          <w:highlight w:val="none"/>
        </w:rPr>
      </w:pPr>
      <w:r>
        <w:rPr>
          <w:color w:val="auto"/>
          <w:highlight w:val="none"/>
        </w:rPr>
        <w:t> </w:t>
      </w:r>
    </w:p>
    <w:p w14:paraId="3DE57A72">
      <w:pPr>
        <w:pStyle w:val="14"/>
        <w:spacing w:beforeAutospacing="0" w:afterAutospacing="0"/>
        <w:jc w:val="center"/>
        <w:rPr>
          <w:color w:val="auto"/>
          <w:highlight w:val="none"/>
        </w:rPr>
      </w:pPr>
      <w:r>
        <w:rPr>
          <w:color w:val="auto"/>
          <w:highlight w:val="none"/>
        </w:rPr>
        <w:t> </w:t>
      </w:r>
    </w:p>
    <w:p w14:paraId="5D8A6DEA">
      <w:pPr>
        <w:pStyle w:val="14"/>
        <w:spacing w:beforeAutospacing="0" w:afterAutospacing="0"/>
        <w:jc w:val="center"/>
        <w:rPr>
          <w:color w:val="auto"/>
          <w:highlight w:val="none"/>
        </w:rPr>
      </w:pPr>
      <w:r>
        <w:rPr>
          <w:color w:val="auto"/>
          <w:highlight w:val="none"/>
        </w:rPr>
        <w:t> </w:t>
      </w:r>
    </w:p>
    <w:p w14:paraId="4F7E03C8">
      <w:pPr>
        <w:pStyle w:val="14"/>
        <w:spacing w:beforeAutospacing="0" w:afterAutospacing="0"/>
        <w:jc w:val="center"/>
        <w:rPr>
          <w:color w:val="auto"/>
          <w:highlight w:val="none"/>
        </w:rPr>
      </w:pPr>
      <w:r>
        <w:rPr>
          <w:color w:val="auto"/>
          <w:highlight w:val="none"/>
        </w:rPr>
        <w:t> </w:t>
      </w:r>
    </w:p>
    <w:p w14:paraId="068A4565">
      <w:pPr>
        <w:pStyle w:val="14"/>
        <w:spacing w:beforeAutospacing="0" w:afterAutospacing="0"/>
        <w:jc w:val="both"/>
        <w:rPr>
          <w:color w:val="auto"/>
          <w:highlight w:val="none"/>
        </w:rPr>
      </w:pPr>
      <w:r>
        <w:rPr>
          <w:color w:val="auto"/>
          <w:highlight w:val="none"/>
        </w:rPr>
        <w:t> </w:t>
      </w:r>
    </w:p>
    <w:p w14:paraId="6EC5A847">
      <w:pPr>
        <w:pStyle w:val="14"/>
        <w:spacing w:beforeAutospacing="0" w:afterAutospacing="0"/>
        <w:jc w:val="both"/>
        <w:rPr>
          <w:color w:val="auto"/>
          <w:highlight w:val="none"/>
        </w:rPr>
      </w:pPr>
      <w:r>
        <w:rPr>
          <w:color w:val="auto"/>
          <w:highlight w:val="none"/>
        </w:rPr>
        <w:t> </w:t>
      </w:r>
    </w:p>
    <w:p w14:paraId="78FCBE0B">
      <w:pPr>
        <w:pStyle w:val="14"/>
        <w:spacing w:beforeAutospacing="0" w:afterAutospacing="0"/>
        <w:jc w:val="both"/>
        <w:rPr>
          <w:color w:val="auto"/>
          <w:highlight w:val="none"/>
        </w:rPr>
      </w:pPr>
      <w:r>
        <w:rPr>
          <w:color w:val="auto"/>
          <w:highlight w:val="none"/>
        </w:rPr>
        <w:t> </w:t>
      </w:r>
    </w:p>
    <w:p w14:paraId="174ABED4">
      <w:pPr>
        <w:pStyle w:val="14"/>
        <w:spacing w:beforeAutospacing="0" w:afterAutospacing="0"/>
        <w:jc w:val="both"/>
        <w:rPr>
          <w:color w:val="auto"/>
          <w:highlight w:val="none"/>
        </w:rPr>
      </w:pPr>
      <w:r>
        <w:rPr>
          <w:color w:val="auto"/>
          <w:highlight w:val="none"/>
        </w:rPr>
        <w:t> </w:t>
      </w:r>
    </w:p>
    <w:p w14:paraId="79285A37">
      <w:pPr>
        <w:pStyle w:val="14"/>
        <w:spacing w:beforeAutospacing="0" w:afterAutospacing="0"/>
        <w:jc w:val="both"/>
        <w:rPr>
          <w:color w:val="auto"/>
          <w:highlight w:val="none"/>
        </w:rPr>
      </w:pPr>
    </w:p>
    <w:p w14:paraId="1F8896A9">
      <w:pPr>
        <w:pStyle w:val="14"/>
        <w:spacing w:beforeAutospacing="0" w:afterAutospacing="0"/>
        <w:jc w:val="both"/>
        <w:rPr>
          <w:color w:val="auto"/>
          <w:highlight w:val="none"/>
        </w:rPr>
      </w:pPr>
    </w:p>
    <w:p w14:paraId="33FE263D">
      <w:pPr>
        <w:pStyle w:val="14"/>
        <w:spacing w:beforeAutospacing="0" w:afterAutospacing="0"/>
        <w:jc w:val="both"/>
        <w:rPr>
          <w:color w:val="auto"/>
          <w:highlight w:val="none"/>
        </w:rPr>
      </w:pPr>
    </w:p>
    <w:p w14:paraId="6377BA79">
      <w:pPr>
        <w:pStyle w:val="14"/>
        <w:spacing w:beforeAutospacing="0" w:afterAutospacing="0"/>
        <w:jc w:val="both"/>
        <w:rPr>
          <w:color w:val="auto"/>
          <w:highlight w:val="none"/>
        </w:rPr>
      </w:pPr>
    </w:p>
    <w:p w14:paraId="7251072B">
      <w:pPr>
        <w:pStyle w:val="14"/>
        <w:spacing w:beforeAutospacing="0" w:afterAutospacing="0"/>
        <w:jc w:val="both"/>
        <w:rPr>
          <w:color w:val="auto"/>
          <w:highlight w:val="none"/>
        </w:rPr>
      </w:pPr>
    </w:p>
    <w:p w14:paraId="1B25334D">
      <w:pPr>
        <w:pStyle w:val="14"/>
        <w:spacing w:beforeAutospacing="0" w:afterAutospacing="0"/>
        <w:jc w:val="both"/>
        <w:rPr>
          <w:color w:val="auto"/>
          <w:highlight w:val="none"/>
        </w:rPr>
      </w:pPr>
    </w:p>
    <w:p w14:paraId="5D154BA8">
      <w:pPr>
        <w:pStyle w:val="14"/>
        <w:spacing w:beforeAutospacing="0" w:afterAutospacing="0"/>
        <w:jc w:val="both"/>
        <w:rPr>
          <w:color w:val="auto"/>
          <w:highlight w:val="none"/>
        </w:rPr>
      </w:pPr>
    </w:p>
    <w:p w14:paraId="50B76237">
      <w:pPr>
        <w:pStyle w:val="14"/>
        <w:spacing w:beforeAutospacing="0" w:afterAutospacing="0"/>
        <w:jc w:val="both"/>
        <w:rPr>
          <w:color w:val="auto"/>
          <w:highlight w:val="none"/>
        </w:rPr>
      </w:pPr>
    </w:p>
    <w:p w14:paraId="3C29FEC0">
      <w:pPr>
        <w:pStyle w:val="14"/>
        <w:spacing w:beforeAutospacing="0" w:afterAutospacing="0"/>
        <w:jc w:val="both"/>
        <w:rPr>
          <w:color w:val="auto"/>
          <w:highlight w:val="none"/>
        </w:rPr>
      </w:pPr>
    </w:p>
    <w:p w14:paraId="341FB04E">
      <w:pPr>
        <w:pStyle w:val="14"/>
        <w:spacing w:beforeAutospacing="0" w:afterAutospacing="0"/>
        <w:jc w:val="both"/>
        <w:rPr>
          <w:color w:val="auto"/>
          <w:highlight w:val="none"/>
        </w:rPr>
      </w:pPr>
    </w:p>
    <w:p w14:paraId="388B35FD">
      <w:pPr>
        <w:pStyle w:val="14"/>
        <w:spacing w:beforeAutospacing="0" w:afterAutospacing="0"/>
        <w:jc w:val="both"/>
        <w:rPr>
          <w:color w:val="auto"/>
          <w:highlight w:val="none"/>
        </w:rPr>
      </w:pPr>
    </w:p>
    <w:p w14:paraId="07E2D191">
      <w:pPr>
        <w:pStyle w:val="14"/>
        <w:spacing w:beforeAutospacing="0" w:afterAutospacing="0"/>
        <w:jc w:val="both"/>
        <w:rPr>
          <w:color w:val="auto"/>
          <w:highlight w:val="none"/>
        </w:rPr>
      </w:pPr>
    </w:p>
    <w:p w14:paraId="40F74D23">
      <w:pPr>
        <w:pStyle w:val="14"/>
        <w:spacing w:beforeAutospacing="0" w:afterAutospacing="0"/>
        <w:jc w:val="both"/>
        <w:rPr>
          <w:color w:val="auto"/>
          <w:highlight w:val="none"/>
        </w:rPr>
      </w:pPr>
    </w:p>
    <w:p w14:paraId="22A00EBC">
      <w:pPr>
        <w:pStyle w:val="14"/>
        <w:spacing w:beforeAutospacing="0" w:afterAutospacing="0"/>
        <w:jc w:val="both"/>
        <w:rPr>
          <w:color w:val="auto"/>
          <w:highlight w:val="none"/>
        </w:rPr>
      </w:pPr>
      <w:r>
        <w:rPr>
          <w:color w:val="auto"/>
          <w:highlight w:val="none"/>
        </w:rPr>
        <w:t> </w:t>
      </w:r>
    </w:p>
    <w:p w14:paraId="450607F9">
      <w:pPr>
        <w:pStyle w:val="14"/>
        <w:spacing w:beforeAutospacing="0" w:afterAutospacing="0"/>
        <w:jc w:val="both"/>
        <w:rPr>
          <w:color w:val="auto"/>
          <w:highlight w:val="none"/>
        </w:rPr>
      </w:pPr>
      <w:r>
        <w:rPr>
          <w:color w:val="auto"/>
          <w:highlight w:val="none"/>
        </w:rPr>
        <w:t> </w:t>
      </w:r>
    </w:p>
    <w:p w14:paraId="7EDA3CA6">
      <w:pPr>
        <w:pStyle w:val="14"/>
        <w:spacing w:beforeAutospacing="0" w:afterAutospacing="0"/>
        <w:jc w:val="both"/>
        <w:rPr>
          <w:color w:val="auto"/>
          <w:highlight w:val="none"/>
        </w:rPr>
      </w:pPr>
      <w:r>
        <w:rPr>
          <w:color w:val="auto"/>
          <w:highlight w:val="none"/>
        </w:rPr>
        <w:t> </w:t>
      </w:r>
    </w:p>
    <w:p w14:paraId="2937E1C6">
      <w:pPr>
        <w:pStyle w:val="14"/>
        <w:spacing w:beforeAutospacing="0" w:afterAutospacing="0"/>
        <w:jc w:val="center"/>
        <w:rPr>
          <w:color w:val="auto"/>
          <w:highlight w:val="none"/>
        </w:rPr>
      </w:pPr>
      <w:bookmarkStart w:id="180" w:name="_Hlt26955054"/>
      <w:r>
        <w:rPr>
          <w:rFonts w:hint="eastAsia" w:ascii="黑体" w:hAnsi="宋体" w:eastAsia="黑体" w:cs="黑体"/>
          <w:b/>
          <w:color w:val="auto"/>
          <w:sz w:val="32"/>
          <w:szCs w:val="32"/>
          <w:highlight w:val="none"/>
        </w:rPr>
        <w:t>十</w:t>
      </w:r>
      <w:r>
        <w:rPr>
          <w:rFonts w:hint="eastAsia" w:ascii="黑体" w:hAnsi="宋体" w:eastAsia="黑体" w:cs="黑体"/>
          <w:b/>
          <w:color w:val="auto"/>
          <w:sz w:val="32"/>
          <w:szCs w:val="32"/>
          <w:highlight w:val="none"/>
          <w:lang w:val="en-US" w:eastAsia="zh-CN"/>
        </w:rPr>
        <w:t>一</w:t>
      </w:r>
      <w:r>
        <w:rPr>
          <w:rFonts w:hint="eastAsia" w:ascii="黑体" w:hAnsi="宋体" w:eastAsia="黑体" w:cs="黑体"/>
          <w:b/>
          <w:color w:val="auto"/>
          <w:sz w:val="32"/>
          <w:szCs w:val="32"/>
          <w:highlight w:val="none"/>
        </w:rPr>
        <w:t>、商务要求响应及偏离表（分包号：**）</w:t>
      </w:r>
    </w:p>
    <w:tbl>
      <w:tblPr>
        <w:tblStyle w:val="15"/>
        <w:tblW w:w="8520" w:type="dxa"/>
        <w:tblCellSpacing w:w="0" w:type="dxa"/>
        <w:tblInd w:w="10" w:type="dxa"/>
        <w:tblLayout w:type="fixed"/>
        <w:tblCellMar>
          <w:top w:w="0" w:type="dxa"/>
          <w:left w:w="108" w:type="dxa"/>
          <w:bottom w:w="0" w:type="dxa"/>
          <w:right w:w="108" w:type="dxa"/>
        </w:tblCellMar>
      </w:tblPr>
      <w:tblGrid>
        <w:gridCol w:w="661"/>
        <w:gridCol w:w="2469"/>
        <w:gridCol w:w="2645"/>
        <w:gridCol w:w="1244"/>
        <w:gridCol w:w="1501"/>
      </w:tblGrid>
      <w:tr w14:paraId="41983AF4">
        <w:tblPrEx>
          <w:tblCellMar>
            <w:top w:w="0" w:type="dxa"/>
            <w:left w:w="108" w:type="dxa"/>
            <w:bottom w:w="0" w:type="dxa"/>
            <w:right w:w="108" w:type="dxa"/>
          </w:tblCellMar>
        </w:tblPrEx>
        <w:trPr>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9174">
            <w:pPr>
              <w:pStyle w:val="14"/>
              <w:spacing w:beforeAutospacing="0" w:afterAutospacing="0"/>
              <w:jc w:val="center"/>
              <w:rPr>
                <w:color w:val="auto"/>
                <w:highlight w:val="none"/>
              </w:rPr>
            </w:pPr>
            <w:bookmarkStart w:id="181" w:name="_Hlt26955064"/>
            <w:bookmarkStart w:id="182" w:name="_Hlt26671343"/>
            <w:bookmarkStart w:id="183" w:name="_Hlt26580838"/>
            <w:bookmarkStart w:id="184" w:name="_Hlt26671372"/>
            <w:bookmarkStart w:id="185" w:name="_Hlt26609391"/>
            <w:bookmarkStart w:id="186" w:name="_Hlt24879081"/>
            <w:bookmarkStart w:id="187" w:name="_Hlt26955056"/>
            <w:bookmarkStart w:id="188" w:name="_Hlt26782999"/>
            <w:r>
              <w:rPr>
                <w:rFonts w:hint="eastAsia" w:ascii="宋体" w:hAnsi="宋体" w:eastAsia="宋体" w:cs="宋体"/>
                <w:color w:val="auto"/>
                <w:highlight w:val="none"/>
              </w:rPr>
              <w:t>序号</w:t>
            </w:r>
          </w:p>
          <w:bookmarkEnd w:id="181"/>
          <w:bookmarkEnd w:id="182"/>
          <w:bookmarkEnd w:id="183"/>
          <w:bookmarkEnd w:id="184"/>
          <w:bookmarkEnd w:id="185"/>
          <w:bookmarkEnd w:id="186"/>
          <w:bookmarkEnd w:id="187"/>
          <w:bookmarkEnd w:id="188"/>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234">
            <w:pPr>
              <w:pStyle w:val="14"/>
              <w:spacing w:beforeAutospacing="0" w:afterAutospacing="0"/>
              <w:jc w:val="center"/>
              <w:rPr>
                <w:color w:val="auto"/>
                <w:highlight w:val="none"/>
              </w:rPr>
            </w:pPr>
            <w:r>
              <w:rPr>
                <w:rFonts w:hint="eastAsia" w:ascii="宋体" w:hAnsi="宋体" w:eastAsia="宋体" w:cs="宋体"/>
                <w:color w:val="auto"/>
                <w:highlight w:val="none"/>
              </w:rPr>
              <w:t>招标文件要求</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E2C3">
            <w:pPr>
              <w:pStyle w:val="14"/>
              <w:spacing w:beforeAutospacing="0" w:afterAutospacing="0"/>
              <w:jc w:val="center"/>
              <w:rPr>
                <w:color w:val="auto"/>
                <w:highlight w:val="none"/>
              </w:rPr>
            </w:pPr>
            <w:r>
              <w:rPr>
                <w:rFonts w:hint="eastAsia" w:ascii="宋体" w:hAnsi="宋体" w:eastAsia="宋体" w:cs="宋体"/>
                <w:color w:val="auto"/>
                <w:highlight w:val="none"/>
              </w:rPr>
              <w:t>投标响应情况</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B165">
            <w:pPr>
              <w:pStyle w:val="14"/>
              <w:spacing w:beforeAutospacing="0" w:afterAutospacing="0"/>
              <w:jc w:val="center"/>
              <w:rPr>
                <w:color w:val="auto"/>
                <w:highlight w:val="none"/>
              </w:rPr>
            </w:pPr>
            <w:r>
              <w:rPr>
                <w:rFonts w:hint="eastAsia" w:ascii="宋体" w:hAnsi="宋体" w:eastAsia="宋体" w:cs="宋体"/>
                <w:color w:val="auto"/>
                <w:highlight w:val="none"/>
              </w:rPr>
              <w:t>超出、符合或偏离</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564C">
            <w:pPr>
              <w:pStyle w:val="14"/>
              <w:spacing w:beforeAutospacing="0" w:afterAutospacing="0"/>
              <w:jc w:val="center"/>
              <w:rPr>
                <w:color w:val="auto"/>
                <w:highlight w:val="none"/>
              </w:rPr>
            </w:pPr>
            <w:r>
              <w:rPr>
                <w:rFonts w:hint="eastAsia" w:ascii="宋体" w:hAnsi="宋体" w:eastAsia="宋体" w:cs="宋体"/>
                <w:color w:val="auto"/>
                <w:highlight w:val="none"/>
              </w:rPr>
              <w:t>证明</w:t>
            </w:r>
          </w:p>
          <w:p w14:paraId="07127613">
            <w:pPr>
              <w:pStyle w:val="14"/>
              <w:spacing w:beforeAutospacing="0" w:afterAutospacing="0"/>
              <w:jc w:val="center"/>
              <w:rPr>
                <w:color w:val="auto"/>
                <w:highlight w:val="none"/>
              </w:rPr>
            </w:pPr>
            <w:r>
              <w:rPr>
                <w:rFonts w:hint="eastAsia" w:ascii="宋体" w:hAnsi="宋体" w:eastAsia="宋体" w:cs="宋体"/>
                <w:color w:val="auto"/>
                <w:highlight w:val="none"/>
              </w:rPr>
              <w:t>材料</w:t>
            </w:r>
          </w:p>
        </w:tc>
      </w:tr>
      <w:tr w14:paraId="62547FD9">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7343">
            <w:pPr>
              <w:pStyle w:val="14"/>
              <w:spacing w:beforeAutospacing="0" w:afterAutospacing="0"/>
              <w:jc w:val="center"/>
              <w:rPr>
                <w:color w:val="auto"/>
                <w:highlight w:val="none"/>
              </w:rPr>
            </w:pPr>
            <w:r>
              <w:rPr>
                <w:color w:val="auto"/>
                <w:highlight w:val="none"/>
              </w:rP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0662">
            <w:pPr>
              <w:pStyle w:val="14"/>
              <w:spacing w:beforeAutospacing="0" w:afterAutospacing="0"/>
              <w:jc w:val="center"/>
              <w:rPr>
                <w:color w:val="auto"/>
                <w:highlight w:val="none"/>
              </w:rPr>
            </w:pPr>
            <w:r>
              <w:rPr>
                <w:color w:val="auto"/>
                <w:highlight w:val="none"/>
              </w:rP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BD93">
            <w:pPr>
              <w:pStyle w:val="14"/>
              <w:spacing w:beforeAutospacing="0" w:afterAutospacing="0"/>
              <w:jc w:val="center"/>
              <w:rPr>
                <w:color w:val="auto"/>
                <w:highlight w:val="none"/>
              </w:rPr>
            </w:pPr>
            <w:r>
              <w:rPr>
                <w:color w:val="auto"/>
                <w:highlight w:val="none"/>
              </w:rP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E4BC">
            <w:pPr>
              <w:pStyle w:val="14"/>
              <w:spacing w:beforeAutospacing="0" w:afterAutospacing="0"/>
              <w:jc w:val="center"/>
              <w:rPr>
                <w:color w:val="auto"/>
                <w:highlight w:val="none"/>
              </w:rPr>
            </w:pPr>
            <w:r>
              <w:rPr>
                <w:color w:val="auto"/>
                <w:highlight w:val="none"/>
              </w:rP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0B98">
            <w:pPr>
              <w:pStyle w:val="14"/>
              <w:spacing w:beforeAutospacing="0" w:afterAutospacing="0"/>
              <w:jc w:val="center"/>
              <w:rPr>
                <w:color w:val="auto"/>
                <w:highlight w:val="none"/>
              </w:rPr>
            </w:pPr>
            <w:r>
              <w:rPr>
                <w:color w:val="auto"/>
                <w:highlight w:val="none"/>
              </w:rPr>
              <w:t> </w:t>
            </w:r>
          </w:p>
        </w:tc>
      </w:tr>
      <w:tr w14:paraId="71131C2C">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40B7">
            <w:pPr>
              <w:pStyle w:val="14"/>
              <w:spacing w:beforeAutospacing="0" w:afterAutospacing="0"/>
              <w:jc w:val="center"/>
              <w:rPr>
                <w:color w:val="auto"/>
                <w:highlight w:val="none"/>
              </w:rPr>
            </w:pPr>
            <w:r>
              <w:rPr>
                <w:color w:val="auto"/>
                <w:highlight w:val="none"/>
              </w:rP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3336">
            <w:pPr>
              <w:pStyle w:val="14"/>
              <w:spacing w:beforeAutospacing="0" w:afterAutospacing="0"/>
              <w:jc w:val="center"/>
              <w:rPr>
                <w:color w:val="auto"/>
                <w:highlight w:val="none"/>
              </w:rPr>
            </w:pPr>
            <w:r>
              <w:rPr>
                <w:color w:val="auto"/>
                <w:highlight w:val="none"/>
              </w:rP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CF03">
            <w:pPr>
              <w:pStyle w:val="14"/>
              <w:spacing w:beforeAutospacing="0" w:afterAutospacing="0"/>
              <w:jc w:val="center"/>
              <w:rPr>
                <w:color w:val="auto"/>
                <w:highlight w:val="none"/>
              </w:rPr>
            </w:pPr>
            <w:r>
              <w:rPr>
                <w:color w:val="auto"/>
                <w:highlight w:val="none"/>
              </w:rP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E368">
            <w:pPr>
              <w:pStyle w:val="14"/>
              <w:spacing w:beforeAutospacing="0" w:afterAutospacing="0"/>
              <w:jc w:val="center"/>
              <w:rPr>
                <w:color w:val="auto"/>
                <w:highlight w:val="none"/>
              </w:rPr>
            </w:pPr>
            <w:r>
              <w:rPr>
                <w:color w:val="auto"/>
                <w:highlight w:val="none"/>
              </w:rP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7859">
            <w:pPr>
              <w:pStyle w:val="14"/>
              <w:spacing w:beforeAutospacing="0" w:afterAutospacing="0"/>
              <w:jc w:val="center"/>
              <w:rPr>
                <w:color w:val="auto"/>
                <w:highlight w:val="none"/>
              </w:rPr>
            </w:pPr>
            <w:r>
              <w:rPr>
                <w:color w:val="auto"/>
                <w:highlight w:val="none"/>
              </w:rPr>
              <w:t> </w:t>
            </w:r>
          </w:p>
        </w:tc>
      </w:tr>
      <w:tr w14:paraId="38207842">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9B7D">
            <w:pPr>
              <w:pStyle w:val="14"/>
              <w:spacing w:beforeAutospacing="0" w:afterAutospacing="0"/>
              <w:jc w:val="center"/>
              <w:rPr>
                <w:color w:val="auto"/>
                <w:highlight w:val="none"/>
              </w:rPr>
            </w:pPr>
            <w:r>
              <w:rPr>
                <w:color w:val="auto"/>
                <w:highlight w:val="none"/>
              </w:rP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99A5">
            <w:pPr>
              <w:pStyle w:val="14"/>
              <w:spacing w:beforeAutospacing="0" w:afterAutospacing="0"/>
              <w:jc w:val="center"/>
              <w:rPr>
                <w:color w:val="auto"/>
                <w:highlight w:val="none"/>
              </w:rPr>
            </w:pPr>
            <w:r>
              <w:rPr>
                <w:color w:val="auto"/>
                <w:highlight w:val="none"/>
              </w:rP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C122">
            <w:pPr>
              <w:pStyle w:val="14"/>
              <w:spacing w:beforeAutospacing="0" w:afterAutospacing="0"/>
              <w:jc w:val="center"/>
              <w:rPr>
                <w:color w:val="auto"/>
                <w:highlight w:val="none"/>
              </w:rPr>
            </w:pPr>
            <w:r>
              <w:rPr>
                <w:color w:val="auto"/>
                <w:highlight w:val="none"/>
              </w:rP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9354">
            <w:pPr>
              <w:pStyle w:val="14"/>
              <w:spacing w:beforeAutospacing="0" w:afterAutospacing="0"/>
              <w:jc w:val="center"/>
              <w:rPr>
                <w:color w:val="auto"/>
                <w:highlight w:val="none"/>
              </w:rPr>
            </w:pPr>
            <w:r>
              <w:rPr>
                <w:color w:val="auto"/>
                <w:highlight w:val="none"/>
              </w:rP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AF76">
            <w:pPr>
              <w:pStyle w:val="14"/>
              <w:spacing w:beforeAutospacing="0" w:afterAutospacing="0"/>
              <w:jc w:val="center"/>
              <w:rPr>
                <w:color w:val="auto"/>
                <w:highlight w:val="none"/>
              </w:rPr>
            </w:pPr>
            <w:r>
              <w:rPr>
                <w:color w:val="auto"/>
                <w:highlight w:val="none"/>
              </w:rPr>
              <w:t> </w:t>
            </w:r>
          </w:p>
        </w:tc>
      </w:tr>
      <w:tr w14:paraId="37E06C0A">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7472">
            <w:pPr>
              <w:pStyle w:val="14"/>
              <w:spacing w:beforeAutospacing="0" w:afterAutospacing="0"/>
              <w:jc w:val="center"/>
              <w:rPr>
                <w:color w:val="auto"/>
                <w:highlight w:val="none"/>
              </w:rPr>
            </w:pPr>
            <w:r>
              <w:rPr>
                <w:color w:val="auto"/>
                <w:highlight w:val="none"/>
              </w:rP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8784">
            <w:pPr>
              <w:pStyle w:val="14"/>
              <w:spacing w:beforeAutospacing="0" w:afterAutospacing="0"/>
              <w:jc w:val="center"/>
              <w:rPr>
                <w:color w:val="auto"/>
                <w:highlight w:val="none"/>
              </w:rPr>
            </w:pPr>
            <w:r>
              <w:rPr>
                <w:color w:val="auto"/>
                <w:highlight w:val="none"/>
              </w:rP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2DCF">
            <w:pPr>
              <w:pStyle w:val="14"/>
              <w:spacing w:beforeAutospacing="0" w:afterAutospacing="0"/>
              <w:jc w:val="center"/>
              <w:rPr>
                <w:color w:val="auto"/>
                <w:highlight w:val="none"/>
              </w:rPr>
            </w:pPr>
            <w:r>
              <w:rPr>
                <w:color w:val="auto"/>
                <w:highlight w:val="none"/>
              </w:rP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4011">
            <w:pPr>
              <w:pStyle w:val="14"/>
              <w:spacing w:beforeAutospacing="0" w:afterAutospacing="0"/>
              <w:jc w:val="center"/>
              <w:rPr>
                <w:color w:val="auto"/>
                <w:highlight w:val="none"/>
              </w:rPr>
            </w:pPr>
            <w:r>
              <w:rPr>
                <w:color w:val="auto"/>
                <w:highlight w:val="none"/>
              </w:rP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1310">
            <w:pPr>
              <w:pStyle w:val="14"/>
              <w:spacing w:beforeAutospacing="0" w:afterAutospacing="0"/>
              <w:jc w:val="center"/>
              <w:rPr>
                <w:color w:val="auto"/>
                <w:highlight w:val="none"/>
              </w:rPr>
            </w:pPr>
            <w:r>
              <w:rPr>
                <w:color w:val="auto"/>
                <w:highlight w:val="none"/>
              </w:rPr>
              <w:t> </w:t>
            </w:r>
          </w:p>
        </w:tc>
      </w:tr>
      <w:tr w14:paraId="1649B01C">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2B5E">
            <w:pPr>
              <w:pStyle w:val="14"/>
              <w:spacing w:beforeAutospacing="0" w:afterAutospacing="0"/>
              <w:jc w:val="center"/>
              <w:rPr>
                <w:color w:val="auto"/>
                <w:highlight w:val="none"/>
              </w:rPr>
            </w:pPr>
            <w:r>
              <w:rPr>
                <w:color w:val="auto"/>
                <w:highlight w:val="none"/>
              </w:rP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250D">
            <w:pPr>
              <w:pStyle w:val="14"/>
              <w:spacing w:beforeAutospacing="0" w:afterAutospacing="0"/>
              <w:jc w:val="center"/>
              <w:rPr>
                <w:color w:val="auto"/>
                <w:highlight w:val="none"/>
              </w:rPr>
            </w:pPr>
            <w:r>
              <w:rPr>
                <w:color w:val="auto"/>
                <w:highlight w:val="none"/>
              </w:rP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0118">
            <w:pPr>
              <w:pStyle w:val="14"/>
              <w:spacing w:beforeAutospacing="0" w:afterAutospacing="0"/>
              <w:jc w:val="center"/>
              <w:rPr>
                <w:color w:val="auto"/>
                <w:highlight w:val="none"/>
              </w:rPr>
            </w:pPr>
            <w:r>
              <w:rPr>
                <w:color w:val="auto"/>
                <w:highlight w:val="none"/>
              </w:rP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0CD6">
            <w:pPr>
              <w:pStyle w:val="14"/>
              <w:spacing w:beforeAutospacing="0" w:afterAutospacing="0"/>
              <w:jc w:val="center"/>
              <w:rPr>
                <w:color w:val="auto"/>
                <w:highlight w:val="none"/>
              </w:rPr>
            </w:pPr>
            <w:r>
              <w:rPr>
                <w:color w:val="auto"/>
                <w:highlight w:val="none"/>
              </w:rP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CDC2">
            <w:pPr>
              <w:pStyle w:val="14"/>
              <w:spacing w:beforeAutospacing="0" w:afterAutospacing="0"/>
              <w:jc w:val="center"/>
              <w:rPr>
                <w:color w:val="auto"/>
                <w:highlight w:val="none"/>
              </w:rPr>
            </w:pPr>
            <w:r>
              <w:rPr>
                <w:color w:val="auto"/>
                <w:highlight w:val="none"/>
              </w:rPr>
              <w:t> </w:t>
            </w:r>
          </w:p>
        </w:tc>
      </w:tr>
      <w:tr w14:paraId="4C46CBE9">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2130">
            <w:pPr>
              <w:pStyle w:val="14"/>
              <w:spacing w:beforeAutospacing="0" w:afterAutospacing="0"/>
              <w:jc w:val="center"/>
              <w:rPr>
                <w:color w:val="auto"/>
                <w:highlight w:val="none"/>
              </w:rPr>
            </w:pPr>
            <w:r>
              <w:rPr>
                <w:color w:val="auto"/>
                <w:highlight w:val="none"/>
              </w:rP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2399">
            <w:pPr>
              <w:pStyle w:val="14"/>
              <w:spacing w:beforeAutospacing="0" w:afterAutospacing="0"/>
              <w:jc w:val="center"/>
              <w:rPr>
                <w:color w:val="auto"/>
                <w:highlight w:val="none"/>
              </w:rPr>
            </w:pPr>
            <w:r>
              <w:rPr>
                <w:color w:val="auto"/>
                <w:highlight w:val="none"/>
              </w:rP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E612">
            <w:pPr>
              <w:pStyle w:val="14"/>
              <w:spacing w:beforeAutospacing="0" w:afterAutospacing="0"/>
              <w:jc w:val="center"/>
              <w:rPr>
                <w:color w:val="auto"/>
                <w:highlight w:val="none"/>
              </w:rPr>
            </w:pPr>
            <w:r>
              <w:rPr>
                <w:color w:val="auto"/>
                <w:highlight w:val="none"/>
              </w:rP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BB81">
            <w:pPr>
              <w:pStyle w:val="14"/>
              <w:spacing w:beforeAutospacing="0" w:afterAutospacing="0"/>
              <w:jc w:val="center"/>
              <w:rPr>
                <w:color w:val="auto"/>
                <w:highlight w:val="none"/>
              </w:rPr>
            </w:pPr>
            <w:r>
              <w:rPr>
                <w:color w:val="auto"/>
                <w:highlight w:val="none"/>
              </w:rP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2123">
            <w:pPr>
              <w:pStyle w:val="14"/>
              <w:spacing w:beforeAutospacing="0" w:afterAutospacing="0"/>
              <w:jc w:val="center"/>
              <w:rPr>
                <w:color w:val="auto"/>
                <w:highlight w:val="none"/>
              </w:rPr>
            </w:pPr>
            <w:r>
              <w:rPr>
                <w:color w:val="auto"/>
                <w:highlight w:val="none"/>
              </w:rPr>
              <w:t> </w:t>
            </w:r>
          </w:p>
        </w:tc>
      </w:tr>
      <w:tr w14:paraId="1AD28F79">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8B3F">
            <w:pPr>
              <w:pStyle w:val="14"/>
              <w:spacing w:beforeAutospacing="0" w:afterAutospacing="0"/>
              <w:jc w:val="center"/>
              <w:rPr>
                <w:color w:val="auto"/>
                <w:highlight w:val="none"/>
              </w:rPr>
            </w:pPr>
            <w:r>
              <w:rPr>
                <w:color w:val="auto"/>
                <w:highlight w:val="none"/>
              </w:rP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DC77">
            <w:pPr>
              <w:pStyle w:val="14"/>
              <w:spacing w:beforeAutospacing="0" w:afterAutospacing="0"/>
              <w:jc w:val="center"/>
              <w:rPr>
                <w:color w:val="auto"/>
                <w:highlight w:val="none"/>
              </w:rPr>
            </w:pPr>
            <w:r>
              <w:rPr>
                <w:color w:val="auto"/>
                <w:highlight w:val="none"/>
              </w:rP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5B54">
            <w:pPr>
              <w:pStyle w:val="14"/>
              <w:spacing w:beforeAutospacing="0" w:afterAutospacing="0"/>
              <w:jc w:val="center"/>
              <w:rPr>
                <w:color w:val="auto"/>
                <w:highlight w:val="none"/>
              </w:rPr>
            </w:pPr>
            <w:r>
              <w:rPr>
                <w:color w:val="auto"/>
                <w:highlight w:val="none"/>
              </w:rP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CE64">
            <w:pPr>
              <w:pStyle w:val="14"/>
              <w:spacing w:beforeAutospacing="0" w:afterAutospacing="0"/>
              <w:jc w:val="center"/>
              <w:rPr>
                <w:color w:val="auto"/>
                <w:highlight w:val="none"/>
              </w:rPr>
            </w:pPr>
            <w:r>
              <w:rPr>
                <w:color w:val="auto"/>
                <w:highlight w:val="none"/>
              </w:rP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395F">
            <w:pPr>
              <w:pStyle w:val="14"/>
              <w:spacing w:beforeAutospacing="0" w:afterAutospacing="0"/>
              <w:jc w:val="center"/>
              <w:rPr>
                <w:color w:val="auto"/>
                <w:highlight w:val="none"/>
              </w:rPr>
            </w:pPr>
            <w:r>
              <w:rPr>
                <w:color w:val="auto"/>
                <w:highlight w:val="none"/>
              </w:rPr>
              <w:t> </w:t>
            </w:r>
          </w:p>
        </w:tc>
      </w:tr>
      <w:tr w14:paraId="3A13CA4F">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5AB7">
            <w:pPr>
              <w:pStyle w:val="14"/>
              <w:spacing w:beforeAutospacing="0" w:afterAutospacing="0"/>
              <w:jc w:val="center"/>
              <w:rPr>
                <w:color w:val="auto"/>
                <w:highlight w:val="none"/>
              </w:rPr>
            </w:pPr>
            <w:r>
              <w:rPr>
                <w:color w:val="auto"/>
                <w:highlight w:val="none"/>
              </w:rP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CEF1">
            <w:pPr>
              <w:pStyle w:val="14"/>
              <w:spacing w:beforeAutospacing="0" w:afterAutospacing="0"/>
              <w:jc w:val="center"/>
              <w:rPr>
                <w:color w:val="auto"/>
                <w:highlight w:val="none"/>
              </w:rPr>
            </w:pPr>
            <w:r>
              <w:rPr>
                <w:color w:val="auto"/>
                <w:highlight w:val="none"/>
              </w:rP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5450">
            <w:pPr>
              <w:pStyle w:val="14"/>
              <w:spacing w:beforeAutospacing="0" w:afterAutospacing="0"/>
              <w:jc w:val="center"/>
              <w:rPr>
                <w:color w:val="auto"/>
                <w:highlight w:val="none"/>
              </w:rPr>
            </w:pPr>
            <w:r>
              <w:rPr>
                <w:color w:val="auto"/>
                <w:highlight w:val="none"/>
              </w:rP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59AF">
            <w:pPr>
              <w:pStyle w:val="14"/>
              <w:spacing w:beforeAutospacing="0" w:afterAutospacing="0"/>
              <w:jc w:val="center"/>
              <w:rPr>
                <w:color w:val="auto"/>
                <w:highlight w:val="none"/>
              </w:rPr>
            </w:pPr>
            <w:r>
              <w:rPr>
                <w:color w:val="auto"/>
                <w:highlight w:val="none"/>
              </w:rP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B8C6">
            <w:pPr>
              <w:pStyle w:val="14"/>
              <w:spacing w:beforeAutospacing="0" w:afterAutospacing="0"/>
              <w:jc w:val="center"/>
              <w:rPr>
                <w:color w:val="auto"/>
                <w:highlight w:val="none"/>
              </w:rPr>
            </w:pPr>
            <w:r>
              <w:rPr>
                <w:color w:val="auto"/>
                <w:highlight w:val="none"/>
              </w:rPr>
              <w:t> </w:t>
            </w:r>
          </w:p>
        </w:tc>
      </w:tr>
    </w:tbl>
    <w:p w14:paraId="0515F675">
      <w:pPr>
        <w:pStyle w:val="14"/>
        <w:spacing w:beforeAutospacing="0" w:afterAutospacing="0"/>
        <w:jc w:val="both"/>
        <w:rPr>
          <w:color w:val="auto"/>
          <w:highlight w:val="none"/>
        </w:rPr>
      </w:pPr>
      <w:r>
        <w:rPr>
          <w:rFonts w:hint="eastAsia" w:ascii="宋体" w:hAnsi="宋体" w:eastAsia="宋体" w:cs="宋体"/>
          <w:color w:val="auto"/>
          <w:highlight w:val="none"/>
        </w:rPr>
        <w:t>注： 行数不够，可自行添加。</w:t>
      </w:r>
    </w:p>
    <w:p w14:paraId="4F9477BB">
      <w:pPr>
        <w:pStyle w:val="14"/>
        <w:spacing w:beforeAutospacing="0" w:afterAutospacing="0" w:line="480" w:lineRule="auto"/>
        <w:jc w:val="both"/>
        <w:rPr>
          <w:color w:val="auto"/>
          <w:highlight w:val="none"/>
        </w:rPr>
      </w:pPr>
      <w:r>
        <w:rPr>
          <w:color w:val="auto"/>
          <w:highlight w:val="none"/>
        </w:rPr>
        <w:t> </w:t>
      </w:r>
    </w:p>
    <w:p w14:paraId="771A2ABD">
      <w:pPr>
        <w:pStyle w:val="14"/>
        <w:spacing w:beforeAutospacing="0" w:afterAutospacing="0" w:line="480" w:lineRule="auto"/>
        <w:jc w:val="both"/>
        <w:rPr>
          <w:color w:val="auto"/>
          <w:highlight w:val="none"/>
        </w:rPr>
      </w:pPr>
      <w:r>
        <w:rPr>
          <w:color w:val="auto"/>
          <w:highlight w:val="none"/>
        </w:rPr>
        <w:t> </w:t>
      </w:r>
    </w:p>
    <w:p w14:paraId="6564921F">
      <w:pPr>
        <w:pStyle w:val="14"/>
        <w:spacing w:beforeAutospacing="0" w:afterAutospacing="0"/>
        <w:jc w:val="center"/>
        <w:rPr>
          <w:color w:val="auto"/>
          <w:highlight w:val="none"/>
        </w:rPr>
      </w:pPr>
      <w:bookmarkStart w:id="189" w:name="_Hlt26671374"/>
      <w:bookmarkStart w:id="190" w:name="_格式2__法定代表人授权书"/>
      <w:bookmarkStart w:id="191" w:name="_Toc462564146"/>
      <w:bookmarkStart w:id="192" w:name="_Hlt26609389"/>
      <w:bookmarkStart w:id="193" w:name="_Hlt26955066"/>
      <w:r>
        <w:rPr>
          <w:color w:val="auto"/>
          <w:highlight w:val="none"/>
        </w:rPr>
        <w:t> </w:t>
      </w:r>
    </w:p>
    <w:p w14:paraId="43E033E8">
      <w:pPr>
        <w:pStyle w:val="14"/>
        <w:spacing w:beforeAutospacing="0" w:afterAutospacing="0"/>
        <w:jc w:val="both"/>
        <w:rPr>
          <w:color w:val="auto"/>
          <w:highlight w:val="none"/>
        </w:rPr>
      </w:pPr>
      <w:r>
        <w:rPr>
          <w:color w:val="auto"/>
          <w:highlight w:val="none"/>
        </w:rPr>
        <w:t> </w:t>
      </w:r>
    </w:p>
    <w:p w14:paraId="34DD36AA">
      <w:pPr>
        <w:pStyle w:val="14"/>
        <w:spacing w:beforeAutospacing="0" w:afterAutospacing="0"/>
        <w:jc w:val="both"/>
        <w:rPr>
          <w:color w:val="auto"/>
          <w:highlight w:val="none"/>
        </w:rPr>
      </w:pPr>
      <w:r>
        <w:rPr>
          <w:color w:val="auto"/>
          <w:highlight w:val="none"/>
        </w:rPr>
        <w:t> </w:t>
      </w:r>
    </w:p>
    <w:p w14:paraId="0B59FED3">
      <w:pPr>
        <w:pStyle w:val="14"/>
        <w:spacing w:beforeAutospacing="0" w:afterAutospacing="0"/>
        <w:jc w:val="both"/>
        <w:rPr>
          <w:color w:val="auto"/>
          <w:highlight w:val="none"/>
        </w:rPr>
      </w:pPr>
    </w:p>
    <w:p w14:paraId="674A53C6">
      <w:pPr>
        <w:pStyle w:val="14"/>
        <w:spacing w:beforeAutospacing="0" w:afterAutospacing="0"/>
        <w:jc w:val="both"/>
        <w:rPr>
          <w:color w:val="auto"/>
          <w:highlight w:val="none"/>
        </w:rPr>
      </w:pPr>
    </w:p>
    <w:p w14:paraId="7646B14A">
      <w:pPr>
        <w:pStyle w:val="14"/>
        <w:spacing w:beforeAutospacing="0" w:afterAutospacing="0"/>
        <w:jc w:val="both"/>
        <w:rPr>
          <w:color w:val="auto"/>
          <w:highlight w:val="none"/>
        </w:rPr>
      </w:pPr>
    </w:p>
    <w:p w14:paraId="18437834">
      <w:pPr>
        <w:pStyle w:val="14"/>
        <w:spacing w:beforeAutospacing="0" w:afterAutospacing="0"/>
        <w:jc w:val="both"/>
        <w:rPr>
          <w:color w:val="auto"/>
          <w:highlight w:val="none"/>
        </w:rPr>
      </w:pPr>
    </w:p>
    <w:p w14:paraId="6AC5CF75">
      <w:pPr>
        <w:pStyle w:val="14"/>
        <w:spacing w:beforeAutospacing="0" w:afterAutospacing="0"/>
        <w:jc w:val="both"/>
        <w:rPr>
          <w:color w:val="auto"/>
          <w:highlight w:val="none"/>
        </w:rPr>
      </w:pPr>
    </w:p>
    <w:p w14:paraId="4402A329">
      <w:pPr>
        <w:pStyle w:val="14"/>
        <w:spacing w:beforeAutospacing="0" w:afterAutospacing="0"/>
        <w:jc w:val="both"/>
        <w:rPr>
          <w:color w:val="auto"/>
          <w:highlight w:val="none"/>
        </w:rPr>
      </w:pPr>
    </w:p>
    <w:p w14:paraId="433415F5">
      <w:pPr>
        <w:pStyle w:val="14"/>
        <w:spacing w:beforeAutospacing="0" w:afterAutospacing="0"/>
        <w:jc w:val="both"/>
        <w:rPr>
          <w:color w:val="auto"/>
          <w:highlight w:val="none"/>
        </w:rPr>
      </w:pPr>
    </w:p>
    <w:p w14:paraId="664A23CF">
      <w:pPr>
        <w:pStyle w:val="14"/>
        <w:spacing w:beforeAutospacing="0" w:afterAutospacing="0"/>
        <w:jc w:val="both"/>
        <w:rPr>
          <w:color w:val="auto"/>
          <w:highlight w:val="none"/>
        </w:rPr>
      </w:pPr>
    </w:p>
    <w:p w14:paraId="577CDDA2">
      <w:pPr>
        <w:pStyle w:val="14"/>
        <w:spacing w:beforeAutospacing="0" w:afterAutospacing="0"/>
        <w:jc w:val="both"/>
        <w:rPr>
          <w:color w:val="auto"/>
          <w:highlight w:val="none"/>
        </w:rPr>
      </w:pPr>
    </w:p>
    <w:p w14:paraId="2C30742F">
      <w:pPr>
        <w:pStyle w:val="14"/>
        <w:spacing w:beforeAutospacing="0" w:afterAutospacing="0"/>
        <w:jc w:val="both"/>
        <w:rPr>
          <w:color w:val="auto"/>
          <w:highlight w:val="none"/>
        </w:rPr>
      </w:pPr>
    </w:p>
    <w:p w14:paraId="3BA22CC3">
      <w:pPr>
        <w:pStyle w:val="14"/>
        <w:spacing w:beforeAutospacing="0" w:afterAutospacing="0"/>
        <w:jc w:val="both"/>
        <w:rPr>
          <w:color w:val="auto"/>
          <w:highlight w:val="none"/>
        </w:rPr>
      </w:pPr>
    </w:p>
    <w:p w14:paraId="284FF7FD">
      <w:pPr>
        <w:pStyle w:val="14"/>
        <w:spacing w:beforeAutospacing="0" w:afterAutospacing="0"/>
        <w:jc w:val="both"/>
        <w:rPr>
          <w:color w:val="auto"/>
          <w:highlight w:val="none"/>
        </w:rPr>
      </w:pPr>
    </w:p>
    <w:p w14:paraId="72F84DDB">
      <w:pPr>
        <w:pStyle w:val="14"/>
        <w:spacing w:beforeAutospacing="0" w:afterAutospacing="0"/>
        <w:jc w:val="both"/>
        <w:rPr>
          <w:color w:val="auto"/>
          <w:highlight w:val="none"/>
        </w:rPr>
      </w:pPr>
    </w:p>
    <w:p w14:paraId="11035151">
      <w:pPr>
        <w:pStyle w:val="14"/>
        <w:spacing w:beforeAutospacing="0" w:afterAutospacing="0"/>
        <w:ind w:firstLine="480"/>
        <w:jc w:val="both"/>
        <w:rPr>
          <w:color w:val="auto"/>
          <w:highlight w:val="none"/>
        </w:rPr>
      </w:pPr>
    </w:p>
    <w:p w14:paraId="7BC5200A">
      <w:pPr>
        <w:pStyle w:val="14"/>
        <w:spacing w:beforeAutospacing="0" w:afterAutospacing="0"/>
        <w:ind w:firstLine="480"/>
        <w:jc w:val="both"/>
        <w:rPr>
          <w:rFonts w:hint="eastAsia" w:ascii="宋体" w:hAnsi="宋体" w:eastAsia="宋体" w:cs="宋体"/>
          <w:color w:val="auto"/>
          <w:highlight w:val="none"/>
          <w:lang w:val="en-US" w:eastAsia="zh-CN"/>
        </w:rPr>
      </w:pPr>
      <w:r>
        <w:rPr>
          <w:rFonts w:hint="eastAsia" w:ascii="黑体" w:hAnsi="宋体" w:eastAsia="黑体" w:cs="黑体"/>
          <w:b/>
          <w:i/>
          <w:color w:val="auto"/>
          <w:sz w:val="32"/>
          <w:szCs w:val="32"/>
          <w:highlight w:val="none"/>
          <w:u w:val="single"/>
        </w:rPr>
        <w:t>十</w:t>
      </w:r>
      <w:r>
        <w:rPr>
          <w:rFonts w:hint="eastAsia" w:ascii="黑体" w:hAnsi="宋体" w:eastAsia="黑体" w:cs="黑体"/>
          <w:b/>
          <w:i/>
          <w:color w:val="auto"/>
          <w:sz w:val="32"/>
          <w:szCs w:val="32"/>
          <w:highlight w:val="none"/>
          <w:u w:val="single"/>
          <w:lang w:val="en-US" w:eastAsia="zh-CN"/>
        </w:rPr>
        <w:t>二</w:t>
      </w:r>
      <w:r>
        <w:rPr>
          <w:rFonts w:hint="eastAsia" w:ascii="黑体" w:hAnsi="宋体" w:eastAsia="黑体" w:cs="黑体"/>
          <w:b/>
          <w:i/>
          <w:color w:val="auto"/>
          <w:sz w:val="32"/>
          <w:szCs w:val="32"/>
          <w:highlight w:val="none"/>
          <w:u w:val="single"/>
        </w:rPr>
        <w:t>、开标一览表</w:t>
      </w:r>
    </w:p>
    <w:p w14:paraId="78EE76C0">
      <w:pPr>
        <w:pStyle w:val="14"/>
        <w:spacing w:beforeAutospacing="0" w:afterAutospacing="0"/>
        <w:ind w:firstLine="480"/>
        <w:jc w:val="both"/>
        <w:rPr>
          <w:color w:val="auto"/>
          <w:highlight w:val="none"/>
        </w:rPr>
      </w:pPr>
      <w:r>
        <w:rPr>
          <w:rFonts w:hint="eastAsia" w:ascii="宋体" w:hAnsi="宋体" w:eastAsia="宋体" w:cs="宋体"/>
          <w:color w:val="auto"/>
          <w:highlight w:val="none"/>
        </w:rPr>
        <w:t>投标人全称（加盖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签章）：</w:t>
      </w:r>
    </w:p>
    <w:p w14:paraId="14921CCF">
      <w:pPr>
        <w:pStyle w:val="14"/>
        <w:spacing w:beforeAutospacing="0" w:afterAutospacing="0"/>
        <w:ind w:firstLine="480"/>
        <w:jc w:val="both"/>
        <w:rPr>
          <w:color w:val="auto"/>
          <w:highlight w:val="none"/>
        </w:rPr>
      </w:pPr>
      <w:r>
        <w:rPr>
          <w:rFonts w:hint="eastAsia" w:ascii="宋体" w:hAnsi="宋体" w:eastAsia="宋体" w:cs="宋体"/>
          <w:color w:val="auto"/>
          <w:highlight w:val="none"/>
        </w:rPr>
        <w:t>项目名称：</w:t>
      </w:r>
    </w:p>
    <w:p w14:paraId="2E8C91DD">
      <w:pPr>
        <w:pStyle w:val="14"/>
        <w:spacing w:beforeAutospacing="0" w:afterAutospacing="0"/>
        <w:ind w:firstLine="48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编号：</w:t>
      </w:r>
    </w:p>
    <w:p w14:paraId="03EB1899">
      <w:pPr>
        <w:pStyle w:val="14"/>
        <w:spacing w:beforeAutospacing="0" w:afterAutospacing="0"/>
        <w:ind w:firstLine="480"/>
        <w:jc w:val="both"/>
        <w:rPr>
          <w:color w:val="auto"/>
          <w:highlight w:val="none"/>
        </w:rPr>
      </w:pPr>
      <w:r>
        <w:rPr>
          <w:rFonts w:hint="eastAsia" w:ascii="宋体" w:hAnsi="宋体" w:eastAsia="宋体" w:cs="宋体"/>
          <w:color w:val="auto"/>
          <w:highlight w:val="none"/>
        </w:rPr>
        <w:t>分包号：</w:t>
      </w:r>
    </w:p>
    <w:tbl>
      <w:tblPr>
        <w:tblStyle w:val="15"/>
        <w:tblW w:w="8220" w:type="dxa"/>
        <w:tblCellSpacing w:w="0" w:type="dxa"/>
        <w:tblInd w:w="118" w:type="dxa"/>
        <w:tblLayout w:type="fixed"/>
        <w:tblCellMar>
          <w:top w:w="0" w:type="dxa"/>
          <w:left w:w="108" w:type="dxa"/>
          <w:bottom w:w="0" w:type="dxa"/>
          <w:right w:w="108" w:type="dxa"/>
        </w:tblCellMar>
      </w:tblPr>
      <w:tblGrid>
        <w:gridCol w:w="8220"/>
      </w:tblGrid>
      <w:tr w14:paraId="327A863B">
        <w:tblPrEx>
          <w:tblCellMar>
            <w:top w:w="0" w:type="dxa"/>
            <w:left w:w="108" w:type="dxa"/>
            <w:bottom w:w="0" w:type="dxa"/>
            <w:right w:w="108" w:type="dxa"/>
          </w:tblCellMar>
        </w:tblPrEx>
        <w:trPr>
          <w:trHeight w:val="612" w:hRule="atLeast"/>
          <w:tblCellSpacing w:w="0" w:type="dxa"/>
        </w:trPr>
        <w:tc>
          <w:tcPr>
            <w:tcW w:w="8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47F9">
            <w:pPr>
              <w:rPr>
                <w:rFonts w:hint="default" w:ascii="宋体" w:hAnsi="宋体" w:eastAsia="宋体" w:cs="宋体"/>
                <w:color w:val="auto"/>
                <w:highlight w:val="none"/>
                <w:lang w:val="en-US"/>
              </w:rPr>
            </w:pPr>
            <w:r>
              <w:rPr>
                <w:rFonts w:hint="eastAsia" w:ascii="宋体" w:hAnsi="宋体" w:cs="宋体"/>
                <w:b/>
                <w:bCs w:val="0"/>
                <w:color w:val="auto"/>
                <w:sz w:val="18"/>
                <w:szCs w:val="18"/>
                <w:highlight w:val="none"/>
                <w:lang w:val="en-US" w:eastAsia="zh-CN" w:bidi="ar"/>
              </w:rPr>
              <w:t>商业险自主定价系数折扣率</w:t>
            </w:r>
          </w:p>
        </w:tc>
      </w:tr>
      <w:tr w14:paraId="0D2B211B">
        <w:tblPrEx>
          <w:tblCellMar>
            <w:top w:w="0" w:type="dxa"/>
            <w:left w:w="108" w:type="dxa"/>
            <w:bottom w:w="0" w:type="dxa"/>
            <w:right w:w="108" w:type="dxa"/>
          </w:tblCellMar>
        </w:tblPrEx>
        <w:trPr>
          <w:trHeight w:val="612" w:hRule="atLeast"/>
          <w:tblCellSpacing w:w="0" w:type="dxa"/>
        </w:trPr>
        <w:tc>
          <w:tcPr>
            <w:tcW w:w="8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F9FB">
            <w:pPr>
              <w:pStyle w:val="14"/>
              <w:spacing w:beforeAutospacing="0" w:afterAutospacing="0" w:line="0" w:lineRule="atLeas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小写：</w:t>
            </w:r>
            <w:r>
              <w:rPr>
                <w:rFonts w:hint="eastAsia" w:ascii="宋体" w:hAnsi="宋体" w:eastAsia="宋体" w:cs="宋体"/>
                <w:color w:val="auto"/>
                <w:highlight w:val="none"/>
                <w:lang w:val="en-US" w:eastAsia="zh-CN"/>
              </w:rPr>
              <w:t xml:space="preserve">              %</w:t>
            </w:r>
          </w:p>
        </w:tc>
      </w:tr>
      <w:tr w14:paraId="2671CD1C">
        <w:tblPrEx>
          <w:tblCellMar>
            <w:top w:w="0" w:type="dxa"/>
            <w:left w:w="108" w:type="dxa"/>
            <w:bottom w:w="0" w:type="dxa"/>
            <w:right w:w="108" w:type="dxa"/>
          </w:tblCellMar>
        </w:tblPrEx>
        <w:trPr>
          <w:trHeight w:val="612" w:hRule="atLeast"/>
          <w:tblCellSpacing w:w="0" w:type="dxa"/>
        </w:trPr>
        <w:tc>
          <w:tcPr>
            <w:tcW w:w="8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DE36">
            <w:pPr>
              <w:rPr>
                <w:rFonts w:hint="default" w:ascii="宋体" w:hAnsi="宋体" w:eastAsia="宋体" w:cs="宋体"/>
                <w:color w:val="auto"/>
                <w:highlight w:val="none"/>
                <w:lang w:val="en-US"/>
              </w:rPr>
            </w:pPr>
            <w:r>
              <w:rPr>
                <w:rFonts w:hint="eastAsia" w:ascii="宋体" w:hAnsi="宋体" w:cs="宋体"/>
                <w:b/>
                <w:bCs w:val="0"/>
                <w:color w:val="auto"/>
                <w:sz w:val="18"/>
                <w:szCs w:val="18"/>
                <w:highlight w:val="none"/>
                <w:lang w:val="en-US" w:eastAsia="zh-CN" w:bidi="ar"/>
              </w:rPr>
              <w:t>承运人责任险保费</w:t>
            </w:r>
          </w:p>
        </w:tc>
      </w:tr>
      <w:tr w14:paraId="01822269">
        <w:tblPrEx>
          <w:tblCellMar>
            <w:top w:w="0" w:type="dxa"/>
            <w:left w:w="108" w:type="dxa"/>
            <w:bottom w:w="0" w:type="dxa"/>
            <w:right w:w="108" w:type="dxa"/>
          </w:tblCellMar>
        </w:tblPrEx>
        <w:trPr>
          <w:trHeight w:val="612" w:hRule="atLeast"/>
          <w:tblCellSpacing w:w="0" w:type="dxa"/>
        </w:trPr>
        <w:tc>
          <w:tcPr>
            <w:tcW w:w="8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3A1A">
            <w:pPr>
              <w:pStyle w:val="14"/>
              <w:spacing w:beforeAutospacing="0" w:afterAutospacing="0" w:line="0" w:lineRule="atLeas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小写：    元/人                 大写：         元/人 </w:t>
            </w:r>
          </w:p>
        </w:tc>
      </w:tr>
      <w:tr w14:paraId="10D414B5">
        <w:tblPrEx>
          <w:tblCellMar>
            <w:top w:w="0" w:type="dxa"/>
            <w:left w:w="108" w:type="dxa"/>
            <w:bottom w:w="0" w:type="dxa"/>
            <w:right w:w="108" w:type="dxa"/>
          </w:tblCellMar>
        </w:tblPrEx>
        <w:trPr>
          <w:trHeight w:val="612" w:hRule="atLeast"/>
          <w:tblCellSpacing w:w="0" w:type="dxa"/>
        </w:trPr>
        <w:tc>
          <w:tcPr>
            <w:tcW w:w="8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8806">
            <w:pPr>
              <w:rPr>
                <w:rFonts w:hint="default" w:ascii="宋体" w:hAnsi="宋体" w:eastAsia="宋体" w:cs="宋体"/>
                <w:color w:val="auto"/>
                <w:highlight w:val="none"/>
                <w:lang w:val="en-US" w:eastAsia="zh-CN"/>
              </w:rPr>
            </w:pPr>
            <w:r>
              <w:rPr>
                <w:rFonts w:hint="eastAsia" w:ascii="宋体" w:hAnsi="宋体" w:cs="宋体"/>
                <w:b/>
                <w:bCs w:val="0"/>
                <w:color w:val="auto"/>
                <w:sz w:val="18"/>
                <w:szCs w:val="18"/>
                <w:highlight w:val="none"/>
                <w:lang w:val="en-US" w:eastAsia="zh-CN" w:bidi="ar"/>
              </w:rPr>
              <w:t>交强险</w:t>
            </w:r>
          </w:p>
        </w:tc>
      </w:tr>
      <w:tr w14:paraId="5357E3AD">
        <w:tblPrEx>
          <w:tblCellMar>
            <w:top w:w="0" w:type="dxa"/>
            <w:left w:w="108" w:type="dxa"/>
            <w:bottom w:w="0" w:type="dxa"/>
            <w:right w:w="108" w:type="dxa"/>
          </w:tblCellMar>
        </w:tblPrEx>
        <w:trPr>
          <w:trHeight w:val="612" w:hRule="atLeast"/>
          <w:tblCellSpacing w:w="0" w:type="dxa"/>
        </w:trPr>
        <w:tc>
          <w:tcPr>
            <w:tcW w:w="8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C688">
            <w:pPr>
              <w:pStyle w:val="14"/>
              <w:spacing w:beforeAutospacing="0" w:afterAutospacing="0" w:line="0" w:lineRule="atLeas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按当地银保监局规定执行，投标人无需报价。</w:t>
            </w:r>
          </w:p>
        </w:tc>
      </w:tr>
    </w:tbl>
    <w:p w14:paraId="04CF836E">
      <w:pPr>
        <w:pStyle w:val="14"/>
        <w:spacing w:beforeAutospacing="0" w:afterAutospacing="0"/>
        <w:jc w:val="both"/>
        <w:rPr>
          <w:color w:val="auto"/>
          <w:highlight w:val="none"/>
        </w:rPr>
      </w:pPr>
      <w:r>
        <w:rPr>
          <w:color w:val="auto"/>
          <w:highlight w:val="none"/>
        </w:rPr>
        <w:t> </w:t>
      </w:r>
    </w:p>
    <w:p w14:paraId="02D55E84">
      <w:pPr>
        <w:pStyle w:val="14"/>
        <w:spacing w:beforeAutospacing="0" w:afterAutospacing="0"/>
        <w:ind w:firstLine="480"/>
        <w:jc w:val="both"/>
        <w:rPr>
          <w:color w:val="auto"/>
          <w:highlight w:val="none"/>
        </w:rPr>
      </w:pPr>
      <w:r>
        <w:rPr>
          <w:rFonts w:hint="eastAsia" w:ascii="宋体" w:hAnsi="宋体" w:eastAsia="宋体" w:cs="宋体"/>
          <w:color w:val="auto"/>
          <w:highlight w:val="none"/>
        </w:rPr>
        <w:t xml:space="preserve">                                              日期：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29D1AF51">
      <w:pPr>
        <w:widowControl/>
        <w:spacing w:before="50" w:after="50"/>
        <w:jc w:val="center"/>
        <w:rPr>
          <w:color w:val="auto"/>
          <w:highlight w:val="none"/>
        </w:rPr>
      </w:pPr>
      <w:r>
        <w:rPr>
          <w:color w:val="auto"/>
          <w:highlight w:val="none"/>
        </w:rPr>
        <w:tab/>
      </w:r>
    </w:p>
    <w:p w14:paraId="0C1E89E2">
      <w:pPr>
        <w:widowControl/>
        <w:spacing w:before="50" w:after="50"/>
        <w:jc w:val="center"/>
        <w:rPr>
          <w:color w:val="auto"/>
          <w:highlight w:val="none"/>
        </w:rPr>
      </w:pPr>
    </w:p>
    <w:p w14:paraId="05D2FFD8">
      <w:pPr>
        <w:widowControl/>
        <w:spacing w:before="50" w:after="50"/>
        <w:jc w:val="center"/>
        <w:rPr>
          <w:color w:val="auto"/>
          <w:highlight w:val="none"/>
        </w:rPr>
      </w:pPr>
    </w:p>
    <w:p w14:paraId="1A2AFD28">
      <w:pPr>
        <w:widowControl/>
        <w:spacing w:before="50" w:after="50"/>
        <w:jc w:val="center"/>
        <w:rPr>
          <w:color w:val="auto"/>
          <w:highlight w:val="none"/>
        </w:rPr>
      </w:pPr>
    </w:p>
    <w:p w14:paraId="5E5337A9">
      <w:pPr>
        <w:pStyle w:val="17"/>
        <w:rPr>
          <w:color w:val="auto"/>
          <w:highlight w:val="none"/>
        </w:rPr>
      </w:pPr>
    </w:p>
    <w:p w14:paraId="2FF69F76">
      <w:pPr>
        <w:pStyle w:val="17"/>
        <w:rPr>
          <w:color w:val="auto"/>
          <w:highlight w:val="none"/>
        </w:rPr>
      </w:pPr>
    </w:p>
    <w:p w14:paraId="2743A357">
      <w:pPr>
        <w:pStyle w:val="17"/>
        <w:rPr>
          <w:color w:val="auto"/>
          <w:highlight w:val="none"/>
        </w:rPr>
      </w:pPr>
    </w:p>
    <w:p w14:paraId="5F92FAE4">
      <w:pPr>
        <w:widowControl/>
        <w:spacing w:before="50" w:after="50"/>
        <w:jc w:val="center"/>
        <w:rPr>
          <w:color w:val="auto"/>
          <w:highlight w:val="none"/>
        </w:rPr>
      </w:pPr>
    </w:p>
    <w:p w14:paraId="3EF5CA22">
      <w:pPr>
        <w:widowControl/>
        <w:spacing w:before="50" w:after="50"/>
        <w:jc w:val="center"/>
        <w:rPr>
          <w:color w:val="auto"/>
          <w:highlight w:val="none"/>
        </w:rPr>
      </w:pPr>
    </w:p>
    <w:p w14:paraId="46A4BD8F">
      <w:pPr>
        <w:widowControl/>
        <w:spacing w:before="50" w:after="50"/>
        <w:jc w:val="center"/>
        <w:rPr>
          <w:color w:val="auto"/>
          <w:highlight w:val="none"/>
        </w:rPr>
      </w:pPr>
    </w:p>
    <w:p w14:paraId="5C15E4BF">
      <w:pPr>
        <w:widowControl/>
        <w:spacing w:before="50" w:after="50"/>
        <w:jc w:val="center"/>
        <w:rPr>
          <w:color w:val="auto"/>
          <w:highlight w:val="none"/>
        </w:rPr>
      </w:pPr>
    </w:p>
    <w:p w14:paraId="175A567F">
      <w:pPr>
        <w:widowControl/>
        <w:spacing w:before="50" w:after="50"/>
        <w:jc w:val="center"/>
        <w:rPr>
          <w:color w:val="auto"/>
          <w:highlight w:val="none"/>
        </w:rPr>
      </w:pPr>
    </w:p>
    <w:p w14:paraId="36BF1E86">
      <w:pPr>
        <w:widowControl/>
        <w:spacing w:before="50" w:after="50"/>
        <w:jc w:val="center"/>
        <w:rPr>
          <w:color w:val="auto"/>
          <w:highlight w:val="none"/>
        </w:rPr>
      </w:pPr>
    </w:p>
    <w:p w14:paraId="14598FE1">
      <w:pPr>
        <w:widowControl/>
        <w:spacing w:before="50" w:after="50"/>
        <w:jc w:val="center"/>
        <w:rPr>
          <w:color w:val="auto"/>
          <w:highlight w:val="none"/>
        </w:rPr>
      </w:pPr>
    </w:p>
    <w:p w14:paraId="375376FA">
      <w:pPr>
        <w:widowControl/>
        <w:spacing w:before="50" w:after="50"/>
        <w:jc w:val="center"/>
        <w:rPr>
          <w:color w:val="auto"/>
          <w:highlight w:val="none"/>
        </w:rPr>
      </w:pPr>
    </w:p>
    <w:p w14:paraId="4686595A">
      <w:pPr>
        <w:widowControl/>
        <w:spacing w:before="50" w:after="50"/>
        <w:jc w:val="center"/>
        <w:rPr>
          <w:color w:val="auto"/>
          <w:highlight w:val="none"/>
        </w:rPr>
      </w:pPr>
    </w:p>
    <w:p w14:paraId="370DD9F5">
      <w:pPr>
        <w:widowControl/>
        <w:spacing w:before="50" w:after="50"/>
        <w:jc w:val="center"/>
        <w:rPr>
          <w:color w:val="auto"/>
          <w:highlight w:val="none"/>
        </w:rPr>
      </w:pPr>
    </w:p>
    <w:p w14:paraId="0CC2FE6D">
      <w:pPr>
        <w:widowControl/>
        <w:spacing w:before="50" w:after="50"/>
        <w:jc w:val="center"/>
        <w:rPr>
          <w:color w:val="auto"/>
          <w:highlight w:val="none"/>
        </w:rPr>
      </w:pPr>
    </w:p>
    <w:p w14:paraId="37D7646B">
      <w:pPr>
        <w:widowControl/>
        <w:spacing w:before="50" w:after="50"/>
        <w:jc w:val="center"/>
        <w:rPr>
          <w:color w:val="auto"/>
          <w:highlight w:val="none"/>
        </w:rPr>
      </w:pPr>
    </w:p>
    <w:p w14:paraId="7BAC4BE5">
      <w:pPr>
        <w:widowControl/>
        <w:spacing w:before="50" w:after="50"/>
        <w:jc w:val="center"/>
        <w:rPr>
          <w:color w:val="auto"/>
          <w:highlight w:val="none"/>
        </w:rPr>
      </w:pPr>
    </w:p>
    <w:p w14:paraId="74EF0818">
      <w:pPr>
        <w:widowControl/>
        <w:spacing w:before="50" w:after="50"/>
        <w:jc w:val="center"/>
        <w:rPr>
          <w:color w:val="auto"/>
          <w:highlight w:val="none"/>
        </w:rPr>
      </w:pPr>
    </w:p>
    <w:p w14:paraId="04B573BD">
      <w:pPr>
        <w:widowControl/>
        <w:spacing w:before="50" w:after="50"/>
        <w:jc w:val="center"/>
        <w:rPr>
          <w:color w:val="auto"/>
          <w:highlight w:val="none"/>
        </w:rPr>
      </w:pPr>
    </w:p>
    <w:p w14:paraId="7004870A">
      <w:pPr>
        <w:widowControl/>
        <w:spacing w:before="50" w:after="50"/>
        <w:jc w:val="center"/>
        <w:rPr>
          <w:rFonts w:ascii="宋体" w:hAnsi="宋体" w:eastAsia="宋体" w:cs="宋体"/>
          <w:b/>
          <w:bCs/>
          <w:color w:val="auto"/>
          <w:sz w:val="24"/>
          <w:highlight w:val="none"/>
        </w:rPr>
      </w:pPr>
      <w:r>
        <w:rPr>
          <w:rFonts w:hint="eastAsia" w:ascii="宋体" w:hAnsi="宋体" w:eastAsia="宋体" w:cs="宋体"/>
          <w:b/>
          <w:bCs/>
          <w:color w:val="auto"/>
          <w:sz w:val="32"/>
          <w:szCs w:val="32"/>
          <w:highlight w:val="none"/>
        </w:rPr>
        <w:t>十</w:t>
      </w: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、技术方案</w:t>
      </w:r>
    </w:p>
    <w:p w14:paraId="7B35C616">
      <w:pPr>
        <w:pStyle w:val="14"/>
        <w:tabs>
          <w:tab w:val="left" w:pos="2160"/>
        </w:tabs>
        <w:spacing w:beforeAutospacing="0" w:afterAutospacing="0"/>
        <w:jc w:val="both"/>
        <w:rPr>
          <w:color w:val="auto"/>
          <w:highlight w:val="none"/>
        </w:rPr>
      </w:pPr>
    </w:p>
    <w:p w14:paraId="2E05F151">
      <w:pPr>
        <w:widowControl/>
        <w:spacing w:line="499" w:lineRule="atLeast"/>
        <w:ind w:firstLine="1600"/>
        <w:rPr>
          <w:rFonts w:ascii="宋体" w:hAnsi="宋体" w:eastAsia="宋体" w:cs="宋体"/>
          <w:color w:val="auto"/>
          <w:sz w:val="32"/>
          <w:szCs w:val="32"/>
          <w:highlight w:val="none"/>
        </w:rPr>
      </w:pPr>
    </w:p>
    <w:p w14:paraId="4A600B49">
      <w:pPr>
        <w:widowControl/>
        <w:spacing w:line="499" w:lineRule="atLeast"/>
        <w:ind w:firstLine="1600"/>
        <w:rPr>
          <w:rFonts w:ascii="宋体" w:hAnsi="宋体" w:eastAsia="宋体" w:cs="宋体"/>
          <w:color w:val="auto"/>
          <w:sz w:val="32"/>
          <w:szCs w:val="32"/>
          <w:highlight w:val="none"/>
        </w:rPr>
      </w:pPr>
    </w:p>
    <w:p w14:paraId="0BD27D1B">
      <w:pPr>
        <w:widowControl/>
        <w:spacing w:line="499" w:lineRule="atLeast"/>
        <w:ind w:firstLine="1600"/>
        <w:rPr>
          <w:rFonts w:ascii="宋体" w:hAnsi="宋体" w:eastAsia="宋体" w:cs="宋体"/>
          <w:color w:val="auto"/>
          <w:sz w:val="32"/>
          <w:szCs w:val="32"/>
          <w:highlight w:val="none"/>
        </w:rPr>
      </w:pPr>
    </w:p>
    <w:p w14:paraId="26590AC4">
      <w:pPr>
        <w:widowControl/>
        <w:spacing w:line="499" w:lineRule="atLeast"/>
        <w:ind w:firstLine="1600"/>
        <w:rPr>
          <w:rFonts w:ascii="宋体" w:hAnsi="宋体" w:eastAsia="宋体" w:cs="宋体"/>
          <w:color w:val="auto"/>
          <w:sz w:val="32"/>
          <w:szCs w:val="32"/>
          <w:highlight w:val="none"/>
        </w:rPr>
      </w:pPr>
    </w:p>
    <w:p w14:paraId="2AA4ACEE">
      <w:pPr>
        <w:widowControl/>
        <w:spacing w:line="499" w:lineRule="atLeast"/>
        <w:ind w:firstLine="1600"/>
        <w:rPr>
          <w:rFonts w:ascii="宋体" w:hAnsi="宋体" w:eastAsia="宋体" w:cs="宋体"/>
          <w:color w:val="auto"/>
          <w:sz w:val="32"/>
          <w:szCs w:val="32"/>
          <w:highlight w:val="none"/>
        </w:rPr>
      </w:pPr>
    </w:p>
    <w:p w14:paraId="3941763E">
      <w:pPr>
        <w:widowControl/>
        <w:spacing w:line="499" w:lineRule="atLeast"/>
        <w:ind w:firstLine="1600"/>
        <w:rPr>
          <w:rFonts w:ascii="宋体" w:hAnsi="宋体" w:eastAsia="宋体" w:cs="宋体"/>
          <w:color w:val="auto"/>
          <w:sz w:val="32"/>
          <w:szCs w:val="32"/>
          <w:highlight w:val="none"/>
        </w:rPr>
      </w:pPr>
    </w:p>
    <w:p w14:paraId="7BDE8637">
      <w:pPr>
        <w:widowControl/>
        <w:spacing w:line="499" w:lineRule="atLeast"/>
        <w:ind w:firstLine="1600"/>
        <w:rPr>
          <w:rFonts w:ascii="宋体" w:hAnsi="宋体" w:eastAsia="宋体" w:cs="宋体"/>
          <w:color w:val="auto"/>
          <w:sz w:val="32"/>
          <w:szCs w:val="32"/>
          <w:highlight w:val="none"/>
        </w:rPr>
      </w:pPr>
    </w:p>
    <w:p w14:paraId="28C20E5A">
      <w:pPr>
        <w:widowControl/>
        <w:spacing w:line="499" w:lineRule="atLeast"/>
        <w:ind w:firstLine="1600"/>
        <w:rPr>
          <w:rFonts w:ascii="宋体" w:hAnsi="宋体" w:eastAsia="宋体" w:cs="宋体"/>
          <w:color w:val="auto"/>
          <w:sz w:val="32"/>
          <w:szCs w:val="32"/>
          <w:highlight w:val="none"/>
        </w:rPr>
      </w:pPr>
    </w:p>
    <w:p w14:paraId="68A65AD9">
      <w:pPr>
        <w:widowControl/>
        <w:spacing w:line="499" w:lineRule="atLeast"/>
        <w:ind w:firstLine="1600"/>
        <w:rPr>
          <w:rFonts w:ascii="宋体" w:hAnsi="宋体" w:eastAsia="宋体" w:cs="宋体"/>
          <w:color w:val="auto"/>
          <w:sz w:val="32"/>
          <w:szCs w:val="32"/>
          <w:highlight w:val="none"/>
        </w:rPr>
      </w:pPr>
    </w:p>
    <w:p w14:paraId="3102B3C3">
      <w:pPr>
        <w:widowControl/>
        <w:spacing w:line="499" w:lineRule="atLeast"/>
        <w:ind w:firstLine="1600"/>
        <w:rPr>
          <w:rFonts w:ascii="宋体" w:hAnsi="宋体" w:eastAsia="宋体" w:cs="宋体"/>
          <w:color w:val="auto"/>
          <w:sz w:val="32"/>
          <w:szCs w:val="32"/>
          <w:highlight w:val="none"/>
        </w:rPr>
      </w:pPr>
    </w:p>
    <w:p w14:paraId="61F78CD7">
      <w:pPr>
        <w:widowControl/>
        <w:spacing w:line="499" w:lineRule="atLeast"/>
        <w:ind w:firstLine="1600"/>
        <w:rPr>
          <w:rFonts w:ascii="宋体" w:hAnsi="宋体" w:eastAsia="宋体" w:cs="宋体"/>
          <w:color w:val="auto"/>
          <w:sz w:val="32"/>
          <w:szCs w:val="32"/>
          <w:highlight w:val="none"/>
        </w:rPr>
      </w:pPr>
    </w:p>
    <w:p w14:paraId="40ABC58B">
      <w:pPr>
        <w:widowControl/>
        <w:spacing w:line="499" w:lineRule="atLeast"/>
        <w:ind w:firstLine="1600"/>
        <w:rPr>
          <w:rFonts w:ascii="宋体" w:hAnsi="宋体" w:eastAsia="宋体" w:cs="宋体"/>
          <w:color w:val="auto"/>
          <w:sz w:val="32"/>
          <w:szCs w:val="32"/>
          <w:highlight w:val="none"/>
        </w:rPr>
      </w:pPr>
    </w:p>
    <w:p w14:paraId="38DB44D6">
      <w:pPr>
        <w:widowControl/>
        <w:spacing w:line="499" w:lineRule="atLeast"/>
        <w:ind w:firstLine="1600"/>
        <w:rPr>
          <w:rFonts w:ascii="宋体" w:hAnsi="宋体" w:eastAsia="宋体" w:cs="宋体"/>
          <w:color w:val="auto"/>
          <w:sz w:val="32"/>
          <w:szCs w:val="32"/>
          <w:highlight w:val="none"/>
        </w:rPr>
      </w:pPr>
    </w:p>
    <w:p w14:paraId="1FF3DE71">
      <w:pPr>
        <w:widowControl/>
        <w:spacing w:line="499" w:lineRule="atLeast"/>
        <w:ind w:firstLine="1600"/>
        <w:rPr>
          <w:rFonts w:ascii="宋体" w:hAnsi="宋体" w:eastAsia="宋体" w:cs="宋体"/>
          <w:color w:val="auto"/>
          <w:sz w:val="32"/>
          <w:szCs w:val="32"/>
          <w:highlight w:val="none"/>
        </w:rPr>
      </w:pPr>
    </w:p>
    <w:p w14:paraId="5078FCFC">
      <w:pPr>
        <w:widowControl/>
        <w:spacing w:line="499" w:lineRule="atLeast"/>
        <w:ind w:firstLine="1600"/>
        <w:rPr>
          <w:rFonts w:ascii="宋体" w:hAnsi="宋体" w:eastAsia="宋体" w:cs="宋体"/>
          <w:color w:val="auto"/>
          <w:sz w:val="32"/>
          <w:szCs w:val="32"/>
          <w:highlight w:val="none"/>
        </w:rPr>
      </w:pPr>
    </w:p>
    <w:p w14:paraId="685824D5">
      <w:pPr>
        <w:widowControl/>
        <w:spacing w:line="499" w:lineRule="atLeast"/>
        <w:ind w:firstLine="1600"/>
        <w:rPr>
          <w:rFonts w:ascii="宋体" w:hAnsi="宋体" w:eastAsia="宋体" w:cs="宋体"/>
          <w:color w:val="auto"/>
          <w:sz w:val="32"/>
          <w:szCs w:val="32"/>
          <w:highlight w:val="none"/>
        </w:rPr>
      </w:pPr>
    </w:p>
    <w:p w14:paraId="6075A9B9">
      <w:pPr>
        <w:widowControl/>
        <w:spacing w:line="499" w:lineRule="atLeast"/>
        <w:ind w:firstLine="1600"/>
        <w:rPr>
          <w:rFonts w:ascii="宋体" w:hAnsi="宋体" w:eastAsia="宋体" w:cs="宋体"/>
          <w:color w:val="auto"/>
          <w:sz w:val="32"/>
          <w:szCs w:val="32"/>
          <w:highlight w:val="none"/>
        </w:rPr>
      </w:pPr>
    </w:p>
    <w:p w14:paraId="2947B088">
      <w:pPr>
        <w:widowControl/>
        <w:spacing w:line="499" w:lineRule="atLeast"/>
        <w:ind w:firstLine="1600"/>
        <w:rPr>
          <w:rFonts w:ascii="宋体" w:hAnsi="宋体" w:eastAsia="宋体" w:cs="宋体"/>
          <w:color w:val="auto"/>
          <w:sz w:val="32"/>
          <w:szCs w:val="32"/>
          <w:highlight w:val="none"/>
        </w:rPr>
      </w:pPr>
    </w:p>
    <w:p w14:paraId="4CFD966F">
      <w:pPr>
        <w:widowControl/>
        <w:spacing w:line="499" w:lineRule="atLeast"/>
        <w:ind w:firstLine="1600"/>
        <w:rPr>
          <w:rFonts w:ascii="宋体" w:hAnsi="宋体" w:eastAsia="宋体" w:cs="宋体"/>
          <w:b/>
          <w:bCs/>
          <w:color w:val="auto"/>
          <w:sz w:val="24"/>
          <w:highlight w:val="none"/>
        </w:rPr>
      </w:pPr>
      <w:r>
        <w:rPr>
          <w:rFonts w:hint="eastAsia" w:ascii="宋体" w:hAnsi="宋体" w:eastAsia="宋体" w:cs="宋体"/>
          <w:b/>
          <w:bCs/>
          <w:color w:val="auto"/>
          <w:sz w:val="32"/>
          <w:szCs w:val="32"/>
          <w:highlight w:val="none"/>
        </w:rPr>
        <w:t>十</w:t>
      </w: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、采购事前信用承诺书</w:t>
      </w:r>
    </w:p>
    <w:p w14:paraId="12DBF935">
      <w:pPr>
        <w:widowControl/>
        <w:spacing w:line="499" w:lineRule="atLeast"/>
        <w:ind w:firstLine="640"/>
        <w:jc w:val="left"/>
        <w:rPr>
          <w:rFonts w:ascii="宋体" w:hAnsi="宋体" w:eastAsia="宋体" w:cs="宋体"/>
          <w:color w:val="auto"/>
          <w:sz w:val="24"/>
          <w:highlight w:val="none"/>
        </w:rPr>
      </w:pPr>
      <w:r>
        <w:rPr>
          <w:rFonts w:hint="eastAsia" w:ascii="宋体" w:hAnsi="宋体" w:eastAsia="宋体" w:cs="宋体"/>
          <w:color w:val="auto"/>
          <w:sz w:val="32"/>
          <w:szCs w:val="32"/>
          <w:highlight w:val="none"/>
        </w:rPr>
        <w:t> </w:t>
      </w:r>
    </w:p>
    <w:p w14:paraId="518FF601">
      <w:pPr>
        <w:widowControl/>
        <w:spacing w:line="499" w:lineRule="atLeast"/>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为营造我市公开、公平、公正、诚实守信的采购交易环境，树立诚信守法的投标人形象，本人代表本单位作出以下承诺：</w:t>
      </w:r>
    </w:p>
    <w:p w14:paraId="41DD4ED3">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（一）本单位对所提交的企（事）业单位基本信息、企（事）业负责人、项目负责人、技术负责人、从业资质和资格、业绩、财务状况、信誉等所有资料，均合法、真实、准确、有效，无任何伪造、修改、</w:t>
      </w:r>
      <w:r>
        <w:rPr>
          <w:rFonts w:hint="eastAsia" w:ascii="宋体" w:hAnsi="宋体" w:eastAsia="宋体" w:cs="宋体"/>
          <w:color w:val="auto"/>
          <w:sz w:val="24"/>
          <w:highlight w:val="none"/>
          <w:lang w:eastAsia="zh-CN"/>
        </w:rPr>
        <w:t>虚假成分</w:t>
      </w:r>
      <w:r>
        <w:rPr>
          <w:rFonts w:hint="eastAsia" w:ascii="宋体" w:hAnsi="宋体" w:eastAsia="宋体" w:cs="宋体"/>
          <w:color w:val="auto"/>
          <w:sz w:val="24"/>
          <w:highlight w:val="none"/>
        </w:rPr>
        <w:t>，并对所提供资料的真实性负责；</w:t>
      </w:r>
    </w:p>
    <w:p w14:paraId="2646A310">
      <w:pPr>
        <w:widowControl/>
        <w:spacing w:line="499" w:lineRule="atLeast"/>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65024D90">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   （三）严格依照国家和省、市关于政府采购的法律、法规、规章、规范性文件，参加采购投标活动；积极履行社会责任，促进廉政建设； </w:t>
      </w:r>
    </w:p>
    <w:p w14:paraId="46DCE0D7">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（四）严格遵守即时信息公示规定，及时</w:t>
      </w:r>
      <w:r>
        <w:rPr>
          <w:rFonts w:hint="eastAsia" w:ascii="宋体" w:hAnsi="宋体" w:eastAsia="宋体" w:cs="宋体"/>
          <w:color w:val="auto"/>
          <w:sz w:val="24"/>
          <w:highlight w:val="none"/>
          <w:lang w:eastAsia="zh-CN"/>
        </w:rPr>
        <w:t>维护和更新</w:t>
      </w:r>
      <w:r>
        <w:rPr>
          <w:rFonts w:hint="eastAsia" w:ascii="宋体" w:hAnsi="宋体" w:eastAsia="宋体" w:cs="宋体"/>
          <w:color w:val="auto"/>
          <w:sz w:val="24"/>
          <w:highlight w:val="none"/>
        </w:rPr>
        <w:t>采购网中与本单位相关的信息；</w:t>
      </w:r>
    </w:p>
    <w:p w14:paraId="5BFC43D2">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五）自我约束、自我管理，守合同、重信用，自觉维护政府采购交易的良好秩序，与参与本次政府采购活动的其他供应商不存在直接控股或管理关系，不参与围标串标、弄虚作假、骗取中标、干扰评标、违约毁约等行为；</w:t>
      </w:r>
    </w:p>
    <w:p w14:paraId="5E0062C9">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（六）自觉接受政府、行业组织、社会公众、新闻舆论的监督；</w:t>
      </w:r>
    </w:p>
    <w:p w14:paraId="7B51C052">
      <w:pPr>
        <w:widowControl/>
        <w:spacing w:line="499" w:lineRule="atLeast"/>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17E8A388">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（八）本人已认真阅读了上述承诺，并向本单位员工作了宣传教育。</w:t>
      </w:r>
    </w:p>
    <w:p w14:paraId="413A0F2D">
      <w:pPr>
        <w:widowControl/>
        <w:spacing w:line="499" w:lineRule="atLeast"/>
        <w:jc w:val="left"/>
        <w:rPr>
          <w:rFonts w:ascii="宋体" w:hAnsi="宋体" w:eastAsia="宋体" w:cs="宋体"/>
          <w:color w:val="auto"/>
          <w:sz w:val="24"/>
          <w:highlight w:val="none"/>
        </w:rPr>
      </w:pPr>
      <w:r>
        <w:rPr>
          <w:rFonts w:hint="eastAsia" w:ascii="宋体" w:hAnsi="宋体" w:eastAsia="宋体" w:cs="宋体"/>
          <w:color w:val="auto"/>
          <w:sz w:val="24"/>
          <w:highlight w:val="none"/>
        </w:rPr>
        <w:t>                  法定代表人签名：</w:t>
      </w:r>
    </w:p>
    <w:p w14:paraId="3C5185D7">
      <w:pPr>
        <w:widowControl/>
        <w:spacing w:line="499" w:lineRule="atLeast"/>
        <w:jc w:val="center"/>
        <w:rPr>
          <w:rFonts w:ascii="宋体" w:hAnsi="宋体" w:eastAsia="宋体" w:cs="宋体"/>
          <w:color w:val="auto"/>
          <w:sz w:val="24"/>
          <w:highlight w:val="none"/>
        </w:rPr>
      </w:pPr>
      <w:r>
        <w:rPr>
          <w:rFonts w:hint="eastAsia" w:ascii="宋体" w:hAnsi="宋体" w:eastAsia="宋体" w:cs="宋体"/>
          <w:color w:val="auto"/>
          <w:sz w:val="24"/>
          <w:highlight w:val="none"/>
        </w:rPr>
        <w:t>                   单位名称（盖章）：</w:t>
      </w:r>
    </w:p>
    <w:p w14:paraId="031CFD2D">
      <w:pPr>
        <w:widowControl/>
        <w:spacing w:line="499" w:lineRule="atLeast"/>
        <w:jc w:val="center"/>
        <w:rPr>
          <w:rFonts w:ascii="宋体" w:hAnsi="宋体" w:eastAsia="宋体" w:cs="宋体"/>
          <w:color w:val="auto"/>
          <w:sz w:val="24"/>
          <w:highlight w:val="none"/>
        </w:rPr>
      </w:pPr>
      <w:r>
        <w:rPr>
          <w:rFonts w:hint="eastAsia" w:ascii="宋体" w:hAnsi="宋体" w:eastAsia="宋体" w:cs="宋体"/>
          <w:color w:val="auto"/>
          <w:sz w:val="24"/>
          <w:highlight w:val="none"/>
        </w:rPr>
        <w:t>                      年月日</w:t>
      </w:r>
    </w:p>
    <w:p w14:paraId="5D8529CE">
      <w:pPr>
        <w:pStyle w:val="14"/>
        <w:spacing w:beforeAutospacing="0" w:afterAutospacing="0"/>
        <w:jc w:val="center"/>
        <w:rPr>
          <w:color w:val="auto"/>
          <w:highlight w:val="none"/>
        </w:rPr>
      </w:pPr>
    </w:p>
    <w:bookmarkEnd w:id="27"/>
    <w:bookmarkEnd w:id="44"/>
    <w:bookmarkEnd w:id="87"/>
    <w:bookmarkEnd w:id="88"/>
    <w:bookmarkEnd w:id="89"/>
    <w:bookmarkEnd w:id="92"/>
    <w:bookmarkEnd w:id="93"/>
    <w:bookmarkEnd w:id="94"/>
    <w:bookmarkEnd w:id="95"/>
    <w:bookmarkEnd w:id="96"/>
    <w:bookmarkEnd w:id="97"/>
    <w:bookmarkEnd w:id="98"/>
    <w:bookmarkEnd w:id="99"/>
    <w:bookmarkEnd w:id="100"/>
    <w:bookmarkEnd w:id="101"/>
    <w:bookmarkEnd w:id="102"/>
    <w:bookmarkEnd w:id="103"/>
    <w:bookmarkEnd w:id="104"/>
    <w:bookmarkEnd w:id="109"/>
    <w:bookmarkEnd w:id="110"/>
    <w:bookmarkEnd w:id="111"/>
    <w:bookmarkEnd w:id="116"/>
    <w:bookmarkEnd w:id="117"/>
    <w:bookmarkEnd w:id="122"/>
    <w:bookmarkEnd w:id="163"/>
    <w:bookmarkEnd w:id="164"/>
    <w:bookmarkEnd w:id="171"/>
    <w:bookmarkEnd w:id="172"/>
    <w:bookmarkEnd w:id="177"/>
    <w:bookmarkEnd w:id="178"/>
    <w:bookmarkEnd w:id="179"/>
    <w:bookmarkEnd w:id="180"/>
    <w:bookmarkEnd w:id="189"/>
    <w:bookmarkEnd w:id="190"/>
    <w:bookmarkEnd w:id="191"/>
    <w:bookmarkEnd w:id="192"/>
    <w:bookmarkEnd w:id="193"/>
    <w:p w14:paraId="3D2A7919">
      <w:pPr>
        <w:rPr>
          <w:color w:val="auto"/>
          <w:highlight w:val="none"/>
        </w:rPr>
      </w:pPr>
    </w:p>
    <w:p w14:paraId="4D3B41D8">
      <w:pPr>
        <w:pStyle w:val="14"/>
        <w:spacing w:beforeAutospacing="0" w:afterAutospacing="0"/>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质疑函范本</w:t>
      </w:r>
    </w:p>
    <w:p w14:paraId="09EC660E">
      <w:pPr>
        <w:pStyle w:val="14"/>
        <w:spacing w:before="290"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一、质疑供应商基本信息</w:t>
      </w:r>
    </w:p>
    <w:p w14:paraId="1BBEA404">
      <w:pPr>
        <w:pStyle w:val="14"/>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质疑供应商：</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0683C323">
      <w:pPr>
        <w:pStyle w:val="14"/>
        <w:spacing w:beforeAutospacing="0" w:afterAutospacing="0" w:line="360" w:lineRule="auto"/>
        <w:jc w:val="both"/>
        <w:rPr>
          <w:rFonts w:ascii="宋体" w:hAnsi="宋体" w:eastAsia="宋体" w:cs="宋体"/>
          <w:color w:val="auto"/>
          <w:highlight w:val="none"/>
          <w:u w:val="singl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w:t>
      </w:r>
    </w:p>
    <w:p w14:paraId="4FD10787">
      <w:pPr>
        <w:pStyle w:val="14"/>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邮编：</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51269EB1">
      <w:pPr>
        <w:pStyle w:val="14"/>
        <w:spacing w:beforeAutospacing="0" w:afterAutospacing="0" w:line="360" w:lineRule="auto"/>
        <w:jc w:val="both"/>
        <w:rPr>
          <w:rFonts w:ascii="宋体" w:hAnsi="宋体" w:eastAsia="宋体" w:cs="宋体"/>
          <w:color w:val="auto"/>
          <w:highlight w:val="none"/>
          <w:u w:val="singl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68A79C72">
      <w:pPr>
        <w:pStyle w:val="14"/>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p>
    <w:p w14:paraId="5B63D208">
      <w:pPr>
        <w:pStyle w:val="14"/>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授权代表：</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3C1857D9">
      <w:pPr>
        <w:pStyle w:val="14"/>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28C266A2">
      <w:pPr>
        <w:pStyle w:val="14"/>
        <w:spacing w:beforeAutospacing="0" w:afterAutospacing="0" w:line="360" w:lineRule="auto"/>
        <w:jc w:val="both"/>
        <w:rPr>
          <w:rFonts w:ascii="宋体" w:hAnsi="宋体" w:eastAsia="宋体" w:cs="宋体"/>
          <w:color w:val="auto"/>
          <w:highlight w:val="none"/>
          <w:u w:val="single"/>
        </w:rPr>
      </w:pPr>
      <w:r>
        <w:rPr>
          <w:rFonts w:hint="eastAsia" w:ascii="宋体" w:hAnsi="宋体" w:eastAsia="宋体" w:cs="宋体"/>
          <w:color w:val="auto"/>
          <w:highlight w:val="none"/>
        </w:rPr>
        <w:t>地址： </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3855B596">
      <w:pPr>
        <w:pStyle w:val="14"/>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邮编：</w:t>
      </w:r>
      <w:r>
        <w:rPr>
          <w:rFonts w:hint="eastAsia" w:ascii="宋体" w:hAnsi="宋体" w:eastAsia="宋体" w:cs="宋体"/>
          <w:color w:val="auto"/>
          <w:highlight w:val="none"/>
          <w:u w:val="single"/>
        </w:rPr>
        <w:t xml:space="preserve">                                </w:t>
      </w:r>
    </w:p>
    <w:p w14:paraId="25856014">
      <w:pPr>
        <w:pStyle w:val="14"/>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二、质疑项目基本情况</w:t>
      </w:r>
    </w:p>
    <w:p w14:paraId="3DF26DCD">
      <w:pPr>
        <w:pStyle w:val="14"/>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质疑项目的名称：</w:t>
      </w:r>
      <w:r>
        <w:rPr>
          <w:rFonts w:hint="eastAsia" w:ascii="宋体" w:hAnsi="宋体" w:eastAsia="宋体" w:cs="宋体"/>
          <w:color w:val="auto"/>
          <w:highlight w:val="none"/>
          <w:u w:val="single"/>
        </w:rPr>
        <w:t xml:space="preserve">                            </w:t>
      </w:r>
    </w:p>
    <w:p w14:paraId="05D9AAAA">
      <w:pPr>
        <w:pStyle w:val="14"/>
        <w:spacing w:beforeAutospacing="0" w:afterAutospacing="0" w:line="360" w:lineRule="auto"/>
        <w:jc w:val="both"/>
        <w:rPr>
          <w:rFonts w:ascii="宋体" w:hAnsi="宋体" w:eastAsia="宋体" w:cs="宋体"/>
          <w:color w:val="auto"/>
          <w:highlight w:val="none"/>
          <w:u w:val="single"/>
        </w:rPr>
      </w:pPr>
      <w:r>
        <w:rPr>
          <w:rFonts w:hint="eastAsia" w:ascii="宋体" w:hAnsi="宋体" w:eastAsia="宋体" w:cs="宋体"/>
          <w:color w:val="auto"/>
          <w:highlight w:val="none"/>
        </w:rPr>
        <w:t>质疑项目的编号：</w:t>
      </w:r>
      <w:r>
        <w:rPr>
          <w:rFonts w:hint="eastAsia" w:ascii="宋体" w:hAnsi="宋体" w:eastAsia="宋体" w:cs="宋体"/>
          <w:color w:val="auto"/>
          <w:highlight w:val="none"/>
          <w:u w:val="single"/>
        </w:rPr>
        <w:t xml:space="preserve">                          </w:t>
      </w:r>
    </w:p>
    <w:p w14:paraId="6C45C6E4">
      <w:pPr>
        <w:pStyle w:val="14"/>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14:paraId="002EE101">
      <w:pPr>
        <w:pStyle w:val="14"/>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采购人名称：</w:t>
      </w:r>
      <w:r>
        <w:rPr>
          <w:rFonts w:hint="eastAsia" w:ascii="宋体" w:hAnsi="宋体" w:eastAsia="宋体" w:cs="宋体"/>
          <w:color w:val="auto"/>
          <w:highlight w:val="none"/>
          <w:u w:val="single"/>
        </w:rPr>
        <w:t xml:space="preserve">                            </w:t>
      </w:r>
    </w:p>
    <w:p w14:paraId="0C3EA93A">
      <w:pPr>
        <w:pStyle w:val="14"/>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采购文件获取日期：</w:t>
      </w:r>
      <w:r>
        <w:rPr>
          <w:rFonts w:hint="eastAsia" w:ascii="宋体" w:hAnsi="宋体" w:eastAsia="宋体" w:cs="宋体"/>
          <w:color w:val="auto"/>
          <w:highlight w:val="none"/>
          <w:u w:val="single"/>
        </w:rPr>
        <w:t xml:space="preserve">                             </w:t>
      </w:r>
    </w:p>
    <w:p w14:paraId="454C489F">
      <w:pPr>
        <w:pStyle w:val="14"/>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三、质疑事项具体内容</w:t>
      </w:r>
    </w:p>
    <w:p w14:paraId="5B0C3A09">
      <w:pPr>
        <w:pStyle w:val="14"/>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质疑事项1：</w:t>
      </w:r>
      <w:r>
        <w:rPr>
          <w:rFonts w:hint="eastAsia" w:ascii="宋体" w:hAnsi="宋体" w:eastAsia="宋体" w:cs="宋体"/>
          <w:color w:val="auto"/>
          <w:highlight w:val="none"/>
          <w:u w:val="single"/>
        </w:rPr>
        <w:t xml:space="preserve">                             </w:t>
      </w:r>
    </w:p>
    <w:p w14:paraId="65F6B2B9">
      <w:pPr>
        <w:pStyle w:val="14"/>
        <w:spacing w:beforeAutospacing="0" w:afterAutospacing="0" w:line="360" w:lineRule="auto"/>
        <w:rPr>
          <w:rFonts w:ascii="宋体" w:hAnsi="宋体" w:eastAsia="宋体" w:cs="宋体"/>
          <w:color w:val="auto"/>
          <w:highlight w:val="none"/>
        </w:rPr>
      </w:pPr>
      <w:r>
        <w:rPr>
          <w:rFonts w:hint="eastAsia" w:ascii="宋体" w:hAnsi="宋体" w:eastAsia="宋体" w:cs="宋体"/>
          <w:color w:val="auto"/>
          <w:highlight w:val="none"/>
        </w:rPr>
        <w:t>事实依据：</w:t>
      </w:r>
      <w:r>
        <w:rPr>
          <w:rFonts w:hint="eastAsia" w:ascii="宋体" w:hAnsi="宋体" w:eastAsia="宋体" w:cs="宋体"/>
          <w:color w:val="auto"/>
          <w:highlight w:val="none"/>
          <w:u w:val="single"/>
        </w:rPr>
        <w:t xml:space="preserve">                                                   </w:t>
      </w:r>
    </w:p>
    <w:p w14:paraId="78A4C18D">
      <w:pPr>
        <w:pStyle w:val="14"/>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法律依据：</w:t>
      </w:r>
      <w:r>
        <w:rPr>
          <w:rFonts w:hint="eastAsia" w:ascii="宋体" w:hAnsi="宋体" w:eastAsia="宋体" w:cs="宋体"/>
          <w:color w:val="auto"/>
          <w:highlight w:val="none"/>
          <w:u w:val="single"/>
        </w:rPr>
        <w:t xml:space="preserve">                                                    </w:t>
      </w:r>
    </w:p>
    <w:p w14:paraId="32398CFA">
      <w:pPr>
        <w:pStyle w:val="14"/>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质疑事项2</w:t>
      </w:r>
    </w:p>
    <w:p w14:paraId="7481B690">
      <w:pPr>
        <w:pStyle w:val="14"/>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w:t>
      </w:r>
    </w:p>
    <w:p w14:paraId="4BFC85F6">
      <w:pPr>
        <w:pStyle w:val="14"/>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四、与质疑事项相关的质疑请求</w:t>
      </w:r>
    </w:p>
    <w:p w14:paraId="4142A576">
      <w:pPr>
        <w:pStyle w:val="14"/>
        <w:spacing w:beforeAutospacing="0" w:afterAutospacing="0" w:line="360" w:lineRule="auto"/>
        <w:jc w:val="both"/>
        <w:rPr>
          <w:rFonts w:ascii="宋体" w:hAnsi="宋体" w:eastAsia="宋体" w:cs="宋体"/>
          <w:color w:val="auto"/>
          <w:highlight w:val="none"/>
        </w:rPr>
      </w:pPr>
      <w:r>
        <w:rPr>
          <w:rFonts w:hint="eastAsia" w:ascii="宋体" w:hAnsi="宋体" w:eastAsia="宋体" w:cs="宋体"/>
          <w:color w:val="auto"/>
          <w:highlight w:val="none"/>
        </w:rPr>
        <w:t>请求：</w:t>
      </w:r>
      <w:r>
        <w:rPr>
          <w:rFonts w:hint="eastAsia" w:ascii="宋体" w:hAnsi="宋体" w:eastAsia="宋体" w:cs="宋体"/>
          <w:color w:val="auto"/>
          <w:highlight w:val="none"/>
          <w:u w:val="single"/>
        </w:rPr>
        <w:t xml:space="preserve">                                                          </w:t>
      </w:r>
    </w:p>
    <w:p w14:paraId="0E62018D">
      <w:pPr>
        <w:pStyle w:val="14"/>
        <w:spacing w:beforeAutospacing="0" w:afterAutospacing="0"/>
        <w:jc w:val="both"/>
        <w:rPr>
          <w:rFonts w:ascii="宋体" w:hAnsi="宋体" w:eastAsia="宋体" w:cs="宋体"/>
          <w:color w:val="auto"/>
          <w:highlight w:val="none"/>
        </w:rPr>
      </w:pPr>
      <w:r>
        <w:rPr>
          <w:rFonts w:hint="eastAsia" w:ascii="宋体" w:hAnsi="宋体" w:eastAsia="宋体" w:cs="宋体"/>
          <w:color w:val="auto"/>
          <w:highlight w:val="none"/>
        </w:rPr>
        <w:t xml:space="preserve">签字(签章)：                 公章：               日期：    </w:t>
      </w:r>
    </w:p>
    <w:p w14:paraId="2BD1128B">
      <w:pPr>
        <w:pStyle w:val="14"/>
        <w:spacing w:beforeAutospacing="0" w:afterAutospacing="0" w:line="0" w:lineRule="atLeast"/>
        <w:jc w:val="both"/>
        <w:rPr>
          <w:rFonts w:ascii="宋体" w:hAnsi="宋体" w:eastAsia="宋体" w:cs="宋体"/>
          <w:color w:val="auto"/>
          <w:highlight w:val="none"/>
        </w:rPr>
      </w:pPr>
      <w:r>
        <w:rPr>
          <w:rFonts w:hint="eastAsia" w:ascii="宋体" w:hAnsi="宋体" w:eastAsia="宋体" w:cs="宋体"/>
          <w:b/>
          <w:color w:val="auto"/>
          <w:highlight w:val="none"/>
        </w:rPr>
        <w:t>质疑函制作说明：</w:t>
      </w:r>
    </w:p>
    <w:p w14:paraId="366B4F23">
      <w:pPr>
        <w:pStyle w:val="14"/>
        <w:widowControl/>
        <w:spacing w:beforeAutospacing="0" w:afterAutospacing="0" w:line="0" w:lineRule="atLeast"/>
        <w:ind w:firstLine="480"/>
        <w:rPr>
          <w:rFonts w:ascii="宋体" w:hAnsi="宋体" w:eastAsia="宋体" w:cs="宋体"/>
          <w:color w:val="auto"/>
          <w:highlight w:val="none"/>
        </w:rPr>
      </w:pPr>
      <w:r>
        <w:rPr>
          <w:rFonts w:hint="eastAsia" w:ascii="宋体" w:hAnsi="宋体" w:eastAsia="宋体" w:cs="宋体"/>
          <w:color w:val="auto"/>
          <w:highlight w:val="none"/>
        </w:rPr>
        <w:t>1.供应商提出质疑时，应提交质疑函和必要的证明材料。</w:t>
      </w:r>
    </w:p>
    <w:p w14:paraId="4477C1A6">
      <w:pPr>
        <w:pStyle w:val="14"/>
        <w:widowControl/>
        <w:spacing w:beforeAutospacing="0" w:afterAutospacing="0" w:line="0" w:lineRule="atLeast"/>
        <w:ind w:firstLine="480"/>
        <w:rPr>
          <w:rFonts w:ascii="宋体" w:hAnsi="宋体" w:eastAsia="宋体" w:cs="宋体"/>
          <w:color w:val="auto"/>
          <w:highlight w:val="none"/>
        </w:rPr>
      </w:pPr>
      <w:r>
        <w:rPr>
          <w:rFonts w:hint="eastAsia" w:ascii="宋体" w:hAnsi="宋体" w:eastAsia="宋体" w:cs="宋体"/>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B40952D">
      <w:pPr>
        <w:pStyle w:val="14"/>
        <w:widowControl/>
        <w:spacing w:beforeAutospacing="0" w:afterAutospacing="0" w:line="0" w:lineRule="atLeast"/>
        <w:ind w:firstLine="480"/>
        <w:rPr>
          <w:rFonts w:ascii="宋体" w:hAnsi="宋体" w:eastAsia="宋体" w:cs="宋体"/>
          <w:color w:val="auto"/>
          <w:highlight w:val="none"/>
        </w:rPr>
      </w:pPr>
      <w:r>
        <w:rPr>
          <w:rFonts w:hint="eastAsia" w:ascii="宋体" w:hAnsi="宋体" w:eastAsia="宋体" w:cs="宋体"/>
          <w:color w:val="auto"/>
          <w:highlight w:val="none"/>
        </w:rPr>
        <w:t>3.质疑供应商若对项目的某一分包进行质疑，质疑函中应列明具体分包号。</w:t>
      </w:r>
    </w:p>
    <w:p w14:paraId="61B2EC12">
      <w:pPr>
        <w:pStyle w:val="14"/>
        <w:widowControl/>
        <w:spacing w:beforeAutospacing="0" w:afterAutospacing="0" w:line="0" w:lineRule="atLeast"/>
        <w:ind w:firstLine="480"/>
        <w:rPr>
          <w:rFonts w:ascii="宋体" w:hAnsi="宋体" w:eastAsia="宋体" w:cs="宋体"/>
          <w:color w:val="auto"/>
          <w:highlight w:val="none"/>
        </w:rPr>
      </w:pPr>
      <w:r>
        <w:rPr>
          <w:rFonts w:hint="eastAsia" w:ascii="宋体" w:hAnsi="宋体" w:eastAsia="宋体" w:cs="宋体"/>
          <w:color w:val="auto"/>
          <w:highlight w:val="none"/>
        </w:rPr>
        <w:t>4.质疑函的质疑事项应具体、明确，并有必要的事实依据和法律依据。</w:t>
      </w:r>
    </w:p>
    <w:p w14:paraId="00DA2770">
      <w:pPr>
        <w:pStyle w:val="14"/>
        <w:widowControl/>
        <w:spacing w:beforeAutospacing="0" w:afterAutospacing="0" w:line="0" w:lineRule="atLeast"/>
        <w:ind w:firstLine="480"/>
        <w:rPr>
          <w:rFonts w:ascii="宋体" w:hAnsi="宋体" w:eastAsia="宋体" w:cs="宋体"/>
          <w:color w:val="auto"/>
          <w:highlight w:val="none"/>
        </w:rPr>
      </w:pPr>
      <w:r>
        <w:rPr>
          <w:rFonts w:hint="eastAsia" w:ascii="宋体" w:hAnsi="宋体" w:eastAsia="宋体" w:cs="宋体"/>
          <w:color w:val="auto"/>
          <w:highlight w:val="none"/>
        </w:rPr>
        <w:t>5.质疑函的质疑请求应与质疑事项相关。</w:t>
      </w:r>
    </w:p>
    <w:p w14:paraId="7B96CA49">
      <w:pPr>
        <w:pStyle w:val="14"/>
        <w:widowControl/>
        <w:spacing w:beforeAutospacing="0" w:afterAutospacing="0" w:line="0" w:lineRule="atLeast"/>
        <w:ind w:firstLine="480"/>
        <w:rPr>
          <w:rFonts w:ascii="宋体" w:hAnsi="宋体" w:eastAsia="宋体" w:cs="宋体"/>
          <w:color w:val="auto"/>
          <w:highlight w:val="none"/>
        </w:rPr>
      </w:pPr>
      <w:r>
        <w:rPr>
          <w:rFonts w:hint="eastAsia" w:ascii="宋体" w:hAnsi="宋体" w:eastAsia="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2A8F5BDA">
      <w:pPr>
        <w:pStyle w:val="14"/>
        <w:spacing w:beforeAutospacing="0" w:afterAutospacing="0"/>
        <w:ind w:firstLine="420"/>
        <w:jc w:val="both"/>
        <w:rPr>
          <w:rFonts w:ascii="宋体" w:hAnsi="宋体" w:eastAsia="宋体" w:cs="宋体"/>
          <w:color w:val="auto"/>
          <w:highlight w:val="none"/>
        </w:rPr>
      </w:pPr>
      <w:r>
        <w:rPr>
          <w:rFonts w:hint="eastAsia" w:ascii="宋体" w:hAnsi="宋体" w:eastAsia="宋体" w:cs="宋体"/>
          <w:color w:val="auto"/>
          <w:highlight w:val="none"/>
        </w:rPr>
        <w:t> </w:t>
      </w:r>
    </w:p>
    <w:p w14:paraId="5C2BD028">
      <w:pPr>
        <w:rPr>
          <w:color w:val="auto"/>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7FFAEFF" w:usb1="F9DFFFFF" w:usb2="0000007F" w:usb3="00000000" w:csb0="203F01FF" w:csb1="DFFF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E461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3897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13897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NjQ4MDViNzI1OGY2YzE4MzhiZmY5ZTY1YTkxNGYifQ=="/>
  </w:docVars>
  <w:rsids>
    <w:rsidRoot w:val="00172A27"/>
    <w:rsid w:val="00075369"/>
    <w:rsid w:val="00077137"/>
    <w:rsid w:val="00093DD2"/>
    <w:rsid w:val="00100CC0"/>
    <w:rsid w:val="00131CB1"/>
    <w:rsid w:val="00172A27"/>
    <w:rsid w:val="00177F0B"/>
    <w:rsid w:val="001A3225"/>
    <w:rsid w:val="001F4115"/>
    <w:rsid w:val="00215AA4"/>
    <w:rsid w:val="00251125"/>
    <w:rsid w:val="002E61F3"/>
    <w:rsid w:val="002F12F8"/>
    <w:rsid w:val="003C1A89"/>
    <w:rsid w:val="003C6894"/>
    <w:rsid w:val="0043276E"/>
    <w:rsid w:val="004529E6"/>
    <w:rsid w:val="00455E51"/>
    <w:rsid w:val="004670D5"/>
    <w:rsid w:val="00474047"/>
    <w:rsid w:val="00491F6E"/>
    <w:rsid w:val="004D3110"/>
    <w:rsid w:val="00502ACB"/>
    <w:rsid w:val="00520AC5"/>
    <w:rsid w:val="00552DFB"/>
    <w:rsid w:val="005E57E9"/>
    <w:rsid w:val="006932C0"/>
    <w:rsid w:val="006B6F15"/>
    <w:rsid w:val="007871B9"/>
    <w:rsid w:val="007A220C"/>
    <w:rsid w:val="007A7B98"/>
    <w:rsid w:val="007B1CF4"/>
    <w:rsid w:val="00817A96"/>
    <w:rsid w:val="0088127E"/>
    <w:rsid w:val="008B090D"/>
    <w:rsid w:val="008E4636"/>
    <w:rsid w:val="00935693"/>
    <w:rsid w:val="00A4304F"/>
    <w:rsid w:val="00A62079"/>
    <w:rsid w:val="00A70028"/>
    <w:rsid w:val="00A80AB0"/>
    <w:rsid w:val="00AA2A8E"/>
    <w:rsid w:val="00B07FD4"/>
    <w:rsid w:val="00B454C4"/>
    <w:rsid w:val="00BE692E"/>
    <w:rsid w:val="00BE787D"/>
    <w:rsid w:val="00C30C78"/>
    <w:rsid w:val="00C36D58"/>
    <w:rsid w:val="00C83D22"/>
    <w:rsid w:val="00C86C58"/>
    <w:rsid w:val="00CB578B"/>
    <w:rsid w:val="00D1282F"/>
    <w:rsid w:val="00D550E3"/>
    <w:rsid w:val="00D63F4B"/>
    <w:rsid w:val="00D93FCD"/>
    <w:rsid w:val="00E57898"/>
    <w:rsid w:val="00E6087B"/>
    <w:rsid w:val="00F130C8"/>
    <w:rsid w:val="00F264FD"/>
    <w:rsid w:val="00F33192"/>
    <w:rsid w:val="00F50207"/>
    <w:rsid w:val="00F8669E"/>
    <w:rsid w:val="00F957B2"/>
    <w:rsid w:val="00FC6132"/>
    <w:rsid w:val="00FE3C91"/>
    <w:rsid w:val="014036E0"/>
    <w:rsid w:val="01416DF2"/>
    <w:rsid w:val="015C3D17"/>
    <w:rsid w:val="01C209CB"/>
    <w:rsid w:val="02357688"/>
    <w:rsid w:val="02851591"/>
    <w:rsid w:val="02BD5381"/>
    <w:rsid w:val="02D505AD"/>
    <w:rsid w:val="03365B5E"/>
    <w:rsid w:val="034E4AD1"/>
    <w:rsid w:val="037E0789"/>
    <w:rsid w:val="03913FFC"/>
    <w:rsid w:val="03DB7831"/>
    <w:rsid w:val="04CF1FA6"/>
    <w:rsid w:val="056E5657"/>
    <w:rsid w:val="05AD05DE"/>
    <w:rsid w:val="05BD3D79"/>
    <w:rsid w:val="05D1541D"/>
    <w:rsid w:val="0621639E"/>
    <w:rsid w:val="062C42CE"/>
    <w:rsid w:val="06764670"/>
    <w:rsid w:val="06867FD2"/>
    <w:rsid w:val="068A6E34"/>
    <w:rsid w:val="06B12B65"/>
    <w:rsid w:val="06BD3726"/>
    <w:rsid w:val="071D689A"/>
    <w:rsid w:val="07887E6F"/>
    <w:rsid w:val="07994E3B"/>
    <w:rsid w:val="07A02A3F"/>
    <w:rsid w:val="07A40F48"/>
    <w:rsid w:val="07F651C7"/>
    <w:rsid w:val="080A468F"/>
    <w:rsid w:val="0854758E"/>
    <w:rsid w:val="08992D34"/>
    <w:rsid w:val="08C86899"/>
    <w:rsid w:val="09132265"/>
    <w:rsid w:val="09D92A42"/>
    <w:rsid w:val="09FE79EC"/>
    <w:rsid w:val="0AB319EF"/>
    <w:rsid w:val="0ABC363A"/>
    <w:rsid w:val="0AD8294B"/>
    <w:rsid w:val="0B374A26"/>
    <w:rsid w:val="0B4B3B00"/>
    <w:rsid w:val="0B8A23C1"/>
    <w:rsid w:val="0BAE3813"/>
    <w:rsid w:val="0BFF003E"/>
    <w:rsid w:val="0C9413AC"/>
    <w:rsid w:val="0CFF0F1B"/>
    <w:rsid w:val="0D4D2FC1"/>
    <w:rsid w:val="0E0362D5"/>
    <w:rsid w:val="0E966A8C"/>
    <w:rsid w:val="0E9C279A"/>
    <w:rsid w:val="0EB36461"/>
    <w:rsid w:val="0EE61CD2"/>
    <w:rsid w:val="0F0A004B"/>
    <w:rsid w:val="0F655282"/>
    <w:rsid w:val="0F6D24BC"/>
    <w:rsid w:val="0F7D537E"/>
    <w:rsid w:val="0FBC4A1F"/>
    <w:rsid w:val="0FE97C61"/>
    <w:rsid w:val="10007707"/>
    <w:rsid w:val="10B2533E"/>
    <w:rsid w:val="11072A94"/>
    <w:rsid w:val="11AB711C"/>
    <w:rsid w:val="11EB7CC0"/>
    <w:rsid w:val="12A21019"/>
    <w:rsid w:val="12D9220E"/>
    <w:rsid w:val="12F015A0"/>
    <w:rsid w:val="132711CC"/>
    <w:rsid w:val="13D157F4"/>
    <w:rsid w:val="143E4A1F"/>
    <w:rsid w:val="14477BA7"/>
    <w:rsid w:val="157923E7"/>
    <w:rsid w:val="162C6AF9"/>
    <w:rsid w:val="163E3563"/>
    <w:rsid w:val="169263C8"/>
    <w:rsid w:val="16A61788"/>
    <w:rsid w:val="16AF4856"/>
    <w:rsid w:val="16FC471D"/>
    <w:rsid w:val="170045BA"/>
    <w:rsid w:val="174D6D27"/>
    <w:rsid w:val="174D7871"/>
    <w:rsid w:val="17666D47"/>
    <w:rsid w:val="176F0FD8"/>
    <w:rsid w:val="17732C32"/>
    <w:rsid w:val="178521C3"/>
    <w:rsid w:val="17884203"/>
    <w:rsid w:val="18BC4109"/>
    <w:rsid w:val="18D23988"/>
    <w:rsid w:val="193260E4"/>
    <w:rsid w:val="19835197"/>
    <w:rsid w:val="19A11C2E"/>
    <w:rsid w:val="1A1C3150"/>
    <w:rsid w:val="1A4F2C83"/>
    <w:rsid w:val="1AA839EE"/>
    <w:rsid w:val="1AD2708F"/>
    <w:rsid w:val="1AD75285"/>
    <w:rsid w:val="1AE6196C"/>
    <w:rsid w:val="1B193AF0"/>
    <w:rsid w:val="1B5508A0"/>
    <w:rsid w:val="1B5F5046"/>
    <w:rsid w:val="1B9509DF"/>
    <w:rsid w:val="1BA002D8"/>
    <w:rsid w:val="1C493F61"/>
    <w:rsid w:val="1CAC4347"/>
    <w:rsid w:val="1D1C1092"/>
    <w:rsid w:val="1D513C50"/>
    <w:rsid w:val="1D605A5A"/>
    <w:rsid w:val="1D812873"/>
    <w:rsid w:val="1DDF4451"/>
    <w:rsid w:val="1DE2466D"/>
    <w:rsid w:val="1DFD1285"/>
    <w:rsid w:val="1E4E1D03"/>
    <w:rsid w:val="1EC70509"/>
    <w:rsid w:val="1EDB68C1"/>
    <w:rsid w:val="1EE6018D"/>
    <w:rsid w:val="1F4A0271"/>
    <w:rsid w:val="1FA5245A"/>
    <w:rsid w:val="1FC7762D"/>
    <w:rsid w:val="2000702C"/>
    <w:rsid w:val="205C376D"/>
    <w:rsid w:val="20607ACB"/>
    <w:rsid w:val="20677E3C"/>
    <w:rsid w:val="20733730"/>
    <w:rsid w:val="209429D0"/>
    <w:rsid w:val="20A83FAF"/>
    <w:rsid w:val="20CE42A1"/>
    <w:rsid w:val="215025DE"/>
    <w:rsid w:val="21CC717D"/>
    <w:rsid w:val="22424AA4"/>
    <w:rsid w:val="228C104B"/>
    <w:rsid w:val="22934188"/>
    <w:rsid w:val="22F62B8A"/>
    <w:rsid w:val="23151041"/>
    <w:rsid w:val="23254D08"/>
    <w:rsid w:val="23534E2B"/>
    <w:rsid w:val="23615C04"/>
    <w:rsid w:val="242C02D7"/>
    <w:rsid w:val="24533DC2"/>
    <w:rsid w:val="24BE643D"/>
    <w:rsid w:val="2532334D"/>
    <w:rsid w:val="259B3353"/>
    <w:rsid w:val="26750FF7"/>
    <w:rsid w:val="26C85C71"/>
    <w:rsid w:val="27194423"/>
    <w:rsid w:val="27206206"/>
    <w:rsid w:val="27290FC5"/>
    <w:rsid w:val="27BE48EB"/>
    <w:rsid w:val="280F2F92"/>
    <w:rsid w:val="289D741C"/>
    <w:rsid w:val="28BC3D0D"/>
    <w:rsid w:val="28FE41FC"/>
    <w:rsid w:val="29345C52"/>
    <w:rsid w:val="2996274E"/>
    <w:rsid w:val="29A1557D"/>
    <w:rsid w:val="29BD7D3C"/>
    <w:rsid w:val="2A4648B7"/>
    <w:rsid w:val="2A9A62D0"/>
    <w:rsid w:val="2B005440"/>
    <w:rsid w:val="2BCA6741"/>
    <w:rsid w:val="2C03574A"/>
    <w:rsid w:val="2C0A4EA8"/>
    <w:rsid w:val="2C7B3B05"/>
    <w:rsid w:val="2CC277F5"/>
    <w:rsid w:val="2CEA709A"/>
    <w:rsid w:val="2D39592C"/>
    <w:rsid w:val="2E0C4DEE"/>
    <w:rsid w:val="2E5E7AF7"/>
    <w:rsid w:val="2E9F2106"/>
    <w:rsid w:val="2EE73822"/>
    <w:rsid w:val="2FA80D19"/>
    <w:rsid w:val="2FAD4FD9"/>
    <w:rsid w:val="2FB346FB"/>
    <w:rsid w:val="2FFA5778"/>
    <w:rsid w:val="30495C84"/>
    <w:rsid w:val="30650005"/>
    <w:rsid w:val="307142BA"/>
    <w:rsid w:val="310333AD"/>
    <w:rsid w:val="3126266B"/>
    <w:rsid w:val="31522189"/>
    <w:rsid w:val="318E0F10"/>
    <w:rsid w:val="31DB0550"/>
    <w:rsid w:val="32531113"/>
    <w:rsid w:val="329E6CD8"/>
    <w:rsid w:val="32AE0B6A"/>
    <w:rsid w:val="32E77BD8"/>
    <w:rsid w:val="33440753"/>
    <w:rsid w:val="33492641"/>
    <w:rsid w:val="334B4AB3"/>
    <w:rsid w:val="33773E42"/>
    <w:rsid w:val="34367069"/>
    <w:rsid w:val="34A5652B"/>
    <w:rsid w:val="34E14EA2"/>
    <w:rsid w:val="34E346A0"/>
    <w:rsid w:val="359B1151"/>
    <w:rsid w:val="35A41DB0"/>
    <w:rsid w:val="35AD49A2"/>
    <w:rsid w:val="35BC534C"/>
    <w:rsid w:val="36172BC3"/>
    <w:rsid w:val="36721EAF"/>
    <w:rsid w:val="36CC7C95"/>
    <w:rsid w:val="36E076F0"/>
    <w:rsid w:val="36EB650A"/>
    <w:rsid w:val="375B1FDF"/>
    <w:rsid w:val="378133A9"/>
    <w:rsid w:val="383A233E"/>
    <w:rsid w:val="39101F1B"/>
    <w:rsid w:val="392D7EB3"/>
    <w:rsid w:val="39643D30"/>
    <w:rsid w:val="39720FC7"/>
    <w:rsid w:val="39987E7E"/>
    <w:rsid w:val="39A84137"/>
    <w:rsid w:val="39CD52E9"/>
    <w:rsid w:val="3A1C0AAF"/>
    <w:rsid w:val="3A575643"/>
    <w:rsid w:val="3A64388F"/>
    <w:rsid w:val="3AB02FA5"/>
    <w:rsid w:val="3B0A0734"/>
    <w:rsid w:val="3B0B043D"/>
    <w:rsid w:val="3B702E61"/>
    <w:rsid w:val="3B9710EF"/>
    <w:rsid w:val="3BDF2457"/>
    <w:rsid w:val="3BDF7FE6"/>
    <w:rsid w:val="3BF1014F"/>
    <w:rsid w:val="3CC36DCD"/>
    <w:rsid w:val="3D23372C"/>
    <w:rsid w:val="3D2823FA"/>
    <w:rsid w:val="3D581DFE"/>
    <w:rsid w:val="3D6A4AAA"/>
    <w:rsid w:val="3DF80C94"/>
    <w:rsid w:val="3DFD4754"/>
    <w:rsid w:val="3E064F5A"/>
    <w:rsid w:val="3E161B6B"/>
    <w:rsid w:val="3E496B6B"/>
    <w:rsid w:val="3E7F5998"/>
    <w:rsid w:val="3EED6576"/>
    <w:rsid w:val="3F0056DB"/>
    <w:rsid w:val="3F0156C1"/>
    <w:rsid w:val="3F1A3023"/>
    <w:rsid w:val="3F2165EC"/>
    <w:rsid w:val="3F243A9D"/>
    <w:rsid w:val="3FC26720"/>
    <w:rsid w:val="40260F22"/>
    <w:rsid w:val="402B33C8"/>
    <w:rsid w:val="40350295"/>
    <w:rsid w:val="406E1D8D"/>
    <w:rsid w:val="42053C57"/>
    <w:rsid w:val="42214BD9"/>
    <w:rsid w:val="42324DFA"/>
    <w:rsid w:val="42AF59D8"/>
    <w:rsid w:val="431353F3"/>
    <w:rsid w:val="43455446"/>
    <w:rsid w:val="443335B2"/>
    <w:rsid w:val="4450382F"/>
    <w:rsid w:val="44DA072F"/>
    <w:rsid w:val="454D0F8E"/>
    <w:rsid w:val="45FC0A54"/>
    <w:rsid w:val="461D469A"/>
    <w:rsid w:val="466976E6"/>
    <w:rsid w:val="46D32596"/>
    <w:rsid w:val="46EA0CE7"/>
    <w:rsid w:val="470D4256"/>
    <w:rsid w:val="472208AE"/>
    <w:rsid w:val="47704C41"/>
    <w:rsid w:val="47755C7D"/>
    <w:rsid w:val="477F6C5D"/>
    <w:rsid w:val="47B925F3"/>
    <w:rsid w:val="48005C1C"/>
    <w:rsid w:val="48771F96"/>
    <w:rsid w:val="48910AEC"/>
    <w:rsid w:val="489D725F"/>
    <w:rsid w:val="48B3170D"/>
    <w:rsid w:val="493C7DE9"/>
    <w:rsid w:val="49D62B33"/>
    <w:rsid w:val="4A1E13B4"/>
    <w:rsid w:val="4A2C49B0"/>
    <w:rsid w:val="4A7D1B0F"/>
    <w:rsid w:val="4AAC50D1"/>
    <w:rsid w:val="4AF64A04"/>
    <w:rsid w:val="4AFA44F5"/>
    <w:rsid w:val="4B0C37B9"/>
    <w:rsid w:val="4B944949"/>
    <w:rsid w:val="4BC33B49"/>
    <w:rsid w:val="4BD12EAB"/>
    <w:rsid w:val="4C5A2B74"/>
    <w:rsid w:val="4D2D20D9"/>
    <w:rsid w:val="4D317F76"/>
    <w:rsid w:val="4D3C69F8"/>
    <w:rsid w:val="4D784E5B"/>
    <w:rsid w:val="4DA074F7"/>
    <w:rsid w:val="4DA33F07"/>
    <w:rsid w:val="4DDE52C0"/>
    <w:rsid w:val="4EDD03B5"/>
    <w:rsid w:val="4F337FD5"/>
    <w:rsid w:val="4F526BF1"/>
    <w:rsid w:val="4FC2427A"/>
    <w:rsid w:val="50666C7A"/>
    <w:rsid w:val="50A0169A"/>
    <w:rsid w:val="50A1397F"/>
    <w:rsid w:val="51C75DFE"/>
    <w:rsid w:val="51E92A62"/>
    <w:rsid w:val="526B0A11"/>
    <w:rsid w:val="52741FCB"/>
    <w:rsid w:val="52CA1464"/>
    <w:rsid w:val="52D06B10"/>
    <w:rsid w:val="52D52291"/>
    <w:rsid w:val="53112879"/>
    <w:rsid w:val="533D58C6"/>
    <w:rsid w:val="53536515"/>
    <w:rsid w:val="536B21BA"/>
    <w:rsid w:val="53A862CC"/>
    <w:rsid w:val="542645AC"/>
    <w:rsid w:val="542A0FDA"/>
    <w:rsid w:val="545729B8"/>
    <w:rsid w:val="546C11F4"/>
    <w:rsid w:val="546E1AAF"/>
    <w:rsid w:val="54857525"/>
    <w:rsid w:val="54E018B4"/>
    <w:rsid w:val="54ED53D0"/>
    <w:rsid w:val="55091CCC"/>
    <w:rsid w:val="5526167B"/>
    <w:rsid w:val="55C67DF5"/>
    <w:rsid w:val="55FA184D"/>
    <w:rsid w:val="56307253"/>
    <w:rsid w:val="56453199"/>
    <w:rsid w:val="56B372F8"/>
    <w:rsid w:val="574A2360"/>
    <w:rsid w:val="582F6DAB"/>
    <w:rsid w:val="58366D88"/>
    <w:rsid w:val="588910E4"/>
    <w:rsid w:val="58977827"/>
    <w:rsid w:val="58AD45AF"/>
    <w:rsid w:val="58D4718C"/>
    <w:rsid w:val="59274DA4"/>
    <w:rsid w:val="59684D1F"/>
    <w:rsid w:val="597131E7"/>
    <w:rsid w:val="599211F9"/>
    <w:rsid w:val="59A82CA5"/>
    <w:rsid w:val="5ABD109B"/>
    <w:rsid w:val="5AD514E8"/>
    <w:rsid w:val="5AD536B4"/>
    <w:rsid w:val="5AEA4CCC"/>
    <w:rsid w:val="5B031B11"/>
    <w:rsid w:val="5B2C4517"/>
    <w:rsid w:val="5B96574B"/>
    <w:rsid w:val="5C2A4141"/>
    <w:rsid w:val="5C5A652B"/>
    <w:rsid w:val="5CE305DA"/>
    <w:rsid w:val="5D3E5EBD"/>
    <w:rsid w:val="5DDD75C3"/>
    <w:rsid w:val="5DE138D8"/>
    <w:rsid w:val="5E1921ED"/>
    <w:rsid w:val="5E323B4E"/>
    <w:rsid w:val="5EF07A1A"/>
    <w:rsid w:val="5F7D5E8E"/>
    <w:rsid w:val="5F7F522A"/>
    <w:rsid w:val="5FD72BFF"/>
    <w:rsid w:val="5FFC4413"/>
    <w:rsid w:val="601337BB"/>
    <w:rsid w:val="60762DC3"/>
    <w:rsid w:val="60D51B2B"/>
    <w:rsid w:val="617F2D1C"/>
    <w:rsid w:val="618478E3"/>
    <w:rsid w:val="61891CD7"/>
    <w:rsid w:val="61BA6334"/>
    <w:rsid w:val="62312A9A"/>
    <w:rsid w:val="6283706E"/>
    <w:rsid w:val="62A87E16"/>
    <w:rsid w:val="62C43294"/>
    <w:rsid w:val="62CA561A"/>
    <w:rsid w:val="6313315F"/>
    <w:rsid w:val="637172BE"/>
    <w:rsid w:val="63CD6C1F"/>
    <w:rsid w:val="64813139"/>
    <w:rsid w:val="648844C8"/>
    <w:rsid w:val="64A56430"/>
    <w:rsid w:val="65BB2793"/>
    <w:rsid w:val="65DD5A8E"/>
    <w:rsid w:val="667027CF"/>
    <w:rsid w:val="6688694C"/>
    <w:rsid w:val="66B22301"/>
    <w:rsid w:val="66CB0FA5"/>
    <w:rsid w:val="66D41C46"/>
    <w:rsid w:val="670D4A21"/>
    <w:rsid w:val="67445EA3"/>
    <w:rsid w:val="67B6759E"/>
    <w:rsid w:val="68076E78"/>
    <w:rsid w:val="68245589"/>
    <w:rsid w:val="68777DD2"/>
    <w:rsid w:val="68CF442F"/>
    <w:rsid w:val="69605A13"/>
    <w:rsid w:val="69983CE0"/>
    <w:rsid w:val="6A1C1694"/>
    <w:rsid w:val="6A751DB0"/>
    <w:rsid w:val="6AB95533"/>
    <w:rsid w:val="6B037E0E"/>
    <w:rsid w:val="6B492C83"/>
    <w:rsid w:val="6BDD2B0A"/>
    <w:rsid w:val="6BDE41BB"/>
    <w:rsid w:val="6BF40AC7"/>
    <w:rsid w:val="6C5462A8"/>
    <w:rsid w:val="6C7041BF"/>
    <w:rsid w:val="6C917FD7"/>
    <w:rsid w:val="6DEE183F"/>
    <w:rsid w:val="6E031386"/>
    <w:rsid w:val="6F3574FF"/>
    <w:rsid w:val="6F6F7A6D"/>
    <w:rsid w:val="6F711F0A"/>
    <w:rsid w:val="6FBB0862"/>
    <w:rsid w:val="70106954"/>
    <w:rsid w:val="71094F85"/>
    <w:rsid w:val="71712709"/>
    <w:rsid w:val="71BB7860"/>
    <w:rsid w:val="71C1726B"/>
    <w:rsid w:val="72440385"/>
    <w:rsid w:val="72CC236B"/>
    <w:rsid w:val="73761484"/>
    <w:rsid w:val="73EA0CFB"/>
    <w:rsid w:val="743F3C99"/>
    <w:rsid w:val="74835482"/>
    <w:rsid w:val="74877DC7"/>
    <w:rsid w:val="74DB35C2"/>
    <w:rsid w:val="75812F99"/>
    <w:rsid w:val="75890D8F"/>
    <w:rsid w:val="75B043EA"/>
    <w:rsid w:val="76D90F68"/>
    <w:rsid w:val="77280C7C"/>
    <w:rsid w:val="77660E93"/>
    <w:rsid w:val="77A613DD"/>
    <w:rsid w:val="77BB58EB"/>
    <w:rsid w:val="77C1540B"/>
    <w:rsid w:val="783E7320"/>
    <w:rsid w:val="78C43643"/>
    <w:rsid w:val="78CB19C0"/>
    <w:rsid w:val="78F35EFE"/>
    <w:rsid w:val="78FF5669"/>
    <w:rsid w:val="793275BA"/>
    <w:rsid w:val="79A724F1"/>
    <w:rsid w:val="79B53B59"/>
    <w:rsid w:val="79C1605A"/>
    <w:rsid w:val="7A4B7878"/>
    <w:rsid w:val="7A6D100D"/>
    <w:rsid w:val="7B4231CA"/>
    <w:rsid w:val="7B946370"/>
    <w:rsid w:val="7C3F1529"/>
    <w:rsid w:val="7C5F16F8"/>
    <w:rsid w:val="7C6929D9"/>
    <w:rsid w:val="7C9D3E10"/>
    <w:rsid w:val="7CAF2E48"/>
    <w:rsid w:val="7CB122FF"/>
    <w:rsid w:val="7D2A1333"/>
    <w:rsid w:val="7DA05FAF"/>
    <w:rsid w:val="7DBA67DE"/>
    <w:rsid w:val="7DF53ACA"/>
    <w:rsid w:val="7DF7159A"/>
    <w:rsid w:val="7E601288"/>
    <w:rsid w:val="7E7C50A3"/>
    <w:rsid w:val="7F0E4C61"/>
    <w:rsid w:val="7F7F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420"/>
    </w:pPr>
  </w:style>
  <w:style w:type="paragraph" w:customStyle="1" w:styleId="3">
    <w:name w:val="正文文本缩进1"/>
    <w:basedOn w:val="1"/>
    <w:next w:val="4"/>
    <w:qFormat/>
    <w:uiPriority w:val="0"/>
    <w:pPr>
      <w:spacing w:after="120"/>
      <w:ind w:left="420"/>
    </w:pPr>
  </w:style>
  <w:style w:type="paragraph" w:customStyle="1" w:styleId="4">
    <w:name w:val="寄信人地址1"/>
    <w:basedOn w:val="1"/>
    <w:qFormat/>
    <w:uiPriority w:val="0"/>
    <w:rPr>
      <w:rFonts w:ascii="Arial" w:hAnsi="Arial"/>
    </w:rPr>
  </w:style>
  <w:style w:type="paragraph" w:styleId="7">
    <w:name w:val="Normal Indent"/>
    <w:basedOn w:val="1"/>
    <w:qFormat/>
    <w:uiPriority w:val="99"/>
    <w:pPr>
      <w:spacing w:line="400" w:lineRule="exact"/>
      <w:ind w:firstLine="200" w:firstLineChars="200"/>
    </w:pPr>
    <w:rPr>
      <w:rFonts w:ascii="宋体"/>
    </w:rPr>
  </w:style>
  <w:style w:type="paragraph" w:styleId="8">
    <w:name w:val="annotation text"/>
    <w:basedOn w:val="1"/>
    <w:autoRedefine/>
    <w:qFormat/>
    <w:uiPriority w:val="0"/>
    <w:pPr>
      <w:jc w:val="left"/>
    </w:pPr>
  </w:style>
  <w:style w:type="paragraph" w:styleId="9">
    <w:name w:val="Body Text"/>
    <w:basedOn w:val="1"/>
    <w:semiHidden/>
    <w:qFormat/>
    <w:uiPriority w:val="0"/>
    <w:rPr>
      <w:rFonts w:ascii="仿宋" w:hAnsi="仿宋" w:eastAsia="仿宋" w:cs="仿宋"/>
      <w:sz w:val="31"/>
      <w:szCs w:val="31"/>
      <w:lang w:val="en-US" w:eastAsia="en-US" w:bidi="ar-SA"/>
    </w:rPr>
  </w:style>
  <w:style w:type="paragraph" w:styleId="10">
    <w:name w:val="Plain Text"/>
    <w:basedOn w:val="1"/>
    <w:qFormat/>
    <w:uiPriority w:val="0"/>
    <w:rPr>
      <w:rFonts w:ascii="宋体" w:hAnsi="Courier New"/>
      <w:szCs w:val="20"/>
    </w:rPr>
  </w:style>
  <w:style w:type="paragraph" w:styleId="11">
    <w:name w:val="footer"/>
    <w:basedOn w:val="1"/>
    <w:link w:val="19"/>
    <w:autoRedefine/>
    <w:qFormat/>
    <w:uiPriority w:val="0"/>
    <w:pPr>
      <w:tabs>
        <w:tab w:val="center" w:pos="4153"/>
        <w:tab w:val="right" w:pos="8306"/>
      </w:tabs>
      <w:snapToGrid w:val="0"/>
      <w:jc w:val="left"/>
    </w:pPr>
    <w:rPr>
      <w:sz w:val="18"/>
      <w:szCs w:val="18"/>
    </w:rPr>
  </w:style>
  <w:style w:type="paragraph" w:styleId="12">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ind w:left="200" w:leftChars="200"/>
    </w:pPr>
  </w:style>
  <w:style w:type="paragraph" w:styleId="14">
    <w:name w:val="Normal (Web)"/>
    <w:basedOn w:val="1"/>
    <w:autoRedefine/>
    <w:qFormat/>
    <w:uiPriority w:val="0"/>
    <w:pPr>
      <w:spacing w:beforeAutospacing="1" w:afterAutospacing="1"/>
      <w:jc w:val="left"/>
    </w:pPr>
    <w:rPr>
      <w:rFonts w:cs="Times New Roman"/>
      <w:kern w:val="0"/>
      <w:sz w:val="24"/>
    </w:rPr>
  </w:style>
  <w:style w:type="paragraph" w:customStyle="1" w:styleId="17">
    <w:name w:val="Default"/>
    <w:basedOn w:val="1"/>
    <w:semiHidden/>
    <w:qFormat/>
    <w:uiPriority w:val="0"/>
    <w:pPr>
      <w:autoSpaceDE w:val="0"/>
      <w:autoSpaceDN w:val="0"/>
      <w:adjustRightInd w:val="0"/>
      <w:jc w:val="left"/>
    </w:pPr>
    <w:rPr>
      <w:rFonts w:ascii="宋体" w:hAnsi="Calibri" w:cs="宋体"/>
      <w:color w:val="000000"/>
      <w:kern w:val="0"/>
      <w:sz w:val="24"/>
    </w:rPr>
  </w:style>
  <w:style w:type="character" w:customStyle="1" w:styleId="18">
    <w:name w:val="页眉 Char"/>
    <w:basedOn w:val="16"/>
    <w:link w:val="12"/>
    <w:autoRedefine/>
    <w:qFormat/>
    <w:uiPriority w:val="0"/>
    <w:rPr>
      <w:rFonts w:asciiTheme="minorHAnsi" w:hAnsiTheme="minorHAnsi" w:eastAsiaTheme="minorEastAsia" w:cstheme="minorBidi"/>
      <w:kern w:val="2"/>
      <w:sz w:val="18"/>
      <w:szCs w:val="18"/>
    </w:rPr>
  </w:style>
  <w:style w:type="character" w:customStyle="1" w:styleId="19">
    <w:name w:val="页脚 Char"/>
    <w:basedOn w:val="16"/>
    <w:link w:val="11"/>
    <w:autoRedefine/>
    <w:qFormat/>
    <w:uiPriority w:val="0"/>
    <w:rPr>
      <w:rFonts w:asciiTheme="minorHAnsi" w:hAnsiTheme="minorHAnsi" w:eastAsiaTheme="minorEastAsia" w:cstheme="minorBidi"/>
      <w:kern w:val="2"/>
      <w:sz w:val="18"/>
      <w:szCs w:val="18"/>
    </w:rPr>
  </w:style>
  <w:style w:type="paragraph" w:customStyle="1" w:styleId="20">
    <w:name w:val="普通正文"/>
    <w:basedOn w:val="1"/>
    <w:autoRedefine/>
    <w:qFormat/>
    <w:uiPriority w:val="0"/>
    <w:pPr>
      <w:adjustRightInd w:val="0"/>
      <w:spacing w:before="120" w:after="120" w:line="360" w:lineRule="auto"/>
      <w:ind w:firstLine="480"/>
      <w:jc w:val="left"/>
    </w:pPr>
    <w:rPr>
      <w:rFonts w:ascii="Arial" w:hAnsi="Arial" w:eastAsia="等线" w:cs="Arial"/>
      <w:sz w:val="24"/>
      <w:szCs w:val="24"/>
    </w:rPr>
  </w:style>
  <w:style w:type="paragraph" w:customStyle="1" w:styleId="21">
    <w:name w:val="正文 A"/>
    <w:next w:val="1"/>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lang w:val="en-US" w:eastAsia="zh-CN" w:bidi="ar-SA"/>
    </w:rPr>
  </w:style>
  <w:style w:type="paragraph" w:customStyle="1" w:styleId="22">
    <w:name w:val="普通(网站)1"/>
    <w:basedOn w:val="1"/>
    <w:qFormat/>
    <w:uiPriority w:val="99"/>
    <w:pPr>
      <w:widowControl/>
      <w:spacing w:before="100" w:beforeAutospacing="1" w:after="100" w:afterAutospacing="1"/>
      <w:jc w:val="left"/>
    </w:pPr>
    <w:rPr>
      <w:rFonts w:ascii="Times New Roman" w:hAnsi="Times New Roman" w:eastAsia="宋体" w:cs="Times New Roman"/>
      <w:sz w:val="24"/>
      <w:szCs w:val="24"/>
    </w:rPr>
  </w:style>
  <w:style w:type="paragraph" w:customStyle="1" w:styleId="23">
    <w:name w:val="列出段落1"/>
    <w:basedOn w:val="1"/>
    <w:autoRedefine/>
    <w:qFormat/>
    <w:uiPriority w:val="34"/>
    <w:pPr>
      <w:ind w:firstLine="420" w:firstLineChars="200"/>
    </w:pPr>
  </w:style>
  <w:style w:type="paragraph" w:customStyle="1" w:styleId="24">
    <w:name w:val="正文文本1"/>
    <w:basedOn w:val="1"/>
    <w:next w:val="1"/>
    <w:qFormat/>
    <w:uiPriority w:val="0"/>
    <w:pPr>
      <w:tabs>
        <w:tab w:val="left" w:pos="567"/>
      </w:tabs>
      <w:spacing w:before="120" w:line="22" w:lineRule="atLeast"/>
    </w:pPr>
    <w:rPr>
      <w:rFonts w:ascii="宋体" w:hAnsi="宋体"/>
      <w:sz w:val="24"/>
    </w:rPr>
  </w:style>
  <w:style w:type="paragraph" w:customStyle="1" w:styleId="25">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42</Pages>
  <Words>936</Words>
  <Characters>1052</Characters>
  <Lines>167</Lines>
  <Paragraphs>47</Paragraphs>
  <TotalTime>3</TotalTime>
  <ScaleCrop>false</ScaleCrop>
  <LinksUpToDate>false</LinksUpToDate>
  <CharactersWithSpaces>1113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正式环境陈艳测试账号</dc:creator>
  <cp:lastModifiedBy>亭湖咨询--吉</cp:lastModifiedBy>
  <cp:lastPrinted>2025-09-23T02:24:00Z</cp:lastPrinted>
  <dcterms:modified xsi:type="dcterms:W3CDTF">2025-09-28T09:25:15Z</dcterms:modified>
  <cp:revision>272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65759699444F44BBBFCCC89CEABA8F49_13</vt:lpwstr>
  </property>
  <property fmtid="{D5CDD505-2E9C-101B-9397-08002B2CF9AE}" pid="4" name="KSOTemplateDocerSaveRecord">
    <vt:lpwstr>eyJoZGlkIjoiNTdiOTFlMGIyODhkYTI1OGVhYTA5ZTBlNzYwMGUwMGQiLCJ1c2VySWQiOiI1MTE4MDI5NjEifQ==</vt:lpwstr>
  </property>
</Properties>
</file>