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F8BA11">
      <w:pPr>
        <w:pStyle w:val="14"/>
        <w:spacing w:before="120" w:beforeAutospacing="0" w:after="120" w:afterAutospacing="0" w:line="360" w:lineRule="auto"/>
        <w:rPr>
          <w:color w:val="auto"/>
          <w:highlight w:val="none"/>
        </w:rPr>
      </w:pPr>
      <w:r>
        <w:rPr>
          <w:color w:val="auto"/>
          <w:highlight w:val="none"/>
        </w:rPr>
        <w:t> </w:t>
      </w:r>
    </w:p>
    <w:p w14:paraId="0748D618">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920" w:lineRule="exact"/>
        <w:ind w:left="0" w:right="0" w:firstLine="1687" w:firstLineChars="200"/>
        <w:jc w:val="left"/>
        <w:textAlignment w:val="auto"/>
        <w:outlineLvl w:val="9"/>
        <w:rPr>
          <w:color w:val="auto"/>
          <w:highlight w:val="none"/>
        </w:rPr>
      </w:pPr>
      <w:r>
        <w:rPr>
          <w:rFonts w:ascii="Arial" w:hAnsi="Arial" w:cs="Arial"/>
          <w:b/>
          <w:color w:val="auto"/>
          <w:sz w:val="84"/>
          <w:szCs w:val="84"/>
          <w:highlight w:val="none"/>
        </w:rPr>
        <w:t>招 标 文 件</w:t>
      </w:r>
    </w:p>
    <w:p w14:paraId="5128588C">
      <w:pPr>
        <w:pageBreakBefore w:val="0"/>
        <w:kinsoku/>
        <w:wordWrap/>
        <w:overflowPunct/>
        <w:bidi w:val="0"/>
        <w:adjustRightInd w:val="0"/>
        <w:snapToGrid w:val="0"/>
        <w:spacing w:line="500" w:lineRule="exact"/>
        <w:ind w:left="0" w:right="0" w:firstLine="562" w:firstLineChars="200"/>
        <w:jc w:val="center"/>
        <w:textAlignment w:val="auto"/>
        <w:outlineLvl w:val="9"/>
        <w:rPr>
          <w:rFonts w:hint="eastAsia" w:eastAsiaTheme="minorEastAsia"/>
          <w:b/>
          <w:bCs/>
          <w:color w:val="auto"/>
          <w:sz w:val="28"/>
          <w:highlight w:val="none"/>
          <w:lang w:eastAsia="zh-CN"/>
        </w:rPr>
      </w:pPr>
      <w:r>
        <w:rPr>
          <w:rFonts w:hint="eastAsia"/>
          <w:b/>
          <w:bCs/>
          <w:color w:val="auto"/>
          <w:sz w:val="28"/>
          <w:highlight w:val="none"/>
          <w:lang w:eastAsia="zh-CN"/>
        </w:rPr>
        <w:t>（</w:t>
      </w:r>
      <w:r>
        <w:rPr>
          <w:rFonts w:hint="eastAsia"/>
          <w:b/>
          <w:bCs/>
          <w:color w:val="auto"/>
          <w:sz w:val="28"/>
          <w:highlight w:val="none"/>
          <w:lang w:val="en-US" w:eastAsia="zh-CN"/>
        </w:rPr>
        <w:t>第二次</w:t>
      </w:r>
      <w:r>
        <w:rPr>
          <w:rFonts w:hint="eastAsia"/>
          <w:b/>
          <w:bCs/>
          <w:color w:val="auto"/>
          <w:sz w:val="28"/>
          <w:highlight w:val="none"/>
          <w:lang w:eastAsia="zh-CN"/>
        </w:rPr>
        <w:t>）</w:t>
      </w:r>
    </w:p>
    <w:p w14:paraId="1C76723F">
      <w:pPr>
        <w:keepNext w:val="0"/>
        <w:keepLines w:val="0"/>
        <w:pageBreakBefore w:val="0"/>
        <w:widowControl w:val="0"/>
        <w:kinsoku/>
        <w:wordWrap/>
        <w:overflowPunct/>
        <w:topLinePunct w:val="0"/>
        <w:autoSpaceDE/>
        <w:autoSpaceDN/>
        <w:bidi w:val="0"/>
        <w:adjustRightInd w:val="0"/>
        <w:snapToGrid w:val="0"/>
        <w:spacing w:line="500" w:lineRule="exact"/>
        <w:ind w:left="0" w:right="0" w:firstLine="723" w:firstLineChars="200"/>
        <w:jc w:val="left"/>
        <w:textAlignment w:val="auto"/>
        <w:outlineLvl w:val="9"/>
        <w:rPr>
          <w:rFonts w:hint="eastAsia" w:ascii="宋体"/>
          <w:b/>
          <w:color w:val="auto"/>
          <w:sz w:val="36"/>
          <w:highlight w:val="none"/>
        </w:rPr>
      </w:pPr>
    </w:p>
    <w:p w14:paraId="21FEEAAA">
      <w:pPr>
        <w:keepNext w:val="0"/>
        <w:keepLines w:val="0"/>
        <w:pageBreakBefore w:val="0"/>
        <w:widowControl w:val="0"/>
        <w:kinsoku/>
        <w:wordWrap/>
        <w:overflowPunct/>
        <w:topLinePunct w:val="0"/>
        <w:autoSpaceDE/>
        <w:autoSpaceDN/>
        <w:bidi w:val="0"/>
        <w:adjustRightInd w:val="0"/>
        <w:snapToGrid w:val="0"/>
        <w:spacing w:line="500" w:lineRule="exact"/>
        <w:ind w:right="0" w:firstLine="900" w:firstLineChars="300"/>
        <w:jc w:val="left"/>
        <w:textAlignment w:val="auto"/>
        <w:outlineLvl w:val="9"/>
        <w:rPr>
          <w:rFonts w:hint="eastAsia" w:ascii="宋体" w:hAnsi="宋体" w:eastAsia="宋体" w:cs="宋体"/>
          <w:b w:val="0"/>
          <w:bCs/>
          <w:color w:val="auto"/>
          <w:sz w:val="30"/>
          <w:szCs w:val="30"/>
          <w:highlight w:val="none"/>
          <w:lang w:eastAsia="zh-CN"/>
        </w:rPr>
      </w:pPr>
      <w:r>
        <w:rPr>
          <w:rFonts w:hint="eastAsia" w:ascii="宋体" w:hAnsi="宋体" w:eastAsia="宋体" w:cs="宋体"/>
          <w:b w:val="0"/>
          <w:bCs/>
          <w:color w:val="auto"/>
          <w:sz w:val="30"/>
          <w:szCs w:val="30"/>
          <w:highlight w:val="none"/>
        </w:rPr>
        <w:t>项目名称：</w:t>
      </w:r>
      <w:r>
        <w:rPr>
          <w:rFonts w:hint="eastAsia" w:ascii="宋体" w:hAnsi="宋体" w:eastAsia="宋体" w:cs="宋体"/>
          <w:b w:val="0"/>
          <w:bCs/>
          <w:color w:val="auto"/>
          <w:sz w:val="30"/>
          <w:szCs w:val="30"/>
          <w:highlight w:val="none"/>
          <w:lang w:eastAsia="zh-CN"/>
        </w:rPr>
        <w:t>响水县安捷城乡公交有限公司</w:t>
      </w:r>
    </w:p>
    <w:p w14:paraId="21246F1E">
      <w:pPr>
        <w:keepNext w:val="0"/>
        <w:keepLines w:val="0"/>
        <w:pageBreakBefore w:val="0"/>
        <w:widowControl w:val="0"/>
        <w:kinsoku/>
        <w:wordWrap/>
        <w:overflowPunct/>
        <w:topLinePunct w:val="0"/>
        <w:autoSpaceDE/>
        <w:autoSpaceDN/>
        <w:bidi w:val="0"/>
        <w:adjustRightInd w:val="0"/>
        <w:snapToGrid w:val="0"/>
        <w:spacing w:line="500" w:lineRule="exact"/>
        <w:ind w:right="0" w:firstLine="2700" w:firstLineChars="900"/>
        <w:jc w:val="left"/>
        <w:textAlignment w:val="auto"/>
        <w:outlineLvl w:val="9"/>
        <w:rPr>
          <w:rFonts w:hint="eastAsia" w:ascii="宋体" w:hAnsi="宋体" w:eastAsia="宋体" w:cs="宋体"/>
          <w:b w:val="0"/>
          <w:bCs/>
          <w:color w:val="auto"/>
          <w:sz w:val="30"/>
          <w:szCs w:val="30"/>
          <w:highlight w:val="none"/>
        </w:rPr>
      </w:pPr>
      <w:r>
        <w:rPr>
          <w:rFonts w:hint="eastAsia" w:ascii="宋体" w:hAnsi="宋体" w:eastAsia="宋体" w:cs="宋体"/>
          <w:b w:val="0"/>
          <w:bCs/>
          <w:color w:val="auto"/>
          <w:sz w:val="30"/>
          <w:szCs w:val="30"/>
          <w:highlight w:val="none"/>
          <w:lang w:val="en-US" w:eastAsia="zh-CN"/>
        </w:rPr>
        <w:t>车辆保险服务采购项目</w:t>
      </w:r>
    </w:p>
    <w:p w14:paraId="062C3A68">
      <w:pPr>
        <w:pStyle w:val="14"/>
        <w:pageBreakBefore w:val="0"/>
        <w:kinsoku/>
        <w:wordWrap/>
        <w:overflowPunct/>
        <w:bidi w:val="0"/>
        <w:adjustRightInd w:val="0"/>
        <w:snapToGrid w:val="0"/>
        <w:spacing w:beforeAutospacing="0" w:afterAutospacing="0" w:line="500" w:lineRule="exact"/>
        <w:ind w:right="0" w:firstLine="900" w:firstLineChars="300"/>
        <w:jc w:val="left"/>
        <w:textAlignment w:val="auto"/>
        <w:outlineLvl w:val="9"/>
        <w:rPr>
          <w:rFonts w:hint="eastAsia" w:ascii="宋体" w:hAnsi="宋体" w:eastAsia="宋体" w:cs="宋体"/>
          <w:b w:val="0"/>
          <w:bCs/>
          <w:color w:val="auto"/>
          <w:sz w:val="30"/>
          <w:szCs w:val="30"/>
          <w:highlight w:val="none"/>
        </w:rPr>
      </w:pPr>
      <w:r>
        <w:rPr>
          <w:rFonts w:hint="eastAsia" w:ascii="宋体" w:hAnsi="宋体" w:eastAsia="宋体" w:cs="宋体"/>
          <w:b w:val="0"/>
          <w:bCs/>
          <w:color w:val="auto"/>
          <w:sz w:val="30"/>
          <w:szCs w:val="30"/>
          <w:highlight w:val="none"/>
        </w:rPr>
        <w:t>项目编号：</w:t>
      </w:r>
      <w:r>
        <w:rPr>
          <w:rFonts w:hint="eastAsia" w:ascii="宋体" w:hAnsi="宋体" w:eastAsia="宋体" w:cs="宋体"/>
          <w:b w:val="0"/>
          <w:bCs/>
          <w:color w:val="auto"/>
          <w:sz w:val="30"/>
          <w:szCs w:val="30"/>
          <w:highlight w:val="none"/>
          <w:lang w:val="en-US" w:eastAsia="zh-CN"/>
        </w:rPr>
        <w:t>XSX-GQCG-202509015</w:t>
      </w:r>
      <w:r>
        <w:rPr>
          <w:rFonts w:hint="eastAsia" w:ascii="宋体" w:hAnsi="宋体" w:eastAsia="宋体" w:cs="宋体"/>
          <w:b w:val="0"/>
          <w:bCs/>
          <w:color w:val="auto"/>
          <w:sz w:val="30"/>
          <w:szCs w:val="30"/>
          <w:highlight w:val="none"/>
        </w:rPr>
        <w:t> </w:t>
      </w:r>
    </w:p>
    <w:p w14:paraId="24182504">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3C13D1EC">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68483B32">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5C4F9B91">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38DC4F88">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1BABB1B9">
      <w:pPr>
        <w:pageBreakBefore w:val="0"/>
        <w:shd w:val="clear" w:color="auto" w:fill="auto"/>
        <w:kinsoku/>
        <w:wordWrap/>
        <w:overflowPunct/>
        <w:bidi w:val="0"/>
        <w:adjustRightInd w:val="0"/>
        <w:snapToGrid w:val="0"/>
        <w:spacing w:line="500" w:lineRule="exact"/>
        <w:ind w:left="0" w:right="0" w:firstLine="600" w:firstLineChars="200"/>
        <w:jc w:val="left"/>
        <w:textAlignment w:val="auto"/>
        <w:outlineLvl w:val="9"/>
        <w:rPr>
          <w:rFonts w:hint="eastAsia"/>
          <w:color w:val="auto"/>
          <w:sz w:val="30"/>
          <w:szCs w:val="30"/>
          <w:highlight w:val="none"/>
          <w:u w:val="none"/>
        </w:rPr>
      </w:pPr>
    </w:p>
    <w:p w14:paraId="15BCE5AB">
      <w:pPr>
        <w:pageBreakBefore w:val="0"/>
        <w:shd w:val="clear" w:color="auto" w:fill="auto"/>
        <w:kinsoku/>
        <w:wordWrap/>
        <w:overflowPunct/>
        <w:bidi w:val="0"/>
        <w:adjustRightInd w:val="0"/>
        <w:snapToGrid w:val="0"/>
        <w:spacing w:line="500" w:lineRule="exact"/>
        <w:ind w:left="0" w:right="0" w:firstLine="600" w:firstLineChars="200"/>
        <w:jc w:val="left"/>
        <w:textAlignment w:val="auto"/>
        <w:outlineLvl w:val="9"/>
        <w:rPr>
          <w:rFonts w:hint="eastAsia"/>
          <w:color w:val="auto"/>
          <w:sz w:val="30"/>
          <w:szCs w:val="30"/>
          <w:highlight w:val="none"/>
          <w:u w:val="none"/>
        </w:rPr>
      </w:pPr>
    </w:p>
    <w:p w14:paraId="296D77F6">
      <w:pPr>
        <w:pageBreakBefore w:val="0"/>
        <w:shd w:val="clear" w:color="auto" w:fill="auto"/>
        <w:kinsoku/>
        <w:wordWrap/>
        <w:overflowPunct/>
        <w:bidi w:val="0"/>
        <w:adjustRightInd w:val="0"/>
        <w:snapToGrid w:val="0"/>
        <w:spacing w:line="500" w:lineRule="exact"/>
        <w:ind w:left="0" w:right="0" w:firstLine="600" w:firstLineChars="200"/>
        <w:jc w:val="left"/>
        <w:textAlignment w:val="auto"/>
        <w:outlineLvl w:val="9"/>
        <w:rPr>
          <w:rFonts w:hint="eastAsia"/>
          <w:color w:val="auto"/>
          <w:sz w:val="30"/>
          <w:szCs w:val="30"/>
          <w:highlight w:val="none"/>
          <w:u w:val="none"/>
        </w:rPr>
      </w:pPr>
    </w:p>
    <w:p w14:paraId="57AC184A">
      <w:pPr>
        <w:pageBreakBefore w:val="0"/>
        <w:shd w:val="clear" w:color="auto" w:fill="auto"/>
        <w:kinsoku/>
        <w:wordWrap/>
        <w:overflowPunct/>
        <w:bidi w:val="0"/>
        <w:adjustRightInd w:val="0"/>
        <w:snapToGrid w:val="0"/>
        <w:spacing w:line="500" w:lineRule="exact"/>
        <w:ind w:left="0" w:right="0" w:firstLine="600" w:firstLineChars="200"/>
        <w:jc w:val="left"/>
        <w:textAlignment w:val="auto"/>
        <w:outlineLvl w:val="9"/>
        <w:rPr>
          <w:rFonts w:hint="eastAsia"/>
          <w:color w:val="auto"/>
          <w:sz w:val="30"/>
          <w:szCs w:val="30"/>
          <w:highlight w:val="none"/>
          <w:u w:val="none"/>
        </w:rPr>
      </w:pPr>
    </w:p>
    <w:p w14:paraId="3985E555">
      <w:pPr>
        <w:pageBreakBefore w:val="0"/>
        <w:shd w:val="clear" w:color="auto" w:fill="auto"/>
        <w:kinsoku/>
        <w:wordWrap/>
        <w:overflowPunct/>
        <w:bidi w:val="0"/>
        <w:adjustRightInd w:val="0"/>
        <w:snapToGrid w:val="0"/>
        <w:spacing w:line="500" w:lineRule="exact"/>
        <w:ind w:left="0" w:right="0" w:firstLine="600" w:firstLineChars="200"/>
        <w:jc w:val="left"/>
        <w:textAlignment w:val="auto"/>
        <w:outlineLvl w:val="9"/>
        <w:rPr>
          <w:rFonts w:hint="eastAsia"/>
          <w:color w:val="auto"/>
          <w:sz w:val="30"/>
          <w:szCs w:val="30"/>
          <w:highlight w:val="none"/>
          <w:u w:val="none"/>
        </w:rPr>
      </w:pPr>
    </w:p>
    <w:p w14:paraId="6BDAA5DA">
      <w:pPr>
        <w:pageBreakBefore w:val="0"/>
        <w:shd w:val="clear" w:color="auto" w:fill="auto"/>
        <w:kinsoku/>
        <w:wordWrap/>
        <w:overflowPunct/>
        <w:bidi w:val="0"/>
        <w:adjustRightInd w:val="0"/>
        <w:snapToGrid w:val="0"/>
        <w:spacing w:line="500" w:lineRule="exact"/>
        <w:ind w:left="0" w:right="0" w:firstLine="600" w:firstLineChars="200"/>
        <w:jc w:val="left"/>
        <w:textAlignment w:val="auto"/>
        <w:outlineLvl w:val="9"/>
        <w:rPr>
          <w:rFonts w:hint="eastAsia"/>
          <w:color w:val="auto"/>
          <w:sz w:val="30"/>
          <w:szCs w:val="30"/>
          <w:highlight w:val="none"/>
          <w:u w:val="none"/>
        </w:rPr>
      </w:pPr>
    </w:p>
    <w:p w14:paraId="5FECEC6E">
      <w:pPr>
        <w:pageBreakBefore w:val="0"/>
        <w:shd w:val="clear" w:color="auto" w:fill="auto"/>
        <w:kinsoku/>
        <w:wordWrap/>
        <w:overflowPunct/>
        <w:bidi w:val="0"/>
        <w:adjustRightInd w:val="0"/>
        <w:snapToGrid w:val="0"/>
        <w:spacing w:line="500" w:lineRule="exact"/>
        <w:ind w:left="0" w:right="0" w:firstLine="600" w:firstLineChars="200"/>
        <w:jc w:val="left"/>
        <w:textAlignment w:val="auto"/>
        <w:outlineLvl w:val="9"/>
        <w:rPr>
          <w:rFonts w:hint="eastAsia"/>
          <w:color w:val="auto"/>
          <w:sz w:val="30"/>
          <w:szCs w:val="30"/>
          <w:highlight w:val="none"/>
          <w:u w:val="none"/>
        </w:rPr>
      </w:pPr>
    </w:p>
    <w:p w14:paraId="1D9AC726">
      <w:pPr>
        <w:pageBreakBefore w:val="0"/>
        <w:shd w:val="clear" w:color="auto" w:fill="auto"/>
        <w:kinsoku/>
        <w:wordWrap/>
        <w:overflowPunct/>
        <w:bidi w:val="0"/>
        <w:adjustRightInd w:val="0"/>
        <w:snapToGrid w:val="0"/>
        <w:spacing w:line="500" w:lineRule="exact"/>
        <w:ind w:left="0" w:right="0" w:firstLine="600" w:firstLineChars="200"/>
        <w:jc w:val="left"/>
        <w:textAlignment w:val="auto"/>
        <w:outlineLvl w:val="9"/>
        <w:rPr>
          <w:rFonts w:hint="eastAsia"/>
          <w:color w:val="auto"/>
          <w:sz w:val="30"/>
          <w:szCs w:val="30"/>
          <w:highlight w:val="none"/>
          <w:u w:val="none"/>
        </w:rPr>
      </w:pPr>
    </w:p>
    <w:p w14:paraId="423D3178">
      <w:pPr>
        <w:pageBreakBefore w:val="0"/>
        <w:shd w:val="clear" w:color="auto" w:fill="auto"/>
        <w:kinsoku/>
        <w:wordWrap/>
        <w:overflowPunct/>
        <w:bidi w:val="0"/>
        <w:adjustRightInd w:val="0"/>
        <w:snapToGrid w:val="0"/>
        <w:spacing w:line="500" w:lineRule="exact"/>
        <w:ind w:left="0" w:right="0" w:firstLine="600" w:firstLineChars="200"/>
        <w:jc w:val="left"/>
        <w:textAlignment w:val="auto"/>
        <w:outlineLvl w:val="9"/>
        <w:rPr>
          <w:rFonts w:hint="eastAsia"/>
          <w:color w:val="auto"/>
          <w:sz w:val="30"/>
          <w:szCs w:val="30"/>
          <w:highlight w:val="none"/>
          <w:u w:val="none"/>
        </w:rPr>
      </w:pPr>
    </w:p>
    <w:p w14:paraId="349353A1">
      <w:pPr>
        <w:pageBreakBefore w:val="0"/>
        <w:shd w:val="clear" w:color="auto" w:fill="auto"/>
        <w:kinsoku/>
        <w:wordWrap/>
        <w:overflowPunct/>
        <w:bidi w:val="0"/>
        <w:adjustRightInd w:val="0"/>
        <w:snapToGrid w:val="0"/>
        <w:spacing w:line="500" w:lineRule="exact"/>
        <w:ind w:left="0" w:right="0" w:firstLine="600" w:firstLineChars="200"/>
        <w:jc w:val="left"/>
        <w:textAlignment w:val="auto"/>
        <w:outlineLvl w:val="9"/>
        <w:rPr>
          <w:rFonts w:hint="eastAsia"/>
          <w:color w:val="auto"/>
          <w:sz w:val="30"/>
          <w:szCs w:val="30"/>
          <w:highlight w:val="none"/>
          <w:u w:val="none"/>
        </w:rPr>
      </w:pPr>
      <w:r>
        <w:rPr>
          <w:rFonts w:hint="eastAsia"/>
          <w:color w:val="auto"/>
          <w:sz w:val="30"/>
          <w:szCs w:val="30"/>
          <w:highlight w:val="none"/>
          <w:u w:val="none"/>
        </w:rPr>
        <w:t>采购人：</w:t>
      </w:r>
      <w:r>
        <w:rPr>
          <w:rFonts w:hint="eastAsia"/>
          <w:color w:val="auto"/>
          <w:sz w:val="30"/>
          <w:szCs w:val="30"/>
          <w:highlight w:val="none"/>
          <w:u w:val="none"/>
          <w:lang w:eastAsia="zh-CN"/>
        </w:rPr>
        <w:t>响水县安捷城乡公交有限公司</w:t>
      </w:r>
      <w:r>
        <w:rPr>
          <w:rFonts w:hint="eastAsia"/>
          <w:color w:val="auto"/>
          <w:sz w:val="30"/>
          <w:szCs w:val="30"/>
          <w:highlight w:val="none"/>
          <w:u w:val="none"/>
        </w:rPr>
        <w:t>（盖章）</w:t>
      </w:r>
    </w:p>
    <w:p w14:paraId="4AACED9B">
      <w:pPr>
        <w:pStyle w:val="14"/>
        <w:pageBreakBefore w:val="0"/>
        <w:kinsoku/>
        <w:wordWrap/>
        <w:overflowPunct/>
        <w:bidi w:val="0"/>
        <w:adjustRightInd w:val="0"/>
        <w:snapToGrid w:val="0"/>
        <w:spacing w:beforeAutospacing="0" w:afterAutospacing="0" w:line="500" w:lineRule="exact"/>
        <w:ind w:left="0" w:right="0" w:firstLine="600" w:firstLineChars="200"/>
        <w:jc w:val="left"/>
        <w:textAlignment w:val="auto"/>
        <w:outlineLvl w:val="9"/>
        <w:rPr>
          <w:rFonts w:hint="eastAsia"/>
          <w:color w:val="auto"/>
          <w:sz w:val="30"/>
          <w:szCs w:val="30"/>
          <w:highlight w:val="none"/>
          <w:u w:val="none"/>
        </w:rPr>
      </w:pPr>
      <w:r>
        <w:rPr>
          <w:rFonts w:hint="eastAsia"/>
          <w:color w:val="auto"/>
          <w:sz w:val="30"/>
          <w:szCs w:val="30"/>
          <w:highlight w:val="none"/>
          <w:u w:val="none"/>
        </w:rPr>
        <w:t>招标代理机构：江苏航耀项目管理有限公司（盖章）</w:t>
      </w:r>
    </w:p>
    <w:p w14:paraId="593B25DF">
      <w:pPr>
        <w:pStyle w:val="14"/>
        <w:pageBreakBefore w:val="0"/>
        <w:kinsoku/>
        <w:wordWrap/>
        <w:overflowPunct/>
        <w:bidi w:val="0"/>
        <w:adjustRightInd w:val="0"/>
        <w:snapToGrid w:val="0"/>
        <w:spacing w:beforeAutospacing="0" w:afterAutospacing="0" w:line="500" w:lineRule="exact"/>
        <w:ind w:left="0" w:right="0" w:firstLine="2891" w:firstLineChars="900"/>
        <w:jc w:val="left"/>
        <w:textAlignment w:val="auto"/>
        <w:outlineLvl w:val="9"/>
        <w:rPr>
          <w:color w:val="auto"/>
          <w:highlight w:val="none"/>
        </w:rPr>
      </w:pPr>
      <w:r>
        <w:rPr>
          <w:rFonts w:hint="eastAsia" w:ascii="Arial" w:hAnsi="Arial" w:cs="Arial"/>
          <w:b/>
          <w:color w:val="auto"/>
          <w:sz w:val="32"/>
          <w:szCs w:val="32"/>
          <w:highlight w:val="none"/>
          <w:lang w:val="en-US" w:eastAsia="zh-CN"/>
        </w:rPr>
        <w:t>2025</w:t>
      </w:r>
      <w:r>
        <w:rPr>
          <w:rFonts w:ascii="Arial" w:hAnsi="Arial" w:cs="Arial"/>
          <w:b/>
          <w:color w:val="auto"/>
          <w:sz w:val="32"/>
          <w:szCs w:val="32"/>
          <w:highlight w:val="none"/>
        </w:rPr>
        <w:t>年</w:t>
      </w:r>
      <w:r>
        <w:rPr>
          <w:rFonts w:hint="eastAsia" w:ascii="Arial" w:hAnsi="Arial" w:cs="Arial"/>
          <w:b/>
          <w:color w:val="auto"/>
          <w:sz w:val="32"/>
          <w:szCs w:val="32"/>
          <w:highlight w:val="none"/>
          <w:lang w:val="en-US" w:eastAsia="zh-CN"/>
        </w:rPr>
        <w:t>10</w:t>
      </w:r>
      <w:r>
        <w:rPr>
          <w:rFonts w:ascii="Arial" w:hAnsi="Arial" w:cs="Arial"/>
          <w:b/>
          <w:color w:val="auto"/>
          <w:sz w:val="32"/>
          <w:szCs w:val="32"/>
          <w:highlight w:val="none"/>
        </w:rPr>
        <w:t>月</w:t>
      </w:r>
    </w:p>
    <w:p w14:paraId="07289AF9">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rFonts w:ascii="Arial" w:hAnsi="Arial" w:cs="Arial"/>
          <w:color w:val="auto"/>
          <w:highlight w:val="none"/>
        </w:rPr>
        <w:t xml:space="preserve">                        </w:t>
      </w:r>
    </w:p>
    <w:p w14:paraId="0BBA43EB">
      <w:pPr>
        <w:pStyle w:val="14"/>
        <w:pageBreakBefore w:val="0"/>
        <w:kinsoku/>
        <w:wordWrap/>
        <w:overflowPunct/>
        <w:bidi w:val="0"/>
        <w:adjustRightInd w:val="0"/>
        <w:snapToGrid w:val="0"/>
        <w:spacing w:beforeAutospacing="0" w:afterAutospacing="0" w:line="500" w:lineRule="exact"/>
        <w:ind w:left="0" w:right="0" w:firstLine="420" w:firstLineChars="200"/>
        <w:jc w:val="left"/>
        <w:textAlignment w:val="auto"/>
        <w:outlineLvl w:val="9"/>
        <w:rPr>
          <w:rFonts w:ascii="Times New Roman" w:hAnsi="Times New Roman"/>
          <w:color w:val="auto"/>
          <w:sz w:val="21"/>
          <w:szCs w:val="21"/>
          <w:highlight w:val="none"/>
        </w:rPr>
      </w:pPr>
    </w:p>
    <w:p w14:paraId="4A622AB6">
      <w:pPr>
        <w:pStyle w:val="14"/>
        <w:pageBreakBefore w:val="0"/>
        <w:kinsoku/>
        <w:wordWrap/>
        <w:overflowPunct/>
        <w:bidi w:val="0"/>
        <w:adjustRightInd w:val="0"/>
        <w:snapToGrid w:val="0"/>
        <w:spacing w:beforeAutospacing="0" w:afterAutospacing="0" w:line="500" w:lineRule="exact"/>
        <w:ind w:left="0" w:right="0" w:firstLine="420" w:firstLineChars="200"/>
        <w:jc w:val="left"/>
        <w:textAlignment w:val="auto"/>
        <w:outlineLvl w:val="9"/>
        <w:rPr>
          <w:rFonts w:ascii="Times New Roman" w:hAnsi="Times New Roman"/>
          <w:color w:val="auto"/>
          <w:sz w:val="21"/>
          <w:szCs w:val="21"/>
          <w:highlight w:val="none"/>
        </w:rPr>
      </w:pPr>
    </w:p>
    <w:p w14:paraId="10A58234">
      <w:pPr>
        <w:pStyle w:val="14"/>
        <w:pageBreakBefore w:val="0"/>
        <w:kinsoku/>
        <w:wordWrap/>
        <w:overflowPunct/>
        <w:bidi w:val="0"/>
        <w:adjustRightInd w:val="0"/>
        <w:snapToGrid w:val="0"/>
        <w:spacing w:beforeAutospacing="0" w:afterAutospacing="0" w:line="500" w:lineRule="exact"/>
        <w:ind w:left="0" w:right="0" w:firstLine="420" w:firstLineChars="200"/>
        <w:jc w:val="left"/>
        <w:textAlignment w:val="auto"/>
        <w:outlineLvl w:val="9"/>
        <w:rPr>
          <w:rFonts w:ascii="Times New Roman" w:hAnsi="Times New Roman"/>
          <w:color w:val="auto"/>
          <w:sz w:val="21"/>
          <w:szCs w:val="21"/>
          <w:highlight w:val="none"/>
        </w:rPr>
      </w:pPr>
    </w:p>
    <w:p w14:paraId="1C306D57">
      <w:pPr>
        <w:pStyle w:val="14"/>
        <w:pageBreakBefore w:val="0"/>
        <w:kinsoku/>
        <w:wordWrap/>
        <w:overflowPunct/>
        <w:bidi w:val="0"/>
        <w:adjustRightInd w:val="0"/>
        <w:snapToGrid w:val="0"/>
        <w:spacing w:beforeAutospacing="0" w:afterAutospacing="0" w:line="500" w:lineRule="exact"/>
        <w:ind w:right="0"/>
        <w:jc w:val="center"/>
        <w:textAlignment w:val="auto"/>
        <w:outlineLvl w:val="9"/>
        <w:rPr>
          <w:color w:val="auto"/>
          <w:highlight w:val="none"/>
        </w:rPr>
      </w:pPr>
      <w:bookmarkStart w:id="0" w:name="_Toc513029200"/>
      <w:bookmarkStart w:id="1" w:name="_Toc523127445"/>
      <w:bookmarkStart w:id="2" w:name="_Toc20823272"/>
      <w:bookmarkStart w:id="3" w:name="_Toc16938516"/>
      <w:bookmarkStart w:id="4" w:name="_Toc120614210"/>
      <w:bookmarkStart w:id="5" w:name="_Toc479757206"/>
      <w:r>
        <w:rPr>
          <w:rFonts w:ascii="黑体" w:hAnsi="宋体" w:eastAsia="黑体" w:cs="黑体"/>
          <w:b/>
          <w:color w:val="auto"/>
          <w:sz w:val="44"/>
          <w:szCs w:val="44"/>
          <w:highlight w:val="none"/>
        </w:rPr>
        <w:t>总  目  录</w:t>
      </w:r>
      <w:bookmarkEnd w:id="0"/>
      <w:bookmarkEnd w:id="1"/>
      <w:bookmarkEnd w:id="2"/>
      <w:bookmarkEnd w:id="3"/>
      <w:bookmarkEnd w:id="4"/>
      <w:bookmarkEnd w:id="5"/>
    </w:p>
    <w:p w14:paraId="6EB96C7E">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63E5A6A0">
      <w:pPr>
        <w:pStyle w:val="14"/>
        <w:pageBreakBefore w:val="0"/>
        <w:tabs>
          <w:tab w:val="left" w:pos="1441"/>
        </w:tabs>
        <w:kinsoku/>
        <w:wordWrap/>
        <w:overflowPunct/>
        <w:bidi w:val="0"/>
        <w:adjustRightInd w:val="0"/>
        <w:snapToGrid w:val="0"/>
        <w:spacing w:beforeAutospacing="0" w:afterAutospacing="0" w:line="500" w:lineRule="exact"/>
        <w:ind w:left="0" w:right="0" w:firstLine="720" w:firstLineChars="200"/>
        <w:jc w:val="left"/>
        <w:textAlignment w:val="auto"/>
        <w:outlineLvl w:val="9"/>
        <w:rPr>
          <w:color w:val="auto"/>
          <w:highlight w:val="none"/>
        </w:rPr>
      </w:pPr>
      <w:r>
        <w:rPr>
          <w:rFonts w:hint="eastAsia" w:ascii="黑体" w:hAnsi="宋体" w:eastAsia="黑体" w:cs="黑体"/>
          <w:color w:val="auto"/>
          <w:sz w:val="36"/>
          <w:szCs w:val="36"/>
          <w:highlight w:val="none"/>
          <w:lang w:val="en-US" w:eastAsia="zh-CN"/>
        </w:rPr>
        <w:t>招标公告</w:t>
      </w:r>
      <w:r>
        <w:rPr>
          <w:rFonts w:hint="eastAsia" w:ascii="黑体" w:hAnsi="宋体" w:eastAsia="黑体" w:cs="黑体"/>
          <w:color w:val="auto"/>
          <w:sz w:val="36"/>
          <w:szCs w:val="36"/>
          <w:highlight w:val="none"/>
        </w:rPr>
        <w:t xml:space="preserve">…………………………………… </w:t>
      </w:r>
    </w:p>
    <w:p w14:paraId="3F048C29">
      <w:pPr>
        <w:pStyle w:val="14"/>
        <w:pageBreakBefore w:val="0"/>
        <w:tabs>
          <w:tab w:val="left" w:pos="1441"/>
        </w:tabs>
        <w:kinsoku/>
        <w:wordWrap/>
        <w:overflowPunct/>
        <w:bidi w:val="0"/>
        <w:adjustRightInd w:val="0"/>
        <w:snapToGrid w:val="0"/>
        <w:spacing w:beforeAutospacing="0" w:afterAutospacing="0" w:line="500" w:lineRule="exact"/>
        <w:ind w:left="0" w:right="0" w:firstLine="720" w:firstLineChars="200"/>
        <w:jc w:val="left"/>
        <w:textAlignment w:val="auto"/>
        <w:outlineLvl w:val="9"/>
        <w:rPr>
          <w:color w:val="auto"/>
          <w:highlight w:val="none"/>
        </w:rPr>
      </w:pPr>
      <w:r>
        <w:rPr>
          <w:rFonts w:hint="eastAsia" w:ascii="黑体" w:hAnsi="宋体" w:eastAsia="黑体" w:cs="黑体"/>
          <w:color w:val="auto"/>
          <w:sz w:val="36"/>
          <w:szCs w:val="36"/>
          <w:highlight w:val="none"/>
        </w:rPr>
        <w:t xml:space="preserve">投标人须知…………………………………  </w:t>
      </w:r>
    </w:p>
    <w:p w14:paraId="36557F5B">
      <w:pPr>
        <w:pStyle w:val="14"/>
        <w:pageBreakBefore w:val="0"/>
        <w:tabs>
          <w:tab w:val="left" w:pos="1441"/>
        </w:tabs>
        <w:kinsoku/>
        <w:wordWrap/>
        <w:overflowPunct/>
        <w:bidi w:val="0"/>
        <w:adjustRightInd w:val="0"/>
        <w:snapToGrid w:val="0"/>
        <w:spacing w:beforeAutospacing="0" w:afterAutospacing="0" w:line="500" w:lineRule="exact"/>
        <w:ind w:left="0" w:right="0" w:firstLine="720" w:firstLineChars="200"/>
        <w:jc w:val="left"/>
        <w:textAlignment w:val="auto"/>
        <w:outlineLvl w:val="9"/>
        <w:rPr>
          <w:color w:val="auto"/>
          <w:highlight w:val="none"/>
        </w:rPr>
      </w:pPr>
      <w:r>
        <w:rPr>
          <w:rFonts w:hint="eastAsia" w:ascii="黑体" w:hAnsi="宋体" w:eastAsia="黑体" w:cs="黑体"/>
          <w:color w:val="auto"/>
          <w:sz w:val="36"/>
          <w:szCs w:val="36"/>
          <w:highlight w:val="none"/>
        </w:rPr>
        <w:t>合同文本……………………………………</w:t>
      </w:r>
    </w:p>
    <w:p w14:paraId="76DCD7D4">
      <w:pPr>
        <w:pStyle w:val="14"/>
        <w:pageBreakBefore w:val="0"/>
        <w:tabs>
          <w:tab w:val="left" w:pos="1441"/>
        </w:tabs>
        <w:kinsoku/>
        <w:wordWrap/>
        <w:overflowPunct/>
        <w:bidi w:val="0"/>
        <w:adjustRightInd w:val="0"/>
        <w:snapToGrid w:val="0"/>
        <w:spacing w:beforeAutospacing="0" w:afterAutospacing="0" w:line="500" w:lineRule="exact"/>
        <w:ind w:left="0" w:right="0" w:firstLine="720" w:firstLineChars="200"/>
        <w:jc w:val="left"/>
        <w:textAlignment w:val="auto"/>
        <w:outlineLvl w:val="9"/>
        <w:rPr>
          <w:color w:val="auto"/>
          <w:highlight w:val="none"/>
        </w:rPr>
      </w:pPr>
      <w:r>
        <w:rPr>
          <w:rFonts w:hint="eastAsia" w:ascii="黑体" w:hAnsi="宋体" w:eastAsia="黑体" w:cs="黑体"/>
          <w:color w:val="auto"/>
          <w:sz w:val="36"/>
          <w:szCs w:val="36"/>
          <w:highlight w:val="none"/>
        </w:rPr>
        <w:t>采购需求……………………………………</w:t>
      </w:r>
    </w:p>
    <w:p w14:paraId="620E178A">
      <w:pPr>
        <w:pStyle w:val="14"/>
        <w:pageBreakBefore w:val="0"/>
        <w:tabs>
          <w:tab w:val="left" w:pos="1441"/>
        </w:tabs>
        <w:kinsoku/>
        <w:wordWrap/>
        <w:overflowPunct/>
        <w:bidi w:val="0"/>
        <w:adjustRightInd w:val="0"/>
        <w:snapToGrid w:val="0"/>
        <w:spacing w:beforeAutospacing="0" w:afterAutospacing="0" w:line="500" w:lineRule="exact"/>
        <w:ind w:left="0" w:right="0" w:firstLine="720" w:firstLineChars="200"/>
        <w:jc w:val="left"/>
        <w:textAlignment w:val="auto"/>
        <w:outlineLvl w:val="9"/>
        <w:rPr>
          <w:color w:val="auto"/>
          <w:highlight w:val="none"/>
        </w:rPr>
      </w:pPr>
      <w:r>
        <w:rPr>
          <w:rFonts w:hint="eastAsia" w:ascii="黑体" w:hAnsi="宋体" w:eastAsia="黑体" w:cs="黑体"/>
          <w:color w:val="auto"/>
          <w:sz w:val="36"/>
          <w:szCs w:val="36"/>
          <w:highlight w:val="none"/>
        </w:rPr>
        <w:t>评标方法与评标标准………………………</w:t>
      </w:r>
    </w:p>
    <w:p w14:paraId="6D203C59">
      <w:pPr>
        <w:pStyle w:val="14"/>
        <w:pageBreakBefore w:val="0"/>
        <w:tabs>
          <w:tab w:val="left" w:pos="1441"/>
        </w:tabs>
        <w:kinsoku/>
        <w:wordWrap/>
        <w:overflowPunct/>
        <w:bidi w:val="0"/>
        <w:adjustRightInd w:val="0"/>
        <w:snapToGrid w:val="0"/>
        <w:spacing w:beforeAutospacing="0" w:afterAutospacing="0" w:line="500" w:lineRule="exact"/>
        <w:ind w:left="0" w:right="0" w:firstLine="720" w:firstLineChars="200"/>
        <w:jc w:val="left"/>
        <w:textAlignment w:val="auto"/>
        <w:outlineLvl w:val="9"/>
        <w:rPr>
          <w:color w:val="auto"/>
          <w:highlight w:val="none"/>
        </w:rPr>
      </w:pPr>
      <w:r>
        <w:rPr>
          <w:rFonts w:hint="eastAsia" w:ascii="黑体" w:hAnsi="宋体" w:eastAsia="黑体" w:cs="黑体"/>
          <w:color w:val="auto"/>
          <w:sz w:val="36"/>
          <w:szCs w:val="36"/>
          <w:highlight w:val="none"/>
        </w:rPr>
        <w:t>投标文件格式………………………………</w:t>
      </w:r>
    </w:p>
    <w:p w14:paraId="64341C45">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16364196">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11556BE8">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7B29980D">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1611712B">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69FAA169">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4182AF71">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71654CC7">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04037430">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781B204C">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267F7F03">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27498963">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46A18BE9">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4328D0A4">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6222989F">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16612821">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color w:val="auto"/>
          <w:highlight w:val="none"/>
        </w:rPr>
      </w:pPr>
      <w:r>
        <w:rPr>
          <w:color w:val="auto"/>
          <w:highlight w:val="none"/>
        </w:rPr>
        <w:t> </w:t>
      </w:r>
    </w:p>
    <w:p w14:paraId="7A1DD373">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rFonts w:hint="eastAsia" w:ascii="黑体" w:hAnsi="宋体" w:eastAsia="黑体" w:cs="黑体"/>
          <w:color w:val="auto"/>
          <w:sz w:val="44"/>
          <w:szCs w:val="44"/>
          <w:highlight w:val="none"/>
        </w:rPr>
      </w:pPr>
      <w:r>
        <w:rPr>
          <w:color w:val="auto"/>
          <w:highlight w:val="none"/>
        </w:rPr>
        <w:t> </w:t>
      </w:r>
    </w:p>
    <w:p w14:paraId="46154823">
      <w:pPr>
        <w:pStyle w:val="14"/>
        <w:keepNext/>
        <w:pageBreakBefore w:val="0"/>
        <w:kinsoku/>
        <w:wordWrap/>
        <w:overflowPunct/>
        <w:bidi w:val="0"/>
        <w:adjustRightInd w:val="0"/>
        <w:snapToGrid w:val="0"/>
        <w:spacing w:beforeAutospacing="0" w:afterAutospacing="0" w:line="500" w:lineRule="exact"/>
        <w:ind w:right="0"/>
        <w:jc w:val="center"/>
        <w:textAlignment w:val="auto"/>
        <w:outlineLvl w:val="9"/>
        <w:rPr>
          <w:rFonts w:hint="eastAsia" w:ascii="黑体" w:hAnsi="宋体" w:eastAsia="黑体" w:cs="黑体"/>
          <w:color w:val="auto"/>
          <w:sz w:val="44"/>
          <w:szCs w:val="44"/>
          <w:highlight w:val="none"/>
          <w:lang w:val="en-US" w:eastAsia="zh-CN"/>
        </w:rPr>
      </w:pPr>
      <w:r>
        <w:rPr>
          <w:rFonts w:hint="eastAsia" w:ascii="黑体" w:hAnsi="宋体" w:eastAsia="黑体" w:cs="黑体"/>
          <w:color w:val="auto"/>
          <w:sz w:val="44"/>
          <w:szCs w:val="44"/>
          <w:highlight w:val="none"/>
        </w:rPr>
        <w:t>第一章 </w:t>
      </w:r>
      <w:r>
        <w:rPr>
          <w:rFonts w:hint="eastAsia" w:ascii="黑体" w:hAnsi="宋体" w:eastAsia="黑体" w:cs="黑体"/>
          <w:color w:val="auto"/>
          <w:sz w:val="44"/>
          <w:szCs w:val="44"/>
          <w:highlight w:val="none"/>
          <w:lang w:val="en-US" w:eastAsia="zh-CN"/>
        </w:rPr>
        <w:t>招标公告</w:t>
      </w:r>
    </w:p>
    <w:p w14:paraId="6AC6B28A">
      <w:pPr>
        <w:widowControl/>
        <w:spacing w:line="500" w:lineRule="exact"/>
        <w:jc w:val="center"/>
        <w:rPr>
          <w:rFonts w:hint="eastAsia" w:ascii="黑体" w:hAnsi="宋体" w:eastAsia="黑体" w:cs="黑体"/>
          <w:color w:val="auto"/>
          <w:sz w:val="44"/>
          <w:szCs w:val="44"/>
          <w:highlight w:val="none"/>
          <w:lang w:val="en-US" w:eastAsia="zh-CN"/>
        </w:rPr>
      </w:pPr>
      <w:r>
        <w:rPr>
          <w:rFonts w:hint="eastAsia" w:ascii="宋体" w:hAnsi="宋体" w:eastAsia="宋体" w:cs="宋体"/>
          <w:b/>
          <w:bCs/>
          <w:color w:val="auto"/>
          <w:sz w:val="24"/>
          <w:szCs w:val="24"/>
          <w:highlight w:val="none"/>
          <w:u w:val="none"/>
          <w:shd w:val="clear" w:color="auto" w:fill="auto"/>
          <w:lang w:eastAsia="zh-CN"/>
        </w:rPr>
        <w:t>响水县安捷城乡公交有限公司</w:t>
      </w:r>
      <w:r>
        <w:rPr>
          <w:rFonts w:hint="eastAsia" w:ascii="宋体" w:hAnsi="宋体" w:eastAsia="宋体" w:cs="宋体"/>
          <w:b/>
          <w:bCs/>
          <w:color w:val="auto"/>
          <w:sz w:val="24"/>
          <w:szCs w:val="24"/>
          <w:highlight w:val="none"/>
          <w:u w:val="none"/>
          <w:shd w:val="clear" w:color="auto" w:fill="auto"/>
          <w:lang w:val="en-US" w:eastAsia="zh-CN"/>
        </w:rPr>
        <w:t>车辆保险服务</w:t>
      </w:r>
      <w:r>
        <w:rPr>
          <w:rFonts w:hint="eastAsia" w:ascii="宋体" w:hAnsi="宋体" w:eastAsia="宋体" w:cs="宋体"/>
          <w:b/>
          <w:bCs/>
          <w:color w:val="auto"/>
          <w:sz w:val="24"/>
          <w:szCs w:val="24"/>
          <w:highlight w:val="none"/>
          <w:u w:val="none"/>
          <w:lang w:val="en-US" w:eastAsia="zh-CN"/>
        </w:rPr>
        <w:t>采购</w:t>
      </w:r>
      <w:r>
        <w:rPr>
          <w:rFonts w:hint="eastAsia" w:ascii="宋体" w:hAnsi="宋体" w:eastAsia="宋体" w:cs="宋体"/>
          <w:b/>
          <w:bCs/>
          <w:color w:val="auto"/>
          <w:sz w:val="24"/>
          <w:szCs w:val="24"/>
          <w:highlight w:val="none"/>
          <w:u w:val="none"/>
        </w:rPr>
        <w:t>项目</w:t>
      </w:r>
      <w:r>
        <w:rPr>
          <w:rFonts w:hint="eastAsia" w:ascii="宋体" w:hAnsi="宋体" w:eastAsia="宋体" w:cs="宋体"/>
          <w:b/>
          <w:bCs/>
          <w:color w:val="auto"/>
          <w:sz w:val="24"/>
          <w:szCs w:val="24"/>
          <w:highlight w:val="none"/>
          <w:u w:val="none"/>
          <w:lang w:val="en-US" w:eastAsia="zh-CN"/>
        </w:rPr>
        <w:t>招标公告</w:t>
      </w:r>
      <w:r>
        <w:rPr>
          <w:rFonts w:hint="eastAsia" w:ascii="宋体" w:hAnsi="宋体" w:eastAsia="宋体" w:cs="宋体"/>
          <w:b/>
          <w:color w:val="auto"/>
          <w:kern w:val="0"/>
          <w:sz w:val="24"/>
          <w:szCs w:val="24"/>
          <w:highlight w:val="none"/>
          <w:u w:val="none"/>
        </w:rPr>
        <w:t>（不见面开标）</w:t>
      </w:r>
    </w:p>
    <w:p w14:paraId="259770F0">
      <w:pPr>
        <w:pStyle w:val="9"/>
        <w:rPr>
          <w:rFonts w:hint="default" w:ascii="黑体" w:hAnsi="宋体" w:eastAsia="黑体" w:cs="黑体"/>
          <w:color w:val="auto"/>
          <w:sz w:val="24"/>
          <w:szCs w:val="24"/>
          <w:highlight w:val="none"/>
          <w:lang w:val="en-US" w:eastAsia="zh-CN"/>
        </w:rPr>
      </w:pPr>
      <w:r>
        <w:rPr>
          <w:rFonts w:hint="eastAsia" w:ascii="宋体" w:hAnsi="宋体" w:cs="宋体"/>
          <w:b w:val="0"/>
          <w:bCs/>
          <w:color w:val="auto"/>
          <w:kern w:val="0"/>
          <w:sz w:val="24"/>
          <w:szCs w:val="24"/>
          <w:highlight w:val="none"/>
          <w:lang w:eastAsia="zh-CN"/>
        </w:rPr>
        <w:t>（由采购人自行组织实施，响水县公共资源交易中心仅代采购人发布公告，不参加该项目的采购活动）</w:t>
      </w:r>
    </w:p>
    <w:p w14:paraId="3A37393B">
      <w:pPr>
        <w:pStyle w:val="14"/>
        <w:pageBreakBefore w:val="0"/>
        <w:pBdr>
          <w:top w:val="single" w:color="000000" w:sz="4" w:space="0"/>
          <w:left w:val="single" w:color="000000" w:sz="4" w:space="0"/>
          <w:bottom w:val="single" w:color="000000" w:sz="4" w:space="0"/>
          <w:right w:val="single" w:color="000000" w:sz="4" w:space="0"/>
        </w:pBdr>
        <w:kinsoku/>
        <w:wordWrap/>
        <w:overflowPunct/>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项目概况</w:t>
      </w:r>
    </w:p>
    <w:p w14:paraId="61F63163">
      <w:pPr>
        <w:pStyle w:val="14"/>
        <w:keepNext w:val="0"/>
        <w:keepLines w:val="0"/>
        <w:pageBreakBefore w:val="0"/>
        <w:widowControl/>
        <w:pBdr>
          <w:top w:val="single" w:color="000000" w:sz="4" w:space="0"/>
          <w:left w:val="single" w:color="000000" w:sz="4" w:space="0"/>
          <w:bottom w:val="single" w:color="000000" w:sz="4" w:space="0"/>
          <w:right w:val="single" w:color="000000" w:sz="4" w:space="0"/>
        </w:pBdr>
        <w:kinsoku/>
        <w:wordWrap/>
        <w:overflowPunct/>
        <w:topLinePunct w:val="0"/>
        <w:autoSpaceDE/>
        <w:autoSpaceDN/>
        <w:bidi w:val="0"/>
        <w:adjustRightInd w:val="0"/>
        <w:snapToGrid w:val="0"/>
        <w:spacing w:beforeAutospacing="0" w:afterAutospacing="0" w:line="500" w:lineRule="exact"/>
        <w:ind w:left="0" w:right="0" w:firstLine="482" w:firstLineChars="200"/>
        <w:jc w:val="left"/>
        <w:textAlignment w:val="auto"/>
        <w:outlineLvl w:val="9"/>
        <w:rPr>
          <w:rFonts w:hint="eastAsia" w:ascii="宋体" w:hAnsi="宋体" w:eastAsia="宋体" w:cs="宋体"/>
          <w:color w:val="auto"/>
          <w:sz w:val="24"/>
          <w:szCs w:val="24"/>
          <w:highlight w:val="none"/>
        </w:rPr>
      </w:pPr>
      <w:bookmarkStart w:id="6" w:name="_Toc28359079"/>
      <w:bookmarkStart w:id="7" w:name="_Toc28359002"/>
      <w:bookmarkStart w:id="8" w:name="_Hlk24379207"/>
      <w:bookmarkStart w:id="9" w:name="_Toc35393790"/>
      <w:bookmarkStart w:id="10" w:name="_Toc35393621"/>
      <w:bookmarkStart w:id="11" w:name="_Toc38985263"/>
      <w:r>
        <w:rPr>
          <w:rFonts w:hint="eastAsia" w:ascii="宋体" w:hAnsi="宋体" w:eastAsia="宋体" w:cs="宋体"/>
          <w:b/>
          <w:bCs/>
          <w:color w:val="auto"/>
          <w:sz w:val="24"/>
          <w:szCs w:val="24"/>
          <w:highlight w:val="none"/>
          <w:u w:val="single"/>
          <w:shd w:val="clear" w:color="auto" w:fill="auto"/>
          <w:lang w:eastAsia="zh-CN"/>
        </w:rPr>
        <w:t>响水县安捷城乡公交有限公司</w:t>
      </w:r>
      <w:r>
        <w:rPr>
          <w:rFonts w:hint="eastAsia" w:ascii="宋体" w:hAnsi="宋体" w:eastAsia="宋体" w:cs="宋体"/>
          <w:b/>
          <w:bCs/>
          <w:color w:val="auto"/>
          <w:sz w:val="24"/>
          <w:szCs w:val="24"/>
          <w:highlight w:val="none"/>
          <w:u w:val="single"/>
          <w:shd w:val="clear" w:color="auto" w:fill="auto"/>
          <w:lang w:val="en-US" w:eastAsia="zh-CN"/>
        </w:rPr>
        <w:t>车辆保险服务</w:t>
      </w:r>
      <w:r>
        <w:rPr>
          <w:rFonts w:hint="eastAsia" w:ascii="宋体" w:hAnsi="宋体" w:eastAsia="宋体" w:cs="宋体"/>
          <w:b/>
          <w:bCs/>
          <w:color w:val="auto"/>
          <w:sz w:val="24"/>
          <w:szCs w:val="24"/>
          <w:highlight w:val="none"/>
          <w:u w:val="single"/>
          <w:lang w:val="en-US" w:eastAsia="zh-CN"/>
        </w:rPr>
        <w:t>采购</w:t>
      </w:r>
      <w:r>
        <w:rPr>
          <w:rFonts w:hint="eastAsia" w:ascii="宋体" w:hAnsi="宋体" w:eastAsia="宋体" w:cs="宋体"/>
          <w:b/>
          <w:bCs/>
          <w:color w:val="auto"/>
          <w:sz w:val="24"/>
          <w:szCs w:val="24"/>
          <w:highlight w:val="none"/>
          <w:u w:val="single"/>
        </w:rPr>
        <w:t>项目</w:t>
      </w:r>
      <w:r>
        <w:rPr>
          <w:rFonts w:hint="eastAsia" w:ascii="宋体" w:hAnsi="宋体" w:eastAsia="宋体" w:cs="宋体"/>
          <w:color w:val="auto"/>
          <w:sz w:val="24"/>
          <w:szCs w:val="24"/>
          <w:highlight w:val="none"/>
        </w:rPr>
        <w:t>的潜在供应商</w:t>
      </w:r>
      <w:r>
        <w:rPr>
          <w:rFonts w:hint="eastAsia" w:ascii="宋体" w:hAnsi="宋体" w:eastAsia="宋体" w:cs="宋体"/>
          <w:color w:val="auto"/>
          <w:sz w:val="24"/>
          <w:szCs w:val="24"/>
          <w:highlight w:val="none"/>
          <w:lang w:val="en-US" w:eastAsia="zh-CN"/>
        </w:rPr>
        <w:t>应</w:t>
      </w:r>
      <w:r>
        <w:rPr>
          <w:rFonts w:hint="eastAsia" w:ascii="宋体" w:hAnsi="宋体" w:eastAsia="宋体" w:cs="宋体"/>
          <w:color w:val="auto"/>
          <w:sz w:val="24"/>
          <w:szCs w:val="24"/>
          <w:highlight w:val="none"/>
        </w:rPr>
        <w:t>在</w:t>
      </w:r>
      <w:r>
        <w:rPr>
          <w:rFonts w:hint="eastAsia" w:ascii="宋体" w:hAnsi="宋体" w:cs="宋体"/>
          <w:color w:val="auto"/>
          <w:sz w:val="24"/>
          <w:highlight w:val="none"/>
          <w:u w:val="single"/>
        </w:rPr>
        <w:t>响水县人民政府网（http://www.xiangshui.gov.cn/）</w:t>
      </w:r>
      <w:r>
        <w:rPr>
          <w:rFonts w:hint="eastAsia" w:ascii="宋体" w:hAnsi="宋体" w:eastAsia="宋体" w:cs="宋体"/>
          <w:i w:val="0"/>
          <w:iCs w:val="0"/>
          <w:caps w:val="0"/>
          <w:color w:val="auto"/>
          <w:spacing w:val="0"/>
          <w:sz w:val="24"/>
          <w:szCs w:val="24"/>
          <w:highlight w:val="none"/>
          <w:shd w:val="clear" w:color="auto" w:fill="FFFFFF"/>
        </w:rPr>
        <w:t>获取</w:t>
      </w:r>
      <w:r>
        <w:rPr>
          <w:rFonts w:hint="eastAsia" w:ascii="宋体" w:hAnsi="宋体" w:eastAsia="宋体" w:cs="宋体"/>
          <w:i w:val="0"/>
          <w:iCs w:val="0"/>
          <w:caps w:val="0"/>
          <w:color w:val="auto"/>
          <w:spacing w:val="0"/>
          <w:sz w:val="24"/>
          <w:szCs w:val="24"/>
          <w:highlight w:val="none"/>
          <w:shd w:val="clear" w:color="auto" w:fill="FFFFFF"/>
          <w:lang w:val="en-US" w:eastAsia="zh-CN"/>
        </w:rPr>
        <w:t>采购</w:t>
      </w:r>
      <w:r>
        <w:rPr>
          <w:rFonts w:hint="eastAsia" w:ascii="宋体" w:hAnsi="宋体" w:eastAsia="宋体" w:cs="宋体"/>
          <w:i w:val="0"/>
          <w:iCs w:val="0"/>
          <w:caps w:val="0"/>
          <w:color w:val="auto"/>
          <w:spacing w:val="0"/>
          <w:sz w:val="24"/>
          <w:szCs w:val="24"/>
          <w:highlight w:val="none"/>
          <w:shd w:val="clear" w:color="auto" w:fill="FFFFFF"/>
        </w:rPr>
        <w:t>文件，方能参与</w:t>
      </w:r>
      <w:r>
        <w:rPr>
          <w:rFonts w:hint="eastAsia" w:ascii="宋体" w:hAnsi="宋体" w:eastAsia="宋体" w:cs="宋体"/>
          <w:i w:val="0"/>
          <w:iCs w:val="0"/>
          <w:caps w:val="0"/>
          <w:color w:val="auto"/>
          <w:spacing w:val="0"/>
          <w:sz w:val="24"/>
          <w:szCs w:val="24"/>
          <w:highlight w:val="none"/>
          <w:shd w:val="clear" w:color="auto" w:fill="FFFFFF"/>
          <w:lang w:val="en-US" w:eastAsia="zh-CN"/>
        </w:rPr>
        <w:t>本</w:t>
      </w:r>
      <w:r>
        <w:rPr>
          <w:rFonts w:hint="eastAsia" w:ascii="宋体" w:hAnsi="宋体" w:eastAsia="宋体" w:cs="宋体"/>
          <w:i w:val="0"/>
          <w:iCs w:val="0"/>
          <w:caps w:val="0"/>
          <w:color w:val="auto"/>
          <w:spacing w:val="0"/>
          <w:sz w:val="24"/>
          <w:szCs w:val="24"/>
          <w:highlight w:val="none"/>
          <w:shd w:val="clear" w:color="auto" w:fill="FFFFFF"/>
        </w:rPr>
        <w:t>采购项目</w:t>
      </w:r>
      <w:r>
        <w:rPr>
          <w:rFonts w:hint="eastAsia" w:ascii="宋体" w:hAnsi="宋体" w:eastAsia="宋体" w:cs="宋体"/>
          <w:color w:val="auto"/>
          <w:sz w:val="24"/>
          <w:szCs w:val="24"/>
          <w:highlight w:val="none"/>
        </w:rPr>
        <w:t>，并于</w:t>
      </w:r>
      <w:r>
        <w:rPr>
          <w:rFonts w:hint="eastAsia" w:eastAsia="宋体" w:cs="宋体"/>
          <w:b w:val="0"/>
          <w:bCs w:val="0"/>
          <w:color w:val="auto"/>
          <w:sz w:val="24"/>
          <w:szCs w:val="24"/>
          <w:highlight w:val="none"/>
          <w:u w:val="single"/>
          <w:lang w:val="en-US" w:eastAsia="zh-CN"/>
        </w:rPr>
        <w:t>2025</w:t>
      </w:r>
      <w:r>
        <w:rPr>
          <w:rFonts w:hint="eastAsia" w:ascii="宋体" w:hAnsi="宋体" w:eastAsia="宋体" w:cs="宋体"/>
          <w:color w:val="auto"/>
          <w:sz w:val="24"/>
          <w:szCs w:val="24"/>
          <w:highlight w:val="none"/>
          <w:u w:val="single"/>
        </w:rPr>
        <w:t>年</w:t>
      </w:r>
      <w:r>
        <w:rPr>
          <w:rFonts w:hint="eastAsia" w:eastAsia="宋体" w:cs="宋体"/>
          <w:color w:val="auto"/>
          <w:sz w:val="24"/>
          <w:szCs w:val="24"/>
          <w:highlight w:val="none"/>
          <w:u w:val="single"/>
          <w:lang w:val="en-US" w:eastAsia="zh-CN"/>
        </w:rPr>
        <w:t>11</w:t>
      </w:r>
      <w:r>
        <w:rPr>
          <w:rFonts w:hint="eastAsia" w:ascii="宋体" w:hAnsi="宋体" w:eastAsia="宋体" w:cs="宋体"/>
          <w:color w:val="auto"/>
          <w:sz w:val="24"/>
          <w:szCs w:val="24"/>
          <w:highlight w:val="none"/>
          <w:u w:val="single"/>
        </w:rPr>
        <w:t>月</w:t>
      </w:r>
      <w:r>
        <w:rPr>
          <w:rFonts w:hint="eastAsia" w:ascii="宋体" w:hAnsi="宋体" w:eastAsia="宋体" w:cs="宋体"/>
          <w:color w:val="auto"/>
          <w:sz w:val="24"/>
          <w:szCs w:val="24"/>
          <w:highlight w:val="none"/>
          <w:u w:val="single"/>
          <w:lang w:val="en-US" w:eastAsia="zh-CN"/>
        </w:rPr>
        <w:t>21</w:t>
      </w:r>
      <w:r>
        <w:rPr>
          <w:rFonts w:hint="eastAsia" w:ascii="宋体" w:hAnsi="宋体" w:eastAsia="宋体" w:cs="宋体"/>
          <w:color w:val="auto"/>
          <w:sz w:val="24"/>
          <w:szCs w:val="24"/>
          <w:highlight w:val="none"/>
          <w:u w:val="single"/>
        </w:rPr>
        <w:t>日</w:t>
      </w:r>
      <w:r>
        <w:rPr>
          <w:rFonts w:hint="eastAsia" w:ascii="宋体" w:hAnsi="宋体" w:eastAsia="宋体" w:cs="宋体"/>
          <w:color w:val="auto"/>
          <w:sz w:val="24"/>
          <w:szCs w:val="24"/>
          <w:highlight w:val="none"/>
          <w:u w:val="single"/>
          <w:lang w:val="en-US" w:eastAsia="zh-CN"/>
        </w:rPr>
        <w:t>0</w:t>
      </w:r>
      <w:r>
        <w:rPr>
          <w:rFonts w:hint="eastAsia" w:eastAsia="宋体" w:cs="宋体"/>
          <w:color w:val="auto"/>
          <w:sz w:val="24"/>
          <w:szCs w:val="24"/>
          <w:highlight w:val="none"/>
          <w:u w:val="single"/>
          <w:lang w:val="en-US" w:eastAsia="zh-CN"/>
        </w:rPr>
        <w:t>9：00</w:t>
      </w:r>
      <w:r>
        <w:rPr>
          <w:rFonts w:hint="eastAsia" w:ascii="宋体" w:hAnsi="宋体" w:eastAsia="宋体" w:cs="宋体"/>
          <w:color w:val="auto"/>
          <w:sz w:val="24"/>
          <w:szCs w:val="24"/>
          <w:highlight w:val="none"/>
          <w:u w:val="single"/>
        </w:rPr>
        <w:t>分（</w:t>
      </w:r>
      <w:r>
        <w:rPr>
          <w:rFonts w:hint="eastAsia" w:ascii="宋体" w:hAnsi="宋体" w:eastAsia="宋体" w:cs="宋体"/>
          <w:color w:val="auto"/>
          <w:sz w:val="24"/>
          <w:szCs w:val="24"/>
          <w:highlight w:val="none"/>
        </w:rPr>
        <w:t>北京时间）前递交响应文件。</w:t>
      </w:r>
    </w:p>
    <w:p w14:paraId="2019027C">
      <w:pPr>
        <w:pStyle w:val="14"/>
        <w:keepNext/>
        <w:keepLines/>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2" w:firstLineChars="200"/>
        <w:jc w:val="left"/>
        <w:textAlignment w:val="auto"/>
        <w:outlineLvl w:val="9"/>
        <w:rPr>
          <w:rFonts w:hint="eastAsia" w:ascii="宋体" w:hAnsi="宋体" w:eastAsia="宋体" w:cs="宋体"/>
          <w:b/>
          <w:color w:val="auto"/>
          <w:sz w:val="24"/>
          <w:szCs w:val="24"/>
          <w:highlight w:val="none"/>
        </w:rPr>
      </w:pPr>
    </w:p>
    <w:p w14:paraId="5C0F5791">
      <w:pPr>
        <w:pStyle w:val="14"/>
        <w:keepNext/>
        <w:keepLines/>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2"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一、项目基本情况</w:t>
      </w:r>
      <w:bookmarkEnd w:id="6"/>
      <w:bookmarkEnd w:id="7"/>
      <w:bookmarkEnd w:id="8"/>
      <w:bookmarkEnd w:id="9"/>
      <w:bookmarkEnd w:id="10"/>
      <w:bookmarkEnd w:id="11"/>
    </w:p>
    <w:p w14:paraId="0F35991D">
      <w:pPr>
        <w:pStyle w:val="14"/>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1.项目编号：</w:t>
      </w:r>
      <w:r>
        <w:rPr>
          <w:rFonts w:hint="eastAsia" w:ascii="宋体" w:hAnsi="宋体" w:eastAsia="宋体" w:cs="宋体"/>
          <w:color w:val="auto"/>
          <w:sz w:val="24"/>
          <w:szCs w:val="24"/>
          <w:highlight w:val="none"/>
          <w:lang w:val="en-US" w:eastAsia="zh-CN"/>
        </w:rPr>
        <w:t>XSX-GQCG-202509015</w:t>
      </w:r>
    </w:p>
    <w:p w14:paraId="724DA292">
      <w:pPr>
        <w:pStyle w:val="14"/>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2.项目名称：</w:t>
      </w:r>
      <w:r>
        <w:rPr>
          <w:rFonts w:hint="eastAsia" w:ascii="宋体" w:hAnsi="宋体" w:eastAsia="宋体" w:cs="宋体"/>
          <w:color w:val="auto"/>
          <w:sz w:val="24"/>
          <w:szCs w:val="24"/>
          <w:highlight w:val="none"/>
          <w:shd w:val="clear" w:color="auto" w:fill="auto"/>
          <w:lang w:eastAsia="zh-CN"/>
        </w:rPr>
        <w:t>响水县安捷城乡公交有限公司</w:t>
      </w:r>
      <w:r>
        <w:rPr>
          <w:rFonts w:hint="eastAsia" w:ascii="宋体" w:hAnsi="宋体" w:eastAsia="宋体" w:cs="宋体"/>
          <w:color w:val="auto"/>
          <w:sz w:val="24"/>
          <w:szCs w:val="24"/>
          <w:highlight w:val="none"/>
          <w:shd w:val="clear" w:color="auto" w:fill="auto"/>
          <w:lang w:val="en-US" w:eastAsia="zh-CN"/>
        </w:rPr>
        <w:t>车辆保险服务采购项目</w:t>
      </w:r>
    </w:p>
    <w:p w14:paraId="35EBDC8A">
      <w:pPr>
        <w:pStyle w:val="14"/>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3.</w:t>
      </w:r>
      <w:r>
        <w:rPr>
          <w:rFonts w:hint="eastAsia" w:ascii="宋体" w:hAnsi="宋体" w:eastAsia="宋体" w:cs="宋体"/>
          <w:i w:val="0"/>
          <w:iCs w:val="0"/>
          <w:caps w:val="0"/>
          <w:color w:val="auto"/>
          <w:spacing w:val="0"/>
          <w:sz w:val="24"/>
          <w:szCs w:val="24"/>
          <w:highlight w:val="none"/>
          <w:shd w:val="clear" w:fill="FFFFFF"/>
        </w:rPr>
        <w:t>采购方式：</w:t>
      </w:r>
      <w:r>
        <w:rPr>
          <w:rFonts w:hint="eastAsia" w:ascii="宋体" w:hAnsi="宋体" w:eastAsia="宋体" w:cs="宋体"/>
          <w:i w:val="0"/>
          <w:iCs w:val="0"/>
          <w:caps w:val="0"/>
          <w:color w:val="auto"/>
          <w:spacing w:val="0"/>
          <w:sz w:val="24"/>
          <w:szCs w:val="24"/>
          <w:highlight w:val="none"/>
          <w:shd w:val="clear" w:fill="FFFFFF"/>
          <w:lang w:val="en-US" w:eastAsia="zh-CN"/>
        </w:rPr>
        <w:t>公开招标</w:t>
      </w:r>
    </w:p>
    <w:p w14:paraId="727310E7">
      <w:pPr>
        <w:pStyle w:val="14"/>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.预算金额：</w:t>
      </w:r>
      <w:r>
        <w:rPr>
          <w:rFonts w:hint="eastAsia" w:ascii="宋体" w:hAnsi="宋体" w:eastAsia="宋体" w:cs="宋体"/>
          <w:color w:val="auto"/>
          <w:sz w:val="24"/>
          <w:szCs w:val="24"/>
          <w:highlight w:val="none"/>
          <w:lang w:val="en-US" w:eastAsia="zh-CN"/>
        </w:rPr>
        <w:t>104万元</w:t>
      </w:r>
    </w:p>
    <w:p w14:paraId="638F2993">
      <w:pPr>
        <w:pStyle w:val="14"/>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最高限价：</w:t>
      </w:r>
    </w:p>
    <w:p w14:paraId="700791D2">
      <w:pPr>
        <w:pStyle w:val="14"/>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i w:val="0"/>
          <w:iCs w:val="0"/>
          <w:caps w:val="0"/>
          <w:color w:val="auto"/>
          <w:spacing w:val="0"/>
          <w:sz w:val="24"/>
          <w:szCs w:val="24"/>
          <w:highlight w:val="none"/>
          <w:u w:val="single"/>
          <w:shd w:val="clear" w:color="auto" w:fill="auto"/>
          <w:lang w:val="en-US"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i w:val="0"/>
          <w:iCs w:val="0"/>
          <w:caps w:val="0"/>
          <w:color w:val="auto"/>
          <w:spacing w:val="0"/>
          <w:sz w:val="24"/>
          <w:szCs w:val="24"/>
          <w:highlight w:val="none"/>
          <w:shd w:val="clear" w:color="auto" w:fill="auto"/>
          <w:lang w:val="en-US" w:eastAsia="zh-CN"/>
        </w:rPr>
        <w:t>自主定价系数折扣率：</w:t>
      </w:r>
      <w:r>
        <w:rPr>
          <w:rFonts w:hint="eastAsia" w:ascii="宋体" w:hAnsi="宋体" w:eastAsia="宋体" w:cs="宋体"/>
          <w:i w:val="0"/>
          <w:iCs w:val="0"/>
          <w:caps w:val="0"/>
          <w:color w:val="auto"/>
          <w:spacing w:val="0"/>
          <w:sz w:val="24"/>
          <w:szCs w:val="24"/>
          <w:highlight w:val="none"/>
          <w:u w:val="single"/>
          <w:shd w:val="clear" w:color="auto" w:fill="auto"/>
          <w:lang w:val="en-US" w:eastAsia="zh-CN"/>
        </w:rPr>
        <w:t>100%</w:t>
      </w:r>
    </w:p>
    <w:p w14:paraId="12B15BF1">
      <w:pPr>
        <w:pStyle w:val="14"/>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2）承运人责任险</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150</w:t>
      </w:r>
      <w:r>
        <w:rPr>
          <w:rFonts w:hint="eastAsia" w:ascii="宋体" w:hAnsi="宋体" w:cs="宋体"/>
          <w:color w:val="auto"/>
          <w:sz w:val="24"/>
          <w:szCs w:val="24"/>
          <w:highlight w:val="none"/>
        </w:rPr>
        <w:t>万</w:t>
      </w:r>
      <w:r>
        <w:rPr>
          <w:rFonts w:hint="eastAsia" w:ascii="宋体" w:hAnsi="宋体" w:cs="宋体"/>
          <w:color w:val="auto"/>
          <w:sz w:val="24"/>
          <w:szCs w:val="24"/>
          <w:highlight w:val="none"/>
          <w:lang w:val="en-US" w:eastAsia="zh-CN"/>
        </w:rPr>
        <w:t>/座；</w:t>
      </w:r>
      <w:r>
        <w:rPr>
          <w:rFonts w:hint="eastAsia" w:ascii="宋体" w:hAnsi="宋体" w:cs="宋体"/>
          <w:color w:val="auto"/>
          <w:sz w:val="24"/>
          <w:szCs w:val="24"/>
          <w:highlight w:val="none"/>
        </w:rPr>
        <w:t>含不计免赔）</w:t>
      </w:r>
      <w:r>
        <w:rPr>
          <w:rFonts w:hint="eastAsia" w:ascii="宋体" w:hAnsi="宋体" w:cs="宋体"/>
          <w:color w:val="auto"/>
          <w:sz w:val="24"/>
          <w:szCs w:val="24"/>
          <w:highlight w:val="none"/>
          <w:lang w:val="en-US" w:eastAsia="zh-CN"/>
        </w:rPr>
        <w:t>保险费，保险费120元/座；</w:t>
      </w:r>
    </w:p>
    <w:p w14:paraId="25B5CFAE">
      <w:pPr>
        <w:pStyle w:val="14"/>
        <w:keepNext w:val="0"/>
        <w:keepLines w:val="0"/>
        <w:pageBreakBefore w:val="0"/>
        <w:kinsoku/>
        <w:wordWrap/>
        <w:overflowPunct/>
        <w:topLinePunct w:val="0"/>
        <w:autoSpaceDE/>
        <w:autoSpaceDN/>
        <w:bidi w:val="0"/>
        <w:adjustRightInd/>
        <w:snapToGrid/>
        <w:spacing w:beforeAutospacing="0" w:afterAutospacing="0" w:line="420" w:lineRule="exact"/>
        <w:ind w:firstLine="480" w:firstLineChars="200"/>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注：</w:t>
      </w:r>
      <w:r>
        <w:rPr>
          <w:rFonts w:hint="eastAsia"/>
          <w:color w:val="auto"/>
          <w:sz w:val="24"/>
          <w:highlight w:val="none"/>
          <w:lang w:val="en-US" w:eastAsia="zh-CN"/>
        </w:rPr>
        <w:t>超过最高限价投标无效。</w:t>
      </w:r>
    </w:p>
    <w:p w14:paraId="4B49BE0D">
      <w:pPr>
        <w:pStyle w:val="14"/>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.采购需求（简介）：</w:t>
      </w:r>
    </w:p>
    <w:p w14:paraId="481D7891">
      <w:pPr>
        <w:pStyle w:val="14"/>
        <w:pageBreakBefore w:val="0"/>
        <w:kinsoku/>
        <w:wordWrap/>
        <w:overflowPunct/>
        <w:topLinePunct w:val="0"/>
        <w:autoSpaceDE/>
        <w:autoSpaceDN/>
        <w:bidi w:val="0"/>
        <w:adjustRightInd w:val="0"/>
        <w:snapToGrid w:val="0"/>
        <w:spacing w:before="0" w:beforeAutospacing="0" w:after="0" w:afterAutospacing="0" w:line="400" w:lineRule="exact"/>
        <w:ind w:right="0" w:firstLine="480" w:firstLineChars="200"/>
        <w:jc w:val="left"/>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shd w:val="clear" w:color="auto" w:fill="auto"/>
          <w:lang w:val="en-US" w:eastAsia="zh-CN"/>
        </w:rPr>
        <w:t>6.1对本公司92辆</w:t>
      </w:r>
      <w:r>
        <w:rPr>
          <w:rFonts w:hint="eastAsia" w:ascii="宋体" w:hAnsi="宋体" w:eastAsia="宋体" w:cs="宋体"/>
          <w:b w:val="0"/>
          <w:bCs w:val="0"/>
          <w:color w:val="auto"/>
          <w:sz w:val="24"/>
          <w:szCs w:val="24"/>
          <w:highlight w:val="none"/>
          <w:u w:val="none"/>
          <w:lang w:val="en-US" w:eastAsia="zh-CN"/>
        </w:rPr>
        <w:t>柴油车</w:t>
      </w:r>
      <w:r>
        <w:rPr>
          <w:rFonts w:hint="eastAsia" w:ascii="宋体" w:hAnsi="宋体" w:eastAsia="宋体" w:cs="宋体"/>
          <w:b w:val="0"/>
          <w:bCs w:val="0"/>
          <w:color w:val="auto"/>
          <w:sz w:val="24"/>
          <w:szCs w:val="24"/>
          <w:highlight w:val="none"/>
          <w:u w:val="none"/>
          <w:shd w:val="clear" w:color="auto" w:fill="auto"/>
          <w:lang w:val="en-US" w:eastAsia="zh-CN"/>
        </w:rPr>
        <w:t>汽车</w:t>
      </w:r>
      <w:r>
        <w:rPr>
          <w:rFonts w:hint="eastAsia" w:ascii="宋体" w:hAnsi="宋体" w:cs="宋体"/>
          <w:color w:val="auto"/>
          <w:sz w:val="24"/>
          <w:szCs w:val="24"/>
          <w:highlight w:val="none"/>
          <w:lang w:val="en-US" w:eastAsia="zh-CN"/>
        </w:rPr>
        <w:t>的</w:t>
      </w:r>
      <w:r>
        <w:rPr>
          <w:rFonts w:hint="eastAsia" w:ascii="宋体" w:hAnsi="宋体" w:eastAsia="宋体" w:cs="宋体"/>
          <w:b w:val="0"/>
          <w:bCs w:val="0"/>
          <w:color w:val="auto"/>
          <w:sz w:val="24"/>
          <w:szCs w:val="24"/>
          <w:highlight w:val="none"/>
          <w:u w:val="none"/>
          <w:shd w:val="clear" w:color="auto" w:fill="auto"/>
          <w:lang w:val="en-US" w:eastAsia="zh-CN"/>
        </w:rPr>
        <w:t>车辆保险服务进行</w:t>
      </w:r>
      <w:r>
        <w:rPr>
          <w:rFonts w:hint="eastAsia" w:ascii="宋体" w:hAnsi="宋体" w:eastAsia="宋体" w:cs="宋体"/>
          <w:b w:val="0"/>
          <w:bCs w:val="0"/>
          <w:color w:val="auto"/>
          <w:sz w:val="24"/>
          <w:szCs w:val="24"/>
          <w:highlight w:val="none"/>
          <w:u w:val="none"/>
          <w:lang w:val="en-US" w:eastAsia="zh-CN"/>
        </w:rPr>
        <w:t>采购；</w:t>
      </w:r>
    </w:p>
    <w:p w14:paraId="44A458CB">
      <w:pPr>
        <w:pStyle w:val="14"/>
        <w:pageBreakBefore w:val="0"/>
        <w:kinsoku/>
        <w:wordWrap/>
        <w:overflowPunct/>
        <w:topLinePunct w:val="0"/>
        <w:autoSpaceDE/>
        <w:autoSpaceDN/>
        <w:bidi w:val="0"/>
        <w:adjustRightInd w:val="0"/>
        <w:snapToGrid w:val="0"/>
        <w:spacing w:before="0" w:beforeAutospacing="0" w:after="0" w:afterAutospacing="0" w:line="400" w:lineRule="exact"/>
        <w:ind w:right="0" w:firstLine="480" w:firstLineChars="200"/>
        <w:jc w:val="left"/>
        <w:textAlignment w:val="auto"/>
        <w:outlineLvl w:val="9"/>
        <w:rPr>
          <w:rFonts w:hint="eastAsia" w:ascii="宋体" w:hAnsi="宋体" w:eastAsia="宋体" w:cs="宋体"/>
          <w:b/>
          <w:bCs/>
          <w:color w:val="auto"/>
          <w:sz w:val="24"/>
          <w:szCs w:val="24"/>
          <w:highlight w:val="none"/>
          <w:u w:val="single"/>
          <w:lang w:val="en-US" w:eastAsia="zh-CN"/>
        </w:rPr>
      </w:pPr>
      <w:r>
        <w:rPr>
          <w:rFonts w:hint="eastAsia" w:ascii="宋体" w:hAnsi="宋体" w:cs="宋体"/>
          <w:color w:val="auto"/>
          <w:sz w:val="24"/>
          <w:szCs w:val="24"/>
          <w:highlight w:val="none"/>
          <w:lang w:val="en-US" w:eastAsia="zh-CN"/>
        </w:rPr>
        <w:t>6.2车险</w:t>
      </w:r>
      <w:r>
        <w:rPr>
          <w:rFonts w:hint="eastAsia" w:ascii="宋体" w:hAnsi="宋体" w:cs="宋体"/>
          <w:color w:val="auto"/>
          <w:sz w:val="24"/>
          <w:szCs w:val="24"/>
          <w:highlight w:val="none"/>
        </w:rPr>
        <w:t>含</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交通事故责任强制保险（不含车船使用税）</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第三者责任保险</w:t>
      </w:r>
      <w:r>
        <w:rPr>
          <w:rFonts w:hint="eastAsia" w:ascii="宋体" w:hAnsi="宋体" w:cs="宋体"/>
          <w:color w:val="auto"/>
          <w:sz w:val="24"/>
          <w:szCs w:val="24"/>
          <w:highlight w:val="none"/>
          <w:lang w:val="en-US" w:eastAsia="zh-CN"/>
        </w:rPr>
        <w:t>300万</w:t>
      </w:r>
      <w:r>
        <w:rPr>
          <w:rFonts w:hint="eastAsia" w:ascii="宋体" w:hAnsi="宋体" w:cs="宋体"/>
          <w:color w:val="auto"/>
          <w:sz w:val="24"/>
          <w:szCs w:val="24"/>
          <w:highlight w:val="none"/>
        </w:rPr>
        <w:t>（不计免赔）</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车辆损失险（不计免赔）、</w:t>
      </w:r>
      <w:r>
        <w:rPr>
          <w:rFonts w:hint="eastAsia" w:ascii="宋体" w:hAnsi="宋体" w:cs="宋体"/>
          <w:color w:val="auto"/>
          <w:sz w:val="24"/>
          <w:szCs w:val="24"/>
          <w:highlight w:val="none"/>
          <w:lang w:val="en-US" w:eastAsia="zh-CN"/>
        </w:rPr>
        <w:t>承运人责任险</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150</w:t>
      </w:r>
      <w:r>
        <w:rPr>
          <w:rFonts w:hint="eastAsia" w:ascii="宋体" w:hAnsi="宋体" w:cs="宋体"/>
          <w:color w:val="auto"/>
          <w:sz w:val="24"/>
          <w:szCs w:val="24"/>
          <w:highlight w:val="none"/>
        </w:rPr>
        <w:t>万</w:t>
      </w:r>
      <w:r>
        <w:rPr>
          <w:rFonts w:hint="eastAsia" w:ascii="宋体" w:hAnsi="宋体" w:cs="宋体"/>
          <w:color w:val="auto"/>
          <w:sz w:val="24"/>
          <w:szCs w:val="24"/>
          <w:highlight w:val="none"/>
          <w:lang w:val="en-US" w:eastAsia="zh-CN"/>
        </w:rPr>
        <w:t>/座；</w:t>
      </w:r>
      <w:r>
        <w:rPr>
          <w:rFonts w:hint="eastAsia" w:ascii="宋体" w:hAnsi="宋体" w:cs="宋体"/>
          <w:color w:val="auto"/>
          <w:sz w:val="24"/>
          <w:szCs w:val="24"/>
          <w:highlight w:val="none"/>
        </w:rPr>
        <w:t>含不计免赔）</w:t>
      </w:r>
    </w:p>
    <w:p w14:paraId="79820719">
      <w:pPr>
        <w:pStyle w:val="14"/>
        <w:pageBreakBefore w:val="0"/>
        <w:kinsoku/>
        <w:wordWrap/>
        <w:overflowPunct/>
        <w:topLinePunct w:val="0"/>
        <w:autoSpaceDE/>
        <w:autoSpaceDN/>
        <w:bidi w:val="0"/>
        <w:adjustRightInd w:val="0"/>
        <w:snapToGrid w:val="0"/>
        <w:spacing w:before="0" w:beforeAutospacing="0" w:after="0" w:afterAutospacing="0" w:line="400" w:lineRule="exact"/>
        <w:ind w:right="0" w:firstLine="480" w:firstLineChars="200"/>
        <w:jc w:val="left"/>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6.3车辆续保期限1年；</w:t>
      </w:r>
    </w:p>
    <w:p w14:paraId="7EF86FA6">
      <w:pPr>
        <w:pStyle w:val="14"/>
        <w:pageBreakBefore w:val="0"/>
        <w:kinsoku/>
        <w:wordWrap/>
        <w:overflowPunct/>
        <w:topLinePunct w:val="0"/>
        <w:autoSpaceDE/>
        <w:autoSpaceDN/>
        <w:bidi w:val="0"/>
        <w:adjustRightInd w:val="0"/>
        <w:snapToGrid w:val="0"/>
        <w:spacing w:before="0" w:beforeAutospacing="0" w:after="0" w:afterAutospacing="0" w:line="400" w:lineRule="exact"/>
        <w:ind w:right="0" w:firstLine="480" w:firstLineChars="200"/>
        <w:jc w:val="left"/>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i w:val="0"/>
          <w:iCs w:val="0"/>
          <w:caps w:val="0"/>
          <w:color w:val="auto"/>
          <w:spacing w:val="0"/>
          <w:sz w:val="24"/>
          <w:szCs w:val="24"/>
          <w:highlight w:val="none"/>
          <w:shd w:val="clear" w:color="auto" w:fill="auto"/>
          <w:lang w:val="en-US" w:eastAsia="zh-CN"/>
        </w:rPr>
        <w:t>6.4所有投保车辆须满足自主定价系数低于1.35，取费标准根据中国银保监会《</w:t>
      </w:r>
      <w:bookmarkStart w:id="12" w:name="OLE_LINK1"/>
      <w:r>
        <w:rPr>
          <w:rFonts w:hint="eastAsia" w:ascii="宋体" w:hAnsi="宋体" w:eastAsia="宋体" w:cs="宋体"/>
          <w:i w:val="0"/>
          <w:iCs w:val="0"/>
          <w:caps w:val="0"/>
          <w:color w:val="auto"/>
          <w:spacing w:val="0"/>
          <w:sz w:val="24"/>
          <w:szCs w:val="24"/>
          <w:highlight w:val="none"/>
          <w:shd w:val="clear" w:color="auto" w:fill="auto"/>
          <w:lang w:val="en-US" w:eastAsia="zh-CN"/>
        </w:rPr>
        <w:t>关于印发实施车险综合改革指导意见的通知</w:t>
      </w:r>
      <w:bookmarkEnd w:id="12"/>
      <w:r>
        <w:rPr>
          <w:rFonts w:hint="eastAsia" w:ascii="宋体" w:hAnsi="宋体" w:eastAsia="宋体" w:cs="宋体"/>
          <w:i w:val="0"/>
          <w:iCs w:val="0"/>
          <w:caps w:val="0"/>
          <w:color w:val="auto"/>
          <w:spacing w:val="0"/>
          <w:sz w:val="24"/>
          <w:szCs w:val="24"/>
          <w:highlight w:val="none"/>
          <w:shd w:val="clear" w:color="auto" w:fill="auto"/>
          <w:lang w:val="en-US" w:eastAsia="zh-CN"/>
        </w:rPr>
        <w:t>》</w:t>
      </w:r>
    </w:p>
    <w:p w14:paraId="2C770AEC">
      <w:pPr>
        <w:pStyle w:val="14"/>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i w:val="0"/>
          <w:iCs w:val="0"/>
          <w:caps w:val="0"/>
          <w:color w:val="auto"/>
          <w:spacing w:val="0"/>
          <w:sz w:val="24"/>
          <w:szCs w:val="24"/>
          <w:highlight w:val="none"/>
          <w:shd w:val="clear" w:color="auto" w:fill="auto"/>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.合同履行期限：</w:t>
      </w:r>
      <w:r>
        <w:rPr>
          <w:rFonts w:hint="eastAsia" w:ascii="宋体" w:hAnsi="宋体" w:eastAsia="宋体" w:cs="宋体"/>
          <w:i w:val="0"/>
          <w:iCs w:val="0"/>
          <w:caps w:val="0"/>
          <w:color w:val="auto"/>
          <w:spacing w:val="0"/>
          <w:sz w:val="24"/>
          <w:szCs w:val="24"/>
          <w:highlight w:val="none"/>
          <w:shd w:val="clear" w:color="auto" w:fill="auto"/>
          <w:lang w:val="en-US" w:eastAsia="zh-CN"/>
        </w:rPr>
        <w:t>1年</w:t>
      </w:r>
    </w:p>
    <w:p w14:paraId="52432C18">
      <w:pPr>
        <w:pStyle w:val="14"/>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本项目</w:t>
      </w:r>
      <w:r>
        <w:rPr>
          <w:rFonts w:hint="eastAsia" w:ascii="宋体" w:hAnsi="宋体" w:eastAsia="宋体" w:cs="宋体"/>
          <w:color w:val="auto"/>
          <w:sz w:val="24"/>
          <w:szCs w:val="24"/>
          <w:highlight w:val="none"/>
          <w:lang w:val="en-US" w:eastAsia="zh-CN"/>
        </w:rPr>
        <w:t>不</w:t>
      </w:r>
      <w:r>
        <w:rPr>
          <w:rFonts w:hint="eastAsia" w:ascii="宋体" w:hAnsi="宋体" w:eastAsia="宋体" w:cs="宋体"/>
          <w:color w:val="auto"/>
          <w:sz w:val="24"/>
          <w:szCs w:val="24"/>
          <w:highlight w:val="none"/>
        </w:rPr>
        <w:t>接受联合体参与</w:t>
      </w:r>
      <w:r>
        <w:rPr>
          <w:rFonts w:hint="eastAsia" w:ascii="宋体" w:hAnsi="宋体" w:eastAsia="宋体" w:cs="宋体"/>
          <w:color w:val="auto"/>
          <w:sz w:val="24"/>
          <w:szCs w:val="24"/>
          <w:highlight w:val="none"/>
          <w:lang w:val="en-US" w:eastAsia="zh-CN"/>
        </w:rPr>
        <w:t>招标。</w:t>
      </w:r>
    </w:p>
    <w:p w14:paraId="0D95F988">
      <w:pPr>
        <w:pStyle w:val="14"/>
        <w:keepNext/>
        <w:keepLines/>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2" w:firstLineChars="200"/>
        <w:jc w:val="left"/>
        <w:textAlignment w:val="auto"/>
        <w:outlineLvl w:val="9"/>
        <w:rPr>
          <w:rFonts w:hint="eastAsia" w:ascii="宋体" w:hAnsi="宋体" w:eastAsia="宋体" w:cs="宋体"/>
          <w:color w:val="auto"/>
          <w:sz w:val="24"/>
          <w:szCs w:val="24"/>
          <w:highlight w:val="none"/>
        </w:rPr>
      </w:pPr>
      <w:bookmarkStart w:id="13" w:name="_Toc35393791"/>
      <w:bookmarkStart w:id="14" w:name="_Toc28359003"/>
      <w:bookmarkStart w:id="15" w:name="_Toc38985264"/>
      <w:bookmarkStart w:id="16" w:name="_Toc28359080"/>
      <w:bookmarkStart w:id="17" w:name="_Toc35393622"/>
      <w:r>
        <w:rPr>
          <w:rFonts w:hint="eastAsia" w:ascii="宋体" w:hAnsi="宋体" w:eastAsia="宋体" w:cs="宋体"/>
          <w:b/>
          <w:color w:val="auto"/>
          <w:sz w:val="24"/>
          <w:szCs w:val="24"/>
          <w:highlight w:val="none"/>
        </w:rPr>
        <w:t>二、申请人的资格要求：</w:t>
      </w:r>
      <w:bookmarkEnd w:id="13"/>
      <w:bookmarkEnd w:id="14"/>
      <w:bookmarkEnd w:id="15"/>
      <w:bookmarkEnd w:id="16"/>
      <w:bookmarkEnd w:id="17"/>
    </w:p>
    <w:p w14:paraId="1D22B421">
      <w:pPr>
        <w:pStyle w:val="14"/>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投标供应商须</w:t>
      </w:r>
      <w:r>
        <w:rPr>
          <w:rFonts w:hint="eastAsia" w:ascii="宋体" w:hAnsi="宋体" w:eastAsia="宋体" w:cs="宋体"/>
          <w:color w:val="auto"/>
          <w:sz w:val="24"/>
          <w:szCs w:val="24"/>
          <w:highlight w:val="none"/>
        </w:rPr>
        <w:t>满足</w:t>
      </w:r>
      <w:r>
        <w:rPr>
          <w:rFonts w:hint="eastAsia" w:ascii="宋体" w:hAnsi="宋体" w:eastAsia="宋体" w:cs="宋体"/>
          <w:color w:val="auto"/>
          <w:sz w:val="24"/>
          <w:szCs w:val="24"/>
          <w:highlight w:val="none"/>
          <w:lang w:val="en-US" w:eastAsia="zh-CN"/>
        </w:rPr>
        <w:t>以下条件</w:t>
      </w:r>
      <w:r>
        <w:rPr>
          <w:rFonts w:hint="eastAsia" w:ascii="宋体" w:hAnsi="宋体" w:eastAsia="宋体" w:cs="宋体"/>
          <w:color w:val="auto"/>
          <w:sz w:val="24"/>
          <w:szCs w:val="24"/>
          <w:highlight w:val="none"/>
        </w:rPr>
        <w:t>并提供下列材料：</w:t>
      </w:r>
    </w:p>
    <w:p w14:paraId="3839587F">
      <w:pPr>
        <w:pStyle w:val="14"/>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法人或者其他组织的营业执照等证明文件，自然人的身份证明；</w:t>
      </w:r>
    </w:p>
    <w:p w14:paraId="747B7FCD">
      <w:pPr>
        <w:pStyle w:val="14"/>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1.2上一年度的财务状况报</w:t>
      </w:r>
      <w:r>
        <w:rPr>
          <w:rFonts w:hint="eastAsia" w:ascii="宋体" w:hAnsi="宋体" w:eastAsia="宋体" w:cs="宋体"/>
          <w:color w:val="auto"/>
          <w:sz w:val="24"/>
          <w:szCs w:val="24"/>
          <w:highlight w:val="none"/>
          <w:lang w:val="en-US" w:eastAsia="zh-CN"/>
        </w:rPr>
        <w:t>告</w:t>
      </w:r>
      <w:r>
        <w:rPr>
          <w:rFonts w:hint="eastAsia" w:ascii="宋体" w:hAnsi="宋体" w:eastAsia="宋体" w:cs="宋体"/>
          <w:color w:val="auto"/>
          <w:sz w:val="24"/>
          <w:szCs w:val="24"/>
          <w:highlight w:val="none"/>
        </w:rPr>
        <w:t>（成立不满一年无需提供）；</w:t>
      </w:r>
    </w:p>
    <w:p w14:paraId="1459E6E0">
      <w:pPr>
        <w:pStyle w:val="14"/>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rPr>
        <w:t>具备履行合同所必需的设备和专业技术能力的书面声明；</w:t>
      </w:r>
    </w:p>
    <w:p w14:paraId="5312617D">
      <w:pPr>
        <w:pStyle w:val="14"/>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依法缴纳税收和社会保障资金的相关材料（提供提交响应文件截止时间前一年内至少一个月依法缴纳税收及缴纳社会保障资金的证明材料。供应商依法享受缓缴、免缴税收、社会保障资金的提供证明材料。）；</w:t>
      </w:r>
    </w:p>
    <w:p w14:paraId="1905CC55">
      <w:pPr>
        <w:pStyle w:val="14"/>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.5参加政府采购活动前3年内在经营活动中没有重大违法记录的书面声明。</w:t>
      </w:r>
    </w:p>
    <w:p w14:paraId="48E03DAE">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1.6法律、行政法规规定的其他条件。</w:t>
      </w:r>
    </w:p>
    <w:p w14:paraId="359C15D0">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1.7</w:t>
      </w:r>
      <w:r>
        <w:rPr>
          <w:rFonts w:hint="eastAsia" w:ascii="宋体" w:hAnsi="宋体" w:eastAsia="宋体" w:cs="宋体"/>
          <w:color w:val="auto"/>
          <w:sz w:val="24"/>
          <w:szCs w:val="24"/>
          <w:highlight w:val="none"/>
        </w:rPr>
        <w:t>在“信用中国”网站查询，无被列入失信被执行人、重大税收违法案件当事人名单、政府采购严重失信行为记录名单。（响应文件中</w:t>
      </w:r>
      <w:r>
        <w:rPr>
          <w:rFonts w:hint="eastAsia" w:ascii="宋体" w:hAnsi="宋体" w:eastAsia="宋体" w:cs="宋体"/>
          <w:color w:val="auto"/>
          <w:sz w:val="24"/>
          <w:szCs w:val="24"/>
          <w:highlight w:val="none"/>
          <w:lang w:val="en-US" w:eastAsia="zh-CN"/>
        </w:rPr>
        <w:t>须</w:t>
      </w:r>
      <w:r>
        <w:rPr>
          <w:rFonts w:hint="eastAsia" w:ascii="宋体" w:hAnsi="宋体" w:eastAsia="宋体" w:cs="宋体"/>
          <w:color w:val="auto"/>
          <w:sz w:val="24"/>
          <w:szCs w:val="24"/>
          <w:highlight w:val="none"/>
        </w:rPr>
        <w:t>提供</w:t>
      </w:r>
      <w:r>
        <w:rPr>
          <w:rFonts w:hint="eastAsia" w:ascii="宋体" w:hAnsi="宋体" w:eastAsia="宋体" w:cs="宋体"/>
          <w:color w:val="auto"/>
          <w:sz w:val="24"/>
          <w:szCs w:val="24"/>
          <w:highlight w:val="none"/>
          <w:lang w:val="en-US" w:eastAsia="zh-CN"/>
        </w:rPr>
        <w:t>网站查询截图</w:t>
      </w:r>
      <w:r>
        <w:rPr>
          <w:rFonts w:hint="eastAsia" w:ascii="宋体" w:hAnsi="宋体" w:eastAsia="宋体" w:cs="宋体"/>
          <w:color w:val="auto"/>
          <w:sz w:val="24"/>
          <w:szCs w:val="24"/>
          <w:highlight w:val="none"/>
        </w:rPr>
        <w:t>）</w:t>
      </w:r>
    </w:p>
    <w:p w14:paraId="57A41D00">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1.8</w:t>
      </w:r>
      <w:r>
        <w:rPr>
          <w:rFonts w:hint="eastAsia" w:ascii="宋体" w:hAnsi="宋体" w:eastAsia="宋体" w:cs="宋体"/>
          <w:color w:val="auto"/>
          <w:sz w:val="24"/>
          <w:szCs w:val="24"/>
          <w:highlight w:val="none"/>
        </w:rPr>
        <w:t>单位负责人为同一人或者存在直接控股、管理关系的不同供应商，不得参加同一合同项下的政府采购活动。</w:t>
      </w:r>
    </w:p>
    <w:p w14:paraId="444123D7">
      <w:pPr>
        <w:pStyle w:val="14"/>
        <w:pageBreakBefore w:val="0"/>
        <w:kinsoku/>
        <w:wordWrap/>
        <w:overflowPunct/>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落实政府采购政策需满足的资格要求：无</w:t>
      </w:r>
      <w:r>
        <w:rPr>
          <w:rFonts w:hint="eastAsia" w:ascii="宋体" w:hAnsi="宋体" w:eastAsia="宋体" w:cs="宋体"/>
          <w:color w:val="auto"/>
          <w:sz w:val="24"/>
          <w:szCs w:val="24"/>
          <w:highlight w:val="none"/>
          <w:lang w:eastAsia="zh-CN"/>
        </w:rPr>
        <w:t>。</w:t>
      </w:r>
    </w:p>
    <w:p w14:paraId="436E0750">
      <w:pPr>
        <w:pStyle w:val="14"/>
        <w:pageBreakBefore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本项目的特定资格要求</w:t>
      </w:r>
      <w:r>
        <w:rPr>
          <w:rFonts w:hint="eastAsia" w:ascii="宋体" w:hAnsi="宋体" w:eastAsia="宋体" w:cs="宋体"/>
          <w:color w:val="auto"/>
          <w:sz w:val="24"/>
          <w:szCs w:val="24"/>
          <w:highlight w:val="none"/>
          <w:lang w:eastAsia="zh-CN"/>
        </w:rPr>
        <w:t>：</w:t>
      </w:r>
    </w:p>
    <w:p w14:paraId="6CB52AA5">
      <w:pPr>
        <w:pStyle w:val="14"/>
        <w:pageBreakBefore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3.1投标人如委托被授权人参与，则被授权人须为本单位正式职工并提供投标人为被授权人缴纳的社会养老保险证明（投标时提供从2025年 6 月开始至投标截止之日当月至少1个月在本单位缴纳养老保险缴费记录证明）；</w:t>
      </w:r>
    </w:p>
    <w:p w14:paraId="7153E891">
      <w:pPr>
        <w:pStyle w:val="14"/>
        <w:pageBreakBefore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3.2投标人须具有中国银行保险监督管理委员会颁发的《保险许可证》，投标时须提供证书原件的彩色扫描件。</w:t>
      </w:r>
      <w:r>
        <w:rPr>
          <w:rFonts w:hint="eastAsia" w:ascii="宋体" w:hAnsi="宋体" w:eastAsia="宋体" w:cs="宋体"/>
          <w:color w:val="auto"/>
          <w:sz w:val="24"/>
          <w:szCs w:val="24"/>
          <w:highlight w:val="none"/>
          <w:shd w:val="clear" w:color="auto" w:fill="auto"/>
          <w:lang w:val="en-US" w:eastAsia="zh-CN"/>
        </w:rPr>
        <w:tab/>
      </w:r>
    </w:p>
    <w:p w14:paraId="05B609E4">
      <w:pPr>
        <w:pStyle w:val="14"/>
        <w:pageBreakBefore w:val="0"/>
        <w:kinsoku/>
        <w:wordWrap/>
        <w:overflowPunct/>
        <w:topLinePunct w:val="0"/>
        <w:autoSpaceDE/>
        <w:autoSpaceDN/>
        <w:bidi w:val="0"/>
        <w:adjustRightInd w:val="0"/>
        <w:snapToGrid w:val="0"/>
        <w:spacing w:beforeAutospacing="0" w:afterAutospacing="0" w:line="500" w:lineRule="exact"/>
        <w:ind w:left="0" w:right="0" w:firstLine="482" w:firstLineChars="200"/>
        <w:jc w:val="left"/>
        <w:textAlignment w:val="auto"/>
        <w:outlineLvl w:val="9"/>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b/>
          <w:bCs/>
          <w:color w:val="auto"/>
          <w:sz w:val="24"/>
          <w:szCs w:val="24"/>
          <w:highlight w:val="none"/>
          <w:lang w:val="en-US" w:eastAsia="zh-CN"/>
        </w:rPr>
        <w:t>注：本项目投标人分支机构的负责人视同为投标人法定代表人。</w:t>
      </w:r>
    </w:p>
    <w:p w14:paraId="63754E56">
      <w:pPr>
        <w:pStyle w:val="14"/>
        <w:keepNext/>
        <w:keepLines/>
        <w:pageBreakBefore w:val="0"/>
        <w:kinsoku/>
        <w:wordWrap/>
        <w:overflowPunct/>
        <w:bidi w:val="0"/>
        <w:adjustRightInd w:val="0"/>
        <w:snapToGrid w:val="0"/>
        <w:spacing w:beforeAutospacing="0" w:afterAutospacing="0" w:line="500" w:lineRule="exact"/>
        <w:ind w:left="0" w:right="0" w:firstLine="482"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三、获取招标文件</w:t>
      </w:r>
    </w:p>
    <w:p w14:paraId="46229C6B">
      <w:pPr>
        <w:pageBreakBefore w:val="0"/>
        <w:kinsoku/>
        <w:wordWrap/>
        <w:overflowPunct/>
        <w:bidi w:val="0"/>
        <w:adjustRightInd w:val="0"/>
        <w:snapToGrid w:val="0"/>
        <w:spacing w:line="500" w:lineRule="exact"/>
        <w:ind w:left="0" w:right="0" w:firstLine="480" w:firstLineChars="200"/>
        <w:jc w:val="left"/>
        <w:textAlignment w:val="auto"/>
        <w:outlineLvl w:val="9"/>
        <w:rPr>
          <w:rFonts w:hint="eastAsia" w:ascii="宋体" w:hAnsi="宋体" w:cs="宋体"/>
          <w:color w:val="0000FF"/>
          <w:sz w:val="24"/>
          <w:highlight w:val="none"/>
        </w:rPr>
      </w:pPr>
      <w:r>
        <w:rPr>
          <w:rFonts w:hint="eastAsia" w:ascii="宋体" w:hAnsi="宋体" w:cs="宋体"/>
          <w:color w:val="auto"/>
          <w:sz w:val="24"/>
          <w:highlight w:val="none"/>
        </w:rPr>
        <w:t>1.开始发放时间：202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30</w:t>
      </w:r>
      <w:r>
        <w:rPr>
          <w:rFonts w:hint="eastAsia" w:ascii="宋体" w:hAnsi="宋体" w:cs="宋体"/>
          <w:color w:val="auto"/>
          <w:sz w:val="24"/>
          <w:highlight w:val="none"/>
        </w:rPr>
        <w:t>日至202</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11</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日</w:t>
      </w:r>
    </w:p>
    <w:p w14:paraId="37DD865F">
      <w:pPr>
        <w:pageBreakBefore w:val="0"/>
        <w:kinsoku/>
        <w:wordWrap/>
        <w:overflowPunct/>
        <w:bidi w:val="0"/>
        <w:adjustRightInd w:val="0"/>
        <w:snapToGrid w:val="0"/>
        <w:spacing w:line="5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地点：响水县人民政府网（http://www.xiangshui.gov.cn/）</w:t>
      </w:r>
    </w:p>
    <w:p w14:paraId="2F537A97">
      <w:pPr>
        <w:pageBreakBefore w:val="0"/>
        <w:kinsoku/>
        <w:wordWrap/>
        <w:overflowPunct/>
        <w:bidi w:val="0"/>
        <w:adjustRightInd w:val="0"/>
        <w:snapToGrid w:val="0"/>
        <w:spacing w:line="5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方式：符合资格要求的投标人可自行登录“响水县人民政府网-招投标信息“国企采购-采购公告栏”下载招标文件。</w:t>
      </w:r>
    </w:p>
    <w:p w14:paraId="48944B76">
      <w:pPr>
        <w:pStyle w:val="14"/>
        <w:keepNext/>
        <w:keepLines/>
        <w:pageBreakBefore w:val="0"/>
        <w:kinsoku/>
        <w:wordWrap/>
        <w:overflowPunct/>
        <w:bidi w:val="0"/>
        <w:adjustRightInd w:val="0"/>
        <w:snapToGrid w:val="0"/>
        <w:spacing w:beforeAutospacing="0" w:afterAutospacing="0" w:line="500" w:lineRule="exact"/>
        <w:ind w:left="0" w:right="0" w:firstLine="482"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四、提交投标文件截止时间、开标时间和地点</w:t>
      </w:r>
    </w:p>
    <w:p w14:paraId="56E15601">
      <w:pPr>
        <w:pageBreakBefore w:val="0"/>
        <w:kinsoku/>
        <w:wordWrap/>
        <w:overflowPunct/>
        <w:bidi w:val="0"/>
        <w:adjustRightInd w:val="0"/>
        <w:snapToGrid w:val="0"/>
        <w:spacing w:line="500" w:lineRule="exact"/>
        <w:ind w:left="0" w:right="0" w:firstLine="480" w:firstLineChars="200"/>
        <w:jc w:val="left"/>
        <w:textAlignment w:val="auto"/>
        <w:outlineLvl w:val="9"/>
        <w:rPr>
          <w:rFonts w:hint="eastAsia" w:ascii="宋体" w:hAnsi="宋体" w:cs="宋体"/>
          <w:bCs/>
          <w:color w:val="auto"/>
          <w:sz w:val="24"/>
          <w:highlight w:val="none"/>
        </w:rPr>
      </w:pPr>
      <w:bookmarkStart w:id="18" w:name="_Toc28359084"/>
      <w:bookmarkStart w:id="19" w:name="_Toc35393794"/>
      <w:bookmarkStart w:id="20" w:name="_Toc38985267"/>
      <w:bookmarkStart w:id="21" w:name="_Toc35393625"/>
      <w:bookmarkStart w:id="22" w:name="_Toc28359007"/>
      <w:r>
        <w:rPr>
          <w:rFonts w:hint="eastAsia" w:ascii="宋体" w:hAnsi="宋体" w:cs="宋体"/>
          <w:bCs/>
          <w:color w:val="auto"/>
          <w:sz w:val="24"/>
          <w:highlight w:val="none"/>
          <w:lang w:val="en-US" w:eastAsia="zh-CN"/>
        </w:rPr>
        <w:t>1.</w:t>
      </w:r>
      <w:r>
        <w:rPr>
          <w:rFonts w:hint="eastAsia" w:ascii="宋体" w:hAnsi="宋体" w:cs="宋体"/>
          <w:bCs/>
          <w:color w:val="auto"/>
          <w:sz w:val="24"/>
          <w:highlight w:val="none"/>
        </w:rPr>
        <w:t>提交投标文件截止时间：202</w:t>
      </w:r>
      <w:r>
        <w:rPr>
          <w:rFonts w:hint="eastAsia" w:ascii="宋体" w:hAnsi="宋体" w:cs="宋体"/>
          <w:bCs/>
          <w:color w:val="auto"/>
          <w:sz w:val="24"/>
          <w:highlight w:val="none"/>
          <w:lang w:val="en-US" w:eastAsia="zh-CN"/>
        </w:rPr>
        <w:t>5</w:t>
      </w:r>
      <w:r>
        <w:rPr>
          <w:rFonts w:hint="eastAsia" w:ascii="宋体" w:hAnsi="宋体" w:cs="宋体"/>
          <w:bCs/>
          <w:color w:val="auto"/>
          <w:sz w:val="24"/>
          <w:highlight w:val="none"/>
        </w:rPr>
        <w:t>年</w:t>
      </w:r>
      <w:r>
        <w:rPr>
          <w:rFonts w:hint="eastAsia" w:ascii="宋体" w:hAnsi="宋体" w:cs="宋体"/>
          <w:bCs/>
          <w:color w:val="auto"/>
          <w:sz w:val="24"/>
          <w:highlight w:val="none"/>
          <w:lang w:val="en-US" w:eastAsia="zh-CN"/>
        </w:rPr>
        <w:t>11</w:t>
      </w:r>
      <w:r>
        <w:rPr>
          <w:rFonts w:hint="eastAsia" w:ascii="宋体" w:hAnsi="宋体" w:cs="宋体"/>
          <w:bCs/>
          <w:color w:val="auto"/>
          <w:sz w:val="24"/>
          <w:highlight w:val="none"/>
        </w:rPr>
        <w:t>月</w:t>
      </w:r>
      <w:r>
        <w:rPr>
          <w:rFonts w:hint="eastAsia" w:ascii="宋体" w:hAnsi="宋体" w:cs="宋体"/>
          <w:bCs/>
          <w:color w:val="auto"/>
          <w:sz w:val="24"/>
          <w:highlight w:val="none"/>
          <w:u w:val="none"/>
          <w:lang w:val="en-US" w:eastAsia="zh-CN"/>
        </w:rPr>
        <w:t>21</w:t>
      </w:r>
      <w:r>
        <w:rPr>
          <w:rFonts w:hint="eastAsia" w:ascii="宋体" w:hAnsi="宋体" w:cs="宋体"/>
          <w:bCs/>
          <w:color w:val="auto"/>
          <w:sz w:val="24"/>
          <w:highlight w:val="none"/>
        </w:rPr>
        <w:t>日</w:t>
      </w:r>
      <w:r>
        <w:rPr>
          <w:rFonts w:hint="eastAsia" w:ascii="宋体" w:hAnsi="宋体" w:cs="宋体"/>
          <w:bCs/>
          <w:color w:val="auto"/>
          <w:sz w:val="24"/>
          <w:highlight w:val="none"/>
          <w:lang w:val="en-US" w:eastAsia="zh-CN"/>
        </w:rPr>
        <w:t>09:</w:t>
      </w:r>
      <w:r>
        <w:rPr>
          <w:rFonts w:hint="eastAsia" w:ascii="宋体" w:hAnsi="宋体" w:cs="宋体"/>
          <w:bCs/>
          <w:color w:val="auto"/>
          <w:sz w:val="24"/>
          <w:highlight w:val="none"/>
        </w:rPr>
        <w:t>00分（北京时间）</w:t>
      </w:r>
    </w:p>
    <w:p w14:paraId="0BC2F648">
      <w:pPr>
        <w:pageBreakBefore w:val="0"/>
        <w:kinsoku/>
        <w:wordWrap/>
        <w:overflowPunct/>
        <w:bidi w:val="0"/>
        <w:adjustRightInd w:val="0"/>
        <w:snapToGrid w:val="0"/>
        <w:spacing w:line="5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开标时间：</w:t>
      </w:r>
      <w:r>
        <w:rPr>
          <w:rFonts w:hint="eastAsia" w:ascii="宋体" w:hAnsi="宋体" w:cs="宋体"/>
          <w:bCs/>
          <w:color w:val="auto"/>
          <w:sz w:val="24"/>
          <w:highlight w:val="none"/>
        </w:rPr>
        <w:t>202</w:t>
      </w:r>
      <w:r>
        <w:rPr>
          <w:rFonts w:hint="eastAsia" w:ascii="宋体" w:hAnsi="宋体" w:cs="宋体"/>
          <w:bCs/>
          <w:color w:val="auto"/>
          <w:sz w:val="24"/>
          <w:highlight w:val="none"/>
          <w:lang w:val="en-US" w:eastAsia="zh-CN"/>
        </w:rPr>
        <w:t>5</w:t>
      </w:r>
      <w:r>
        <w:rPr>
          <w:rFonts w:hint="eastAsia" w:ascii="宋体" w:hAnsi="宋体" w:cs="宋体"/>
          <w:bCs/>
          <w:color w:val="auto"/>
          <w:sz w:val="24"/>
          <w:highlight w:val="none"/>
        </w:rPr>
        <w:t>年</w:t>
      </w:r>
      <w:r>
        <w:rPr>
          <w:rFonts w:hint="eastAsia" w:ascii="宋体" w:hAnsi="宋体" w:cs="宋体"/>
          <w:bCs/>
          <w:color w:val="auto"/>
          <w:sz w:val="24"/>
          <w:highlight w:val="none"/>
          <w:lang w:val="en-US" w:eastAsia="zh-CN"/>
        </w:rPr>
        <w:t>11</w:t>
      </w:r>
      <w:r>
        <w:rPr>
          <w:rFonts w:hint="eastAsia" w:ascii="宋体" w:hAnsi="宋体" w:cs="宋体"/>
          <w:bCs/>
          <w:color w:val="auto"/>
          <w:sz w:val="24"/>
          <w:highlight w:val="none"/>
        </w:rPr>
        <w:t>月</w:t>
      </w:r>
      <w:r>
        <w:rPr>
          <w:rFonts w:hint="eastAsia" w:ascii="宋体" w:hAnsi="宋体" w:cs="宋体"/>
          <w:bCs/>
          <w:color w:val="auto"/>
          <w:sz w:val="24"/>
          <w:highlight w:val="none"/>
          <w:lang w:val="en-US" w:eastAsia="zh-CN"/>
        </w:rPr>
        <w:t>21</w:t>
      </w:r>
      <w:r>
        <w:rPr>
          <w:rFonts w:hint="eastAsia" w:ascii="宋体" w:hAnsi="宋体" w:cs="宋体"/>
          <w:bCs/>
          <w:color w:val="auto"/>
          <w:sz w:val="24"/>
          <w:highlight w:val="none"/>
        </w:rPr>
        <w:t>日</w:t>
      </w:r>
      <w:r>
        <w:rPr>
          <w:rFonts w:hint="eastAsia" w:ascii="宋体" w:hAnsi="宋体" w:cs="宋体"/>
          <w:bCs/>
          <w:color w:val="auto"/>
          <w:sz w:val="24"/>
          <w:highlight w:val="none"/>
          <w:lang w:val="en-US" w:eastAsia="zh-CN"/>
        </w:rPr>
        <w:t>09:</w:t>
      </w:r>
      <w:r>
        <w:rPr>
          <w:rFonts w:hint="eastAsia" w:ascii="宋体" w:hAnsi="宋体" w:cs="宋体"/>
          <w:bCs/>
          <w:color w:val="auto"/>
          <w:sz w:val="24"/>
          <w:highlight w:val="none"/>
        </w:rPr>
        <w:t>00分（北京时间）</w:t>
      </w:r>
    </w:p>
    <w:p w14:paraId="4D1F9367">
      <w:pPr>
        <w:keepNext w:val="0"/>
        <w:keepLines w:val="0"/>
        <w:pageBreakBefore w:val="0"/>
        <w:widowControl w:val="0"/>
        <w:kinsoku/>
        <w:wordWrap/>
        <w:overflowPunct/>
        <w:topLinePunct w:val="0"/>
        <w:autoSpaceDE/>
        <w:autoSpaceDN/>
        <w:bidi w:val="0"/>
        <w:adjustRightInd w:val="0"/>
        <w:snapToGrid w:val="0"/>
        <w:spacing w:line="5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投标地点：上传加密的投标文件至采购人指定邮箱：</w:t>
      </w:r>
      <w:r>
        <w:rPr>
          <w:rFonts w:hint="eastAsia" w:ascii="宋体" w:hAnsi="宋体" w:cs="宋体"/>
          <w:b/>
          <w:bCs/>
          <w:color w:val="FF0000"/>
          <w:sz w:val="24"/>
          <w:highlight w:val="none"/>
          <w:u w:val="single"/>
          <w:lang w:val="en-US" w:eastAsia="zh-CN"/>
        </w:rPr>
        <w:t>467032405@qq.com</w:t>
      </w:r>
      <w:r>
        <w:rPr>
          <w:rFonts w:hint="eastAsia" w:ascii="宋体" w:hAnsi="宋体" w:cs="宋体"/>
          <w:color w:val="FF0000"/>
          <w:sz w:val="24"/>
          <w:highlight w:val="none"/>
        </w:rPr>
        <w:t>。</w:t>
      </w:r>
    </w:p>
    <w:p w14:paraId="723B39BB">
      <w:pPr>
        <w:pageBreakBefore w:val="0"/>
        <w:widowControl/>
        <w:tabs>
          <w:tab w:val="left" w:pos="900"/>
        </w:tabs>
        <w:kinsoku/>
        <w:wordWrap/>
        <w:overflowPunct/>
        <w:bidi w:val="0"/>
        <w:adjustRightInd w:val="0"/>
        <w:snapToGrid w:val="0"/>
        <w:spacing w:line="500" w:lineRule="exact"/>
        <w:ind w:left="0" w:right="0" w:firstLine="420" w:firstLineChars="200"/>
        <w:jc w:val="left"/>
        <w:textAlignment w:val="auto"/>
        <w:outlineLvl w:val="9"/>
        <w:rPr>
          <w:rFonts w:hint="eastAsia" w:ascii="宋体" w:hAnsi="宋体" w:cs="宋体"/>
          <w:color w:val="auto"/>
          <w:sz w:val="24"/>
          <w:highlight w:val="none"/>
          <w:lang w:val="en-US" w:eastAsia="zh-CN"/>
        </w:rPr>
      </w:pPr>
      <w:r>
        <w:rPr>
          <w:rFonts w:hint="eastAsia" w:ascii="宋体" w:hAnsi="宋体" w:eastAsia="宋体" w:cs="宋体"/>
          <w:b w:val="0"/>
          <w:bCs w:val="0"/>
          <w:color w:val="auto"/>
          <w:sz w:val="21"/>
          <w:szCs w:val="21"/>
          <w:highlight w:val="none"/>
          <w:lang w:val="en-US" w:eastAsia="zh-CN"/>
        </w:rPr>
        <w:t>逾期递交或未递交至指定邮箱的投标文件，招标人不予接收。邮件发送主题上标明：投标人名称（可简写）+</w:t>
      </w:r>
      <w:r>
        <w:rPr>
          <w:rFonts w:hint="eastAsia" w:ascii="宋体" w:hAnsi="宋体" w:eastAsia="宋体" w:cs="宋体"/>
          <w:b/>
          <w:bCs/>
          <w:color w:val="auto"/>
          <w:sz w:val="21"/>
          <w:szCs w:val="21"/>
          <w:highlight w:val="none"/>
          <w:lang w:val="en-US" w:eastAsia="zh-CN"/>
        </w:rPr>
        <w:t>安捷公司投标文件</w:t>
      </w:r>
      <w:r>
        <w:rPr>
          <w:rFonts w:hint="eastAsia" w:ascii="宋体" w:hAnsi="宋体" w:eastAsia="宋体" w:cs="宋体"/>
          <w:b w:val="0"/>
          <w:bCs w:val="0"/>
          <w:color w:val="auto"/>
          <w:sz w:val="21"/>
          <w:szCs w:val="21"/>
          <w:highlight w:val="none"/>
          <w:lang w:val="en-US" w:eastAsia="zh-CN"/>
        </w:rPr>
        <w:t>。邮件中标明手机联系号码，便于代理公司开标时及时联系投标人。</w:t>
      </w:r>
    </w:p>
    <w:p w14:paraId="06E5367A">
      <w:pPr>
        <w:pStyle w:val="25"/>
        <w:pageBreakBefore w:val="0"/>
        <w:tabs>
          <w:tab w:val="left" w:pos="3304"/>
        </w:tabs>
        <w:kinsoku/>
        <w:overflowPunct/>
        <w:autoSpaceDE/>
        <w:bidi w:val="0"/>
        <w:adjustRightInd/>
        <w:spacing w:line="400" w:lineRule="exact"/>
        <w:ind w:firstLine="422" w:firstLineChars="200"/>
        <w:textAlignment w:val="auto"/>
        <w:rPr>
          <w:rFonts w:hint="eastAsia" w:ascii="宋体" w:hAnsi="宋体" w:cs="宋体"/>
          <w:color w:val="auto"/>
          <w:sz w:val="24"/>
          <w:highlight w:val="none"/>
          <w:lang w:val="en-US" w:eastAsia="zh-CN"/>
        </w:rPr>
      </w:pPr>
      <w:r>
        <w:rPr>
          <w:rFonts w:hint="eastAsia" w:ascii="宋体" w:hAnsi="宋体" w:cs="宋体"/>
          <w:b/>
          <w:bCs/>
          <w:color w:val="auto"/>
          <w:sz w:val="21"/>
          <w:szCs w:val="21"/>
          <w:highlight w:val="none"/>
        </w:rPr>
        <w:t>投标文件加密方法：</w:t>
      </w:r>
      <w:r>
        <w:rPr>
          <w:rFonts w:hint="eastAsia" w:ascii="宋体" w:hAnsi="宋体" w:cs="宋体"/>
          <w:color w:val="auto"/>
          <w:sz w:val="21"/>
          <w:szCs w:val="21"/>
          <w:highlight w:val="none"/>
        </w:rPr>
        <w:t>所有投标文件（PDF格式）打包后装入一个文件夹 → 右键要加密的文件夹，选择“添加到压缩文件”→ 点击“设置密码”，输入密码并重复确认 → 生成加密压缩文件 → 上传至招标人指定邮箱。压缩包文件名为“投标人名称</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可简写</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w:t>
      </w:r>
      <w:r>
        <w:rPr>
          <w:rFonts w:hint="eastAsia" w:ascii="宋体" w:hAnsi="宋体" w:cs="宋体"/>
          <w:b/>
          <w:bCs/>
          <w:color w:val="auto"/>
          <w:sz w:val="21"/>
          <w:szCs w:val="21"/>
          <w:highlight w:val="none"/>
          <w:lang w:val="en-US" w:eastAsia="zh-CN"/>
        </w:rPr>
        <w:t>安捷公司</w:t>
      </w:r>
      <w:r>
        <w:rPr>
          <w:rFonts w:hint="eastAsia" w:ascii="宋体" w:hAnsi="宋体" w:cs="宋体"/>
          <w:b/>
          <w:bCs/>
          <w:color w:val="auto"/>
          <w:sz w:val="21"/>
          <w:szCs w:val="21"/>
          <w:highlight w:val="none"/>
        </w:rPr>
        <w:t>投标文件</w:t>
      </w:r>
      <w:r>
        <w:rPr>
          <w:rFonts w:hint="eastAsia" w:ascii="宋体" w:hAnsi="宋体" w:cs="宋体"/>
          <w:color w:val="auto"/>
          <w:sz w:val="21"/>
          <w:szCs w:val="21"/>
          <w:highlight w:val="none"/>
        </w:rPr>
        <w:t>”。投标文件以最后一次提交的为准。未加密的投标文件不予接受，不进入后续环节。</w:t>
      </w:r>
    </w:p>
    <w:p w14:paraId="595E9E6A">
      <w:pPr>
        <w:pageBreakBefore w:val="0"/>
        <w:widowControl/>
        <w:tabs>
          <w:tab w:val="left" w:pos="900"/>
        </w:tabs>
        <w:kinsoku/>
        <w:wordWrap/>
        <w:overflowPunct/>
        <w:bidi w:val="0"/>
        <w:adjustRightInd w:val="0"/>
        <w:snapToGrid w:val="0"/>
        <w:spacing w:line="500" w:lineRule="exact"/>
        <w:ind w:left="0" w:right="0" w:firstLine="480" w:firstLineChars="200"/>
        <w:jc w:val="left"/>
        <w:textAlignment w:val="auto"/>
        <w:outlineLvl w:val="9"/>
        <w:rPr>
          <w:rFonts w:hint="default" w:ascii="宋体" w:hAnsi="宋体" w:cs="宋体"/>
          <w:b/>
          <w:bCs/>
          <w:color w:val="0000FF"/>
          <w:sz w:val="24"/>
          <w:highlight w:val="none"/>
          <w:lang w:val="en-US" w:eastAsia="zh-CN"/>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rPr>
        <w:t>开标地点：网上开标，腾讯会议号</w:t>
      </w:r>
      <w:r>
        <w:rPr>
          <w:rFonts w:hint="eastAsia" w:ascii="宋体" w:hAnsi="宋体" w:cs="宋体"/>
          <w:color w:val="auto"/>
          <w:sz w:val="24"/>
          <w:highlight w:val="none"/>
          <w:lang w:val="en-US" w:eastAsia="zh-CN"/>
        </w:rPr>
        <w:t>:</w:t>
      </w:r>
      <w:r>
        <w:rPr>
          <w:rFonts w:hint="eastAsia" w:ascii="宋体" w:hAnsi="宋体" w:cs="宋体"/>
          <w:b/>
          <w:bCs/>
          <w:color w:val="auto"/>
          <w:sz w:val="24"/>
          <w:highlight w:val="none"/>
          <w:lang w:val="en-US" w:eastAsia="zh-CN"/>
        </w:rPr>
        <w:t>587-262-545</w:t>
      </w:r>
    </w:p>
    <w:p w14:paraId="24E0C040">
      <w:pPr>
        <w:keepNext w:val="0"/>
        <w:keepLines w:val="0"/>
        <w:pageBreakBefore w:val="0"/>
        <w:widowControl w:val="0"/>
        <w:kinsoku/>
        <w:wordWrap/>
        <w:overflowPunct/>
        <w:topLinePunct w:val="0"/>
        <w:autoSpaceDE/>
        <w:autoSpaceDN/>
        <w:bidi w:val="0"/>
        <w:adjustRightInd w:val="0"/>
        <w:snapToGrid w:val="0"/>
        <w:spacing w:line="500" w:lineRule="exact"/>
        <w:ind w:right="0" w:firstLine="482" w:firstLineChars="200"/>
        <w:jc w:val="left"/>
        <w:textAlignment w:val="auto"/>
        <w:outlineLvl w:val="9"/>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color w:val="auto"/>
          <w:kern w:val="0"/>
          <w:sz w:val="24"/>
          <w:szCs w:val="24"/>
          <w:highlight w:val="none"/>
          <w:lang w:val="en-US" w:eastAsia="zh-CN" w:bidi="ar-SA"/>
        </w:rPr>
        <w:t>五、公告期限</w:t>
      </w:r>
      <w:bookmarkEnd w:id="18"/>
      <w:bookmarkEnd w:id="19"/>
      <w:bookmarkEnd w:id="20"/>
      <w:bookmarkEnd w:id="21"/>
      <w:bookmarkEnd w:id="22"/>
    </w:p>
    <w:p w14:paraId="7C2197F9">
      <w:pPr>
        <w:pageBreakBefore w:val="0"/>
        <w:kinsoku/>
        <w:wordWrap/>
        <w:overflowPunct/>
        <w:bidi w:val="0"/>
        <w:adjustRightInd w:val="0"/>
        <w:snapToGrid w:val="0"/>
        <w:spacing w:line="500" w:lineRule="exact"/>
        <w:ind w:left="0" w:right="0" w:firstLine="480" w:firstLineChars="200"/>
        <w:jc w:val="left"/>
        <w:textAlignment w:val="auto"/>
        <w:outlineLvl w:val="9"/>
        <w:rPr>
          <w:rFonts w:hint="eastAsia" w:ascii="宋体" w:hAnsi="宋体" w:cs="宋体"/>
          <w:bCs/>
          <w:color w:val="auto"/>
          <w:sz w:val="24"/>
          <w:highlight w:val="none"/>
          <w:lang w:val="en-US" w:eastAsia="zh-CN"/>
        </w:rPr>
      </w:pPr>
      <w:bookmarkStart w:id="23" w:name="_Toc35393626"/>
      <w:bookmarkStart w:id="24" w:name="_Toc35393795"/>
      <w:bookmarkStart w:id="25" w:name="_Toc38985268"/>
      <w:r>
        <w:rPr>
          <w:rFonts w:hint="eastAsia" w:ascii="宋体" w:hAnsi="宋体" w:cs="宋体"/>
          <w:bCs/>
          <w:color w:val="auto"/>
          <w:sz w:val="24"/>
          <w:highlight w:val="none"/>
          <w:lang w:val="en-US" w:eastAsia="zh-CN"/>
        </w:rPr>
        <w:t>自本公告发布之日起5个工作日。</w:t>
      </w:r>
      <w:bookmarkEnd w:id="23"/>
      <w:bookmarkEnd w:id="24"/>
      <w:bookmarkEnd w:id="25"/>
    </w:p>
    <w:p w14:paraId="65B6BE3A">
      <w:pPr>
        <w:pageBreakBefore w:val="0"/>
        <w:kinsoku/>
        <w:wordWrap/>
        <w:overflowPunct/>
        <w:bidi w:val="0"/>
        <w:adjustRightInd w:val="0"/>
        <w:snapToGrid w:val="0"/>
        <w:spacing w:line="500" w:lineRule="exact"/>
        <w:ind w:left="0" w:right="0" w:firstLine="482" w:firstLineChars="200"/>
        <w:jc w:val="left"/>
        <w:textAlignment w:val="auto"/>
        <w:outlineLvl w:val="9"/>
        <w:rPr>
          <w:rFonts w:hint="eastAsia" w:ascii="宋体" w:hAnsi="宋体" w:cs="宋体"/>
          <w:b/>
          <w:bCs/>
          <w:color w:val="auto"/>
          <w:sz w:val="24"/>
          <w:highlight w:val="none"/>
        </w:rPr>
      </w:pPr>
      <w:bookmarkStart w:id="26" w:name="_Toc28359018"/>
      <w:r>
        <w:rPr>
          <w:rFonts w:hint="eastAsia" w:ascii="宋体" w:hAnsi="宋体" w:cs="宋体"/>
          <w:b/>
          <w:bCs/>
          <w:color w:val="auto"/>
          <w:sz w:val="24"/>
          <w:highlight w:val="none"/>
        </w:rPr>
        <w:t>六、投标保证金</w:t>
      </w:r>
    </w:p>
    <w:p w14:paraId="741DC0CC">
      <w:pPr>
        <w:pageBreakBefore w:val="0"/>
        <w:widowControl/>
        <w:tabs>
          <w:tab w:val="left" w:pos="900"/>
        </w:tabs>
        <w:kinsoku/>
        <w:wordWrap/>
        <w:overflowPunct/>
        <w:bidi w:val="0"/>
        <w:adjustRightInd w:val="0"/>
        <w:snapToGrid w:val="0"/>
        <w:spacing w:line="500" w:lineRule="exact"/>
        <w:ind w:left="0" w:right="0" w:firstLine="480" w:firstLineChars="200"/>
        <w:jc w:val="left"/>
        <w:textAlignment w:val="auto"/>
        <w:outlineLvl w:val="9"/>
        <w:rPr>
          <w:rFonts w:hint="eastAsia" w:ascii="宋体" w:hAnsi="宋体" w:cs="宋体"/>
          <w:color w:val="auto"/>
          <w:sz w:val="24"/>
          <w:highlight w:val="none"/>
          <w:lang w:eastAsia="zh-CN"/>
        </w:rPr>
      </w:pPr>
      <w:r>
        <w:rPr>
          <w:rFonts w:hint="eastAsia" w:ascii="宋体" w:hAnsi="宋体" w:eastAsia="宋体" w:cs="宋体"/>
          <w:color w:val="auto"/>
          <w:sz w:val="24"/>
          <w:highlight w:val="none"/>
        </w:rPr>
        <w:t>1、投标保证金金额：</w:t>
      </w:r>
      <w:r>
        <w:rPr>
          <w:rFonts w:hint="eastAsia" w:ascii="宋体" w:hAnsi="宋体" w:eastAsia="宋体" w:cs="宋体"/>
          <w:color w:val="auto"/>
          <w:sz w:val="24"/>
          <w:highlight w:val="none"/>
          <w:u w:val="single"/>
          <w:lang w:val="en-US" w:eastAsia="zh-CN"/>
        </w:rPr>
        <w:t>贰万</w:t>
      </w:r>
      <w:r>
        <w:rPr>
          <w:rFonts w:hint="eastAsia" w:ascii="宋体" w:hAnsi="宋体" w:eastAsia="宋体" w:cs="宋体"/>
          <w:color w:val="auto"/>
          <w:sz w:val="24"/>
          <w:highlight w:val="none"/>
        </w:rPr>
        <w:t>元</w:t>
      </w:r>
      <w:r>
        <w:rPr>
          <w:rFonts w:hint="eastAsia" w:ascii="宋体" w:hAnsi="宋体" w:eastAsia="宋体" w:cs="宋体"/>
          <w:color w:val="auto"/>
          <w:sz w:val="24"/>
          <w:highlight w:val="none"/>
          <w:lang w:val="en-US" w:eastAsia="zh-CN"/>
        </w:rPr>
        <w:t>整</w:t>
      </w:r>
      <w:r>
        <w:rPr>
          <w:rFonts w:hint="eastAsia" w:ascii="宋体" w:hAnsi="宋体" w:cs="宋体"/>
          <w:color w:val="auto"/>
          <w:sz w:val="24"/>
          <w:highlight w:val="none"/>
          <w:lang w:eastAsia="zh-CN"/>
        </w:rPr>
        <w:t>。</w:t>
      </w:r>
    </w:p>
    <w:p w14:paraId="63C59BAC">
      <w:pPr>
        <w:spacing w:before="79" w:beforeLines="25" w:after="79" w:afterLines="25" w:line="4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lang w:eastAsia="zh-CN"/>
        </w:rPr>
        <w:t>投标保证金形式：现金、银行保函、担保机构的保函、保险机构的保单等交易担保方式。</w:t>
      </w:r>
      <w:r>
        <w:rPr>
          <w:rFonts w:hint="eastAsia" w:ascii="宋体" w:hAnsi="宋体" w:eastAsia="宋体" w:cs="宋体"/>
          <w:color w:val="auto"/>
          <w:sz w:val="24"/>
          <w:szCs w:val="24"/>
          <w:highlight w:val="none"/>
          <w:lang w:val="en-US" w:eastAsia="zh-CN"/>
        </w:rPr>
        <w:t>投标人根据本招标文件约定结合企业实际情况合理选择投标保证金的缴纳形式，不同缴纳形式具有同等法律效力。</w:t>
      </w:r>
    </w:p>
    <w:p w14:paraId="59964E28">
      <w:pPr>
        <w:spacing w:before="79" w:beforeLines="25" w:after="79" w:afterLines="25" w:line="42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1.2现金缴纳方式：</w:t>
      </w:r>
      <w:r>
        <w:rPr>
          <w:rFonts w:hint="eastAsia" w:ascii="宋体" w:hAnsi="宋体" w:eastAsia="宋体" w:cs="宋体"/>
          <w:color w:val="auto"/>
          <w:sz w:val="24"/>
          <w:szCs w:val="24"/>
          <w:highlight w:val="none"/>
          <w:lang w:eastAsia="zh-CN"/>
        </w:rPr>
        <w:t>以现金形式递交的，务必请供应商转汇投标保证金时注明本项目名称。</w:t>
      </w:r>
      <w:r>
        <w:rPr>
          <w:rFonts w:hint="eastAsia" w:ascii="宋体" w:hAnsi="宋体" w:eastAsia="宋体" w:cs="宋体"/>
          <w:color w:val="auto"/>
          <w:sz w:val="24"/>
          <w:szCs w:val="24"/>
          <w:highlight w:val="none"/>
          <w:lang w:val="en-US" w:eastAsia="zh-CN"/>
        </w:rPr>
        <w:t>否则将一律视为无效，不予接受投标</w:t>
      </w:r>
      <w:r>
        <w:rPr>
          <w:rFonts w:hint="eastAsia" w:ascii="宋体" w:hAnsi="宋体" w:eastAsia="宋体" w:cs="宋体"/>
          <w:color w:val="auto"/>
          <w:sz w:val="24"/>
          <w:szCs w:val="24"/>
          <w:highlight w:val="none"/>
          <w:lang w:eastAsia="zh-CN"/>
        </w:rPr>
        <w:t>。</w:t>
      </w:r>
    </w:p>
    <w:p w14:paraId="0F60060A">
      <w:pPr>
        <w:pageBreakBefore w:val="0"/>
        <w:widowControl/>
        <w:tabs>
          <w:tab w:val="left" w:pos="900"/>
        </w:tabs>
        <w:kinsoku/>
        <w:wordWrap/>
        <w:overflowPunct/>
        <w:bidi w:val="0"/>
        <w:adjustRightInd w:val="0"/>
        <w:snapToGrid w:val="0"/>
        <w:spacing w:line="500" w:lineRule="exact"/>
        <w:ind w:left="0" w:right="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注：1）</w:t>
      </w:r>
      <w:r>
        <w:rPr>
          <w:rFonts w:hint="eastAsia" w:ascii="宋体" w:hAnsi="宋体" w:eastAsia="宋体" w:cs="宋体"/>
          <w:color w:val="auto"/>
          <w:sz w:val="24"/>
          <w:szCs w:val="24"/>
          <w:highlight w:val="none"/>
          <w:lang w:eastAsia="zh-CN"/>
        </w:rPr>
        <w:t>供应商必须从其基本户转出，并确保在投标文件递交截止时间前到达（以实际到账时间为准），将保证金从供应商本单位的账户上直接转（汇）至采购人指定账户（</w:t>
      </w:r>
      <w:r>
        <w:rPr>
          <w:rFonts w:hint="eastAsia" w:ascii="宋体" w:hAnsi="宋体" w:eastAsia="宋体" w:cs="宋体"/>
          <w:b/>
          <w:bCs/>
          <w:color w:val="auto"/>
          <w:sz w:val="24"/>
          <w:szCs w:val="24"/>
          <w:highlight w:val="none"/>
          <w:lang w:val="en-US" w:eastAsia="zh-CN"/>
        </w:rPr>
        <w:t>单位</w:t>
      </w:r>
      <w:r>
        <w:rPr>
          <w:rFonts w:hint="eastAsia" w:ascii="宋体" w:hAnsi="宋体" w:eastAsia="宋体" w:cs="宋体"/>
          <w:b/>
          <w:bCs/>
          <w:color w:val="auto"/>
          <w:sz w:val="24"/>
          <w:szCs w:val="24"/>
          <w:highlight w:val="none"/>
          <w:lang w:eastAsia="zh-CN"/>
        </w:rPr>
        <w:t>名称：</w:t>
      </w:r>
      <w:r>
        <w:rPr>
          <w:rFonts w:hint="eastAsia" w:ascii="宋体" w:hAnsi="宋体" w:eastAsia="宋体" w:cs="宋体"/>
          <w:color w:val="auto"/>
          <w:sz w:val="24"/>
          <w:szCs w:val="24"/>
          <w:highlight w:val="none"/>
          <w:lang w:val="en-US" w:eastAsia="zh-CN"/>
        </w:rPr>
        <w:t>响水县安捷城乡公交有限公司</w:t>
      </w:r>
      <w:r>
        <w:rPr>
          <w:rFonts w:hint="eastAsia" w:ascii="宋体" w:hAnsi="宋体" w:eastAsia="宋体" w:cs="宋体"/>
          <w:color w:val="auto"/>
          <w:sz w:val="36"/>
          <w:szCs w:val="36"/>
          <w:highlight w:val="none"/>
          <w:vertAlign w:val="baseline"/>
          <w:lang w:val="en-US" w:eastAsia="zh-CN"/>
        </w:rPr>
        <w:t>；</w:t>
      </w:r>
      <w:r>
        <w:rPr>
          <w:rFonts w:hint="eastAsia" w:ascii="宋体" w:hAnsi="宋体" w:eastAsia="宋体" w:cs="宋体"/>
          <w:b/>
          <w:bCs/>
          <w:color w:val="auto"/>
          <w:sz w:val="24"/>
          <w:szCs w:val="24"/>
          <w:highlight w:val="none"/>
          <w:lang w:val="en-US" w:eastAsia="zh-CN"/>
        </w:rPr>
        <w:t>开户</w:t>
      </w:r>
      <w:r>
        <w:rPr>
          <w:rFonts w:hint="eastAsia" w:ascii="宋体" w:hAnsi="宋体" w:eastAsia="宋体" w:cs="宋体"/>
          <w:b/>
          <w:bCs/>
          <w:color w:val="auto"/>
          <w:sz w:val="24"/>
          <w:szCs w:val="24"/>
          <w:highlight w:val="none"/>
          <w:lang w:eastAsia="zh-CN"/>
        </w:rPr>
        <w:t>银行：</w:t>
      </w:r>
      <w:r>
        <w:rPr>
          <w:rFonts w:hint="eastAsia" w:ascii="宋体" w:hAnsi="宋体" w:eastAsia="宋体" w:cs="宋体"/>
          <w:b w:val="0"/>
          <w:bCs w:val="0"/>
          <w:color w:val="auto"/>
          <w:sz w:val="24"/>
          <w:szCs w:val="24"/>
          <w:highlight w:val="none"/>
          <w:lang w:val="en-US" w:eastAsia="zh-CN"/>
        </w:rPr>
        <w:t>中国农业银行股份有限公司响水县支行；</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eastAsia="zh-CN"/>
        </w:rPr>
        <w:t>账号：</w:t>
      </w:r>
      <w:r>
        <w:rPr>
          <w:rFonts w:hint="eastAsia" w:ascii="宋体" w:hAnsi="宋体" w:eastAsia="宋体" w:cs="宋体"/>
          <w:b w:val="0"/>
          <w:bCs w:val="0"/>
          <w:color w:val="auto"/>
          <w:sz w:val="24"/>
          <w:szCs w:val="24"/>
          <w:highlight w:val="none"/>
          <w:lang w:val="en-US" w:eastAsia="zh-CN"/>
        </w:rPr>
        <w:t>1040 4601 0402 4337 7</w:t>
      </w:r>
      <w:r>
        <w:rPr>
          <w:rFonts w:hint="eastAsia" w:ascii="宋体" w:hAnsi="宋体" w:eastAsia="宋体" w:cs="宋体"/>
          <w:color w:val="auto"/>
          <w:sz w:val="24"/>
          <w:szCs w:val="24"/>
          <w:highlight w:val="none"/>
          <w:lang w:val="en-US" w:eastAsia="zh-CN"/>
        </w:rPr>
        <w:t>）。</w:t>
      </w:r>
    </w:p>
    <w:p w14:paraId="1C5EC10A">
      <w:pPr>
        <w:pStyle w:val="2"/>
        <w:keepNext w:val="0"/>
        <w:keepLines w:val="0"/>
        <w:pageBreakBefore w:val="0"/>
        <w:widowControl w:val="0"/>
        <w:kinsoku/>
        <w:wordWrap/>
        <w:overflowPunct/>
        <w:topLinePunct w:val="0"/>
        <w:autoSpaceDE/>
        <w:autoSpaceDN/>
        <w:bidi w:val="0"/>
        <w:adjustRightInd/>
        <w:snapToGrid/>
        <w:spacing w:line="420" w:lineRule="exact"/>
        <w:ind w:left="0" w:firstLine="480" w:firstLineChars="200"/>
        <w:jc w:val="left"/>
        <w:textAlignment w:val="auto"/>
        <w:rPr>
          <w:rFonts w:hint="default"/>
          <w:lang w:val="en-US" w:eastAsia="zh-CN"/>
        </w:rPr>
      </w:pPr>
      <w:r>
        <w:rPr>
          <w:rFonts w:hint="eastAsia" w:ascii="宋体" w:hAnsi="宋体" w:eastAsia="宋体" w:cs="宋体"/>
          <w:i w:val="0"/>
          <w:iCs w:val="0"/>
          <w:caps w:val="0"/>
          <w:color w:val="3D3D3D"/>
          <w:spacing w:val="0"/>
          <w:kern w:val="0"/>
          <w:sz w:val="24"/>
          <w:szCs w:val="24"/>
          <w:shd w:val="clear" w:fill="FFFFFF"/>
          <w:lang w:val="en-US" w:eastAsia="zh-CN" w:bidi="ar"/>
          <w14:ligatures w14:val="none"/>
        </w:rPr>
        <w:t>2）投标保证金材料递交要求：①投标保证金缴纳证明材料、</w:t>
      </w:r>
      <w:r>
        <w:rPr>
          <w:rFonts w:hint="default" w:ascii="宋体" w:hAnsi="宋体" w:eastAsia="宋体" w:cs="宋体"/>
          <w:i w:val="0"/>
          <w:iCs w:val="0"/>
          <w:caps w:val="0"/>
          <w:color w:val="3D3D3D"/>
          <w:spacing w:val="0"/>
          <w:kern w:val="0"/>
          <w:sz w:val="24"/>
          <w:szCs w:val="24"/>
          <w:shd w:val="clear" w:fill="FFFFFF"/>
          <w:lang w:val="en-US" w:eastAsia="zh-CN" w:bidi="ar"/>
          <w14:ligatures w14:val="none"/>
        </w:rPr>
        <w:t>②</w:t>
      </w:r>
      <w:r>
        <w:rPr>
          <w:rFonts w:hint="eastAsia" w:ascii="宋体" w:hAnsi="宋体" w:eastAsia="宋体" w:cs="宋体"/>
          <w:i w:val="0"/>
          <w:iCs w:val="0"/>
          <w:caps w:val="0"/>
          <w:color w:val="3D3D3D"/>
          <w:spacing w:val="0"/>
          <w:kern w:val="0"/>
          <w:sz w:val="24"/>
          <w:szCs w:val="24"/>
          <w:shd w:val="clear" w:fill="FFFFFF"/>
          <w:lang w:val="en-US" w:eastAsia="zh-CN" w:bidi="ar"/>
          <w14:ligatures w14:val="none"/>
        </w:rPr>
        <w:t>企业开户许可证或企业银行基本存款账户开户基本信息，将以上①、</w:t>
      </w:r>
      <w:r>
        <w:rPr>
          <w:rFonts w:hint="default" w:ascii="宋体" w:hAnsi="宋体" w:eastAsia="宋体" w:cs="宋体"/>
          <w:i w:val="0"/>
          <w:iCs w:val="0"/>
          <w:caps w:val="0"/>
          <w:color w:val="3D3D3D"/>
          <w:spacing w:val="0"/>
          <w:kern w:val="0"/>
          <w:sz w:val="24"/>
          <w:szCs w:val="24"/>
          <w:shd w:val="clear" w:fill="FFFFFF"/>
          <w:lang w:val="en-US" w:eastAsia="zh-CN" w:bidi="ar"/>
          <w14:ligatures w14:val="none"/>
        </w:rPr>
        <w:t>②</w:t>
      </w:r>
      <w:r>
        <w:rPr>
          <w:rFonts w:hint="eastAsia" w:ascii="宋体" w:hAnsi="宋体" w:eastAsia="宋体" w:cs="宋体"/>
          <w:i w:val="0"/>
          <w:iCs w:val="0"/>
          <w:caps w:val="0"/>
          <w:color w:val="3D3D3D"/>
          <w:spacing w:val="0"/>
          <w:kern w:val="0"/>
          <w:sz w:val="24"/>
          <w:szCs w:val="24"/>
          <w:shd w:val="clear" w:fill="FFFFFF"/>
          <w:lang w:val="en-US" w:eastAsia="zh-CN" w:bidi="ar"/>
          <w14:ligatures w14:val="none"/>
        </w:rPr>
        <w:t>两项资料加盖投标人单位公章的原件彩色扫描件放于投标文件中一起递交。</w:t>
      </w:r>
    </w:p>
    <w:p w14:paraId="261A49D8">
      <w:pPr>
        <w:pStyle w:val="14"/>
        <w:keepNext/>
        <w:keepLines/>
        <w:pageBreakBefore w:val="0"/>
        <w:numPr>
          <w:ilvl w:val="0"/>
          <w:numId w:val="0"/>
        </w:numPr>
        <w:kinsoku/>
        <w:wordWrap/>
        <w:overflowPunct/>
        <w:topLinePunct w:val="0"/>
        <w:autoSpaceDE/>
        <w:autoSpaceDN/>
        <w:bidi w:val="0"/>
        <w:adjustRightInd w:val="0"/>
        <w:snapToGrid w:val="0"/>
        <w:spacing w:beforeAutospacing="0" w:afterAutospacing="0" w:line="400" w:lineRule="exact"/>
        <w:ind w:left="0" w:right="0" w:firstLine="482" w:firstLineChars="200"/>
        <w:jc w:val="left"/>
        <w:textAlignment w:val="auto"/>
        <w:outlineLvl w:val="9"/>
        <w:rPr>
          <w:rFonts w:hint="eastAsia" w:ascii="宋体" w:hAnsi="宋体" w:eastAsia="宋体" w:cs="宋体"/>
          <w:b/>
          <w:color w:val="auto"/>
          <w:sz w:val="24"/>
          <w:szCs w:val="24"/>
          <w:highlight w:val="none"/>
          <w:shd w:val="clear" w:color="auto" w:fill="auto"/>
        </w:rPr>
      </w:pPr>
      <w:r>
        <w:rPr>
          <w:rFonts w:hint="eastAsia" w:eastAsia="宋体" w:cs="宋体"/>
          <w:b/>
          <w:color w:val="auto"/>
          <w:sz w:val="24"/>
          <w:szCs w:val="24"/>
          <w:highlight w:val="none"/>
          <w:shd w:val="clear" w:color="auto" w:fill="auto"/>
          <w:lang w:val="en-US" w:eastAsia="zh-CN"/>
        </w:rPr>
        <w:t>七、</w:t>
      </w:r>
      <w:r>
        <w:rPr>
          <w:rFonts w:hint="eastAsia" w:ascii="宋体" w:hAnsi="宋体" w:eastAsia="宋体" w:cs="宋体"/>
          <w:b/>
          <w:color w:val="auto"/>
          <w:sz w:val="24"/>
          <w:szCs w:val="24"/>
          <w:highlight w:val="none"/>
          <w:shd w:val="clear" w:color="auto" w:fill="auto"/>
        </w:rPr>
        <w:t>其他补充事宜</w:t>
      </w:r>
    </w:p>
    <w:p w14:paraId="7F1C56C0">
      <w:pPr>
        <w:pageBreakBefore w:val="0"/>
        <w:widowControl/>
        <w:tabs>
          <w:tab w:val="left" w:pos="900"/>
        </w:tabs>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评标办法：综合评分法。</w:t>
      </w:r>
    </w:p>
    <w:p w14:paraId="793D89C7">
      <w:pPr>
        <w:spacing w:before="79" w:beforeLines="25" w:after="79" w:afterLines="25" w:line="42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根据《国务院办公厅转发国家发展改革委关于深化公共资源交易平台整合共享指导意见的通知》（国办函〔2019〕41号）、国家发改委发布《关于积极应对疫情创新做好招投标工作保障经济平稳运行的通知》等文件精神，全面逐步推行不见面投标开标等招投标活动。本项目开标方式为不见面开标，开标当日，投标人无需到达开标现场，仅需在任意地点通过PC端或移动端的“腾讯会议”及相应的配套硬件设备参加开标会议。输入会议号，“您的姓名”按“单位简称+授权委托人姓名”格式填写，然后点击“加入会议”。会议系统将在投标截止时间前30分钟开放。</w:t>
      </w:r>
    </w:p>
    <w:p w14:paraId="6ECE0AAA">
      <w:pPr>
        <w:keepNext w:val="0"/>
        <w:keepLines w:val="0"/>
        <w:pageBreakBefore w:val="0"/>
        <w:widowControl w:val="0"/>
        <w:tabs>
          <w:tab w:val="left" w:pos="900"/>
        </w:tabs>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rPr>
        <w:t>.各投标人在投标截止时间前应当每天都在响水县人民政府网上查询，以便获取更新的澄清、修改、补充内容。凡涉及到该项目的补充说明和修改，均以响水人民政府网上的更正或补充通知为准。</w:t>
      </w:r>
    </w:p>
    <w:p w14:paraId="6A3C7E28">
      <w:pPr>
        <w:keepNext w:val="0"/>
        <w:keepLines w:val="0"/>
        <w:pageBreakBefore w:val="0"/>
        <w:widowControl/>
        <w:tabs>
          <w:tab w:val="left" w:pos="900"/>
        </w:tabs>
        <w:kinsoku/>
        <w:wordWrap/>
        <w:overflowPunct/>
        <w:autoSpaceDE/>
        <w:autoSpaceDN/>
        <w:bidi w:val="0"/>
        <w:adjustRightInd w:val="0"/>
        <w:snapToGrid w:val="0"/>
        <w:spacing w:line="4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rPr>
        <w:t>.本项目为不见面交易项目，投标人通过“腾讯视频会议”直播APP加入会议。</w:t>
      </w:r>
    </w:p>
    <w:bookmarkEnd w:id="26"/>
    <w:p w14:paraId="2461F031">
      <w:pPr>
        <w:keepNext w:val="0"/>
        <w:keepLines w:val="0"/>
        <w:pageBreakBefore w:val="0"/>
        <w:kinsoku/>
        <w:wordWrap/>
        <w:overflowPunct/>
        <w:autoSpaceDE/>
        <w:autoSpaceDN/>
        <w:bidi w:val="0"/>
        <w:adjustRightInd w:val="0"/>
        <w:snapToGrid w:val="0"/>
        <w:spacing w:line="400" w:lineRule="exact"/>
        <w:ind w:left="0" w:right="0" w:firstLine="482" w:firstLineChars="200"/>
        <w:jc w:val="left"/>
        <w:textAlignment w:val="auto"/>
        <w:outlineLvl w:val="9"/>
        <w:rPr>
          <w:rFonts w:hint="eastAsia" w:ascii="宋体" w:hAnsi="宋体" w:eastAsia="宋体" w:cs="宋体"/>
          <w:color w:val="auto"/>
          <w:kern w:val="0"/>
          <w:sz w:val="24"/>
          <w:highlight w:val="none"/>
          <w:lang w:val="en-US" w:eastAsia="zh-CN"/>
        </w:rPr>
      </w:pPr>
      <w:bookmarkStart w:id="27" w:name="_Toc28359009"/>
      <w:r>
        <w:rPr>
          <w:rFonts w:hint="eastAsia" w:ascii="宋体" w:hAnsi="宋体" w:cs="宋体"/>
          <w:b/>
          <w:bCs/>
          <w:color w:val="auto"/>
          <w:sz w:val="24"/>
          <w:highlight w:val="none"/>
        </w:rPr>
        <w:t>八、对本次招标提出询问，请按以下方式联系。</w:t>
      </w:r>
    </w:p>
    <w:p w14:paraId="418192D1">
      <w:pPr>
        <w:keepNext w:val="0"/>
        <w:keepLines w:val="0"/>
        <w:pageBreakBefore w:val="0"/>
        <w:widowControl/>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1.采购人信息</w:t>
      </w:r>
    </w:p>
    <w:p w14:paraId="74A6C740">
      <w:pPr>
        <w:keepNext w:val="0"/>
        <w:keepLines w:val="0"/>
        <w:pageBreakBefore w:val="0"/>
        <w:widowControl/>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名 称：</w:t>
      </w:r>
      <w:r>
        <w:rPr>
          <w:rFonts w:hint="eastAsia" w:ascii="宋体" w:hAnsi="宋体" w:eastAsia="宋体" w:cs="宋体"/>
          <w:color w:val="auto"/>
          <w:kern w:val="0"/>
          <w:sz w:val="24"/>
          <w:highlight w:val="none"/>
          <w:lang w:eastAsia="zh-CN"/>
        </w:rPr>
        <w:t>响水县安捷城乡公交有限公司</w:t>
      </w:r>
      <w:r>
        <w:rPr>
          <w:rFonts w:hint="eastAsia" w:ascii="宋体" w:hAnsi="宋体" w:eastAsia="宋体" w:cs="宋体"/>
          <w:color w:val="auto"/>
          <w:kern w:val="0"/>
          <w:sz w:val="24"/>
          <w:highlight w:val="none"/>
          <w:lang w:val="en-US" w:eastAsia="zh-CN"/>
        </w:rPr>
        <w:t xml:space="preserve">  </w:t>
      </w:r>
    </w:p>
    <w:p w14:paraId="637985ED">
      <w:pPr>
        <w:keepNext w:val="0"/>
        <w:keepLines w:val="0"/>
        <w:pageBreakBefore w:val="0"/>
        <w:widowControl/>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val="en-US" w:eastAsia="zh-CN"/>
        </w:rPr>
        <w:t>地址：</w:t>
      </w:r>
      <w:r>
        <w:rPr>
          <w:rFonts w:hint="eastAsia" w:ascii="宋体" w:hAnsi="宋体" w:eastAsia="宋体" w:cs="宋体"/>
          <w:color w:val="auto"/>
          <w:kern w:val="0"/>
          <w:sz w:val="24"/>
          <w:highlight w:val="none"/>
          <w:lang w:eastAsia="zh-CN"/>
        </w:rPr>
        <w:t>盐城市响水县经济开发区珠江路33号</w:t>
      </w:r>
    </w:p>
    <w:p w14:paraId="6CF791F8">
      <w:pPr>
        <w:keepNext w:val="0"/>
        <w:keepLines w:val="0"/>
        <w:pageBreakBefore w:val="0"/>
        <w:widowControl/>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 xml:space="preserve">联系人：徐先生              </w:t>
      </w:r>
    </w:p>
    <w:p w14:paraId="46C32754">
      <w:pPr>
        <w:keepNext w:val="0"/>
        <w:keepLines w:val="0"/>
        <w:pageBreakBefore w:val="0"/>
        <w:widowControl/>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highlight w:val="none"/>
          <w:lang w:val="en-US" w:eastAsia="zh-CN"/>
        </w:rPr>
        <w:t xml:space="preserve">联系方式：18861901966            </w:t>
      </w:r>
      <w:bookmarkStart w:id="28" w:name="_Toc28359010"/>
      <w:bookmarkStart w:id="29" w:name="_Toc28359087"/>
    </w:p>
    <w:p w14:paraId="4C8A7F5B">
      <w:pPr>
        <w:keepNext w:val="0"/>
        <w:keepLines w:val="0"/>
        <w:pageBreakBefore w:val="0"/>
        <w:widowControl/>
        <w:suppressLineNumbers w:val="0"/>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2.采购代理机构信息</w:t>
      </w:r>
    </w:p>
    <w:p w14:paraId="70427459">
      <w:pPr>
        <w:keepNext w:val="0"/>
        <w:keepLines w:val="0"/>
        <w:pageBreakBefore w:val="0"/>
        <w:widowControl/>
        <w:suppressLineNumbers w:val="0"/>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名  称：江苏航耀项目管理有限公司 </w:t>
      </w:r>
    </w:p>
    <w:p w14:paraId="0E6CFD84">
      <w:pPr>
        <w:keepNext w:val="0"/>
        <w:keepLines w:val="0"/>
        <w:pageBreakBefore w:val="0"/>
        <w:widowControl/>
        <w:suppressLineNumbers w:val="0"/>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地 址：盐城市盐南高新区科城街道中南世纪城悦城33幢1912、1913室</w:t>
      </w:r>
    </w:p>
    <w:p w14:paraId="1AAAF22F">
      <w:pPr>
        <w:keepNext w:val="0"/>
        <w:keepLines w:val="0"/>
        <w:pageBreakBefore w:val="0"/>
        <w:widowControl/>
        <w:suppressLineNumbers w:val="0"/>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联系人：吉先生 </w:t>
      </w:r>
    </w:p>
    <w:p w14:paraId="13AA1C68">
      <w:pPr>
        <w:keepNext w:val="0"/>
        <w:keepLines w:val="0"/>
        <w:pageBreakBefore w:val="0"/>
        <w:widowControl/>
        <w:suppressLineNumbers w:val="0"/>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仿宋" w:hAnsi="仿宋" w:eastAsia="仿宋" w:cs="仿宋"/>
          <w:b/>
          <w:color w:val="auto"/>
          <w:sz w:val="28"/>
          <w:szCs w:val="28"/>
          <w:highlight w:val="none"/>
          <w:shd w:val="clear" w:color="auto" w:fill="auto"/>
          <w:lang w:val="en-US" w:eastAsia="zh-CN"/>
        </w:rPr>
      </w:pPr>
      <w:r>
        <w:rPr>
          <w:rFonts w:hint="eastAsia" w:ascii="宋体" w:hAnsi="宋体" w:eastAsia="宋体" w:cs="宋体"/>
          <w:color w:val="auto"/>
          <w:kern w:val="0"/>
          <w:sz w:val="24"/>
          <w:szCs w:val="24"/>
          <w:highlight w:val="none"/>
          <w:lang w:val="en-US" w:eastAsia="zh-CN" w:bidi="ar-SA"/>
        </w:rPr>
        <w:t>电  话：13813438219</w:t>
      </w:r>
      <w:r>
        <w:rPr>
          <w:rFonts w:hint="eastAsia" w:ascii="仿宋" w:hAnsi="仿宋" w:eastAsia="仿宋" w:cs="仿宋"/>
          <w:b/>
          <w:color w:val="auto"/>
          <w:sz w:val="28"/>
          <w:szCs w:val="28"/>
          <w:highlight w:val="none"/>
          <w:shd w:val="clear" w:color="auto" w:fill="auto"/>
          <w:lang w:val="en-US" w:eastAsia="zh-CN"/>
        </w:rPr>
        <w:t>  </w:t>
      </w:r>
      <w:bookmarkEnd w:id="28"/>
      <w:bookmarkEnd w:id="29"/>
      <w:r>
        <w:rPr>
          <w:rFonts w:hint="eastAsia" w:ascii="仿宋" w:hAnsi="仿宋" w:eastAsia="仿宋" w:cs="仿宋"/>
          <w:b/>
          <w:color w:val="auto"/>
          <w:sz w:val="28"/>
          <w:szCs w:val="28"/>
          <w:highlight w:val="none"/>
          <w:shd w:val="clear" w:color="auto" w:fill="auto"/>
          <w:lang w:val="en-US" w:eastAsia="zh-CN"/>
        </w:rPr>
        <w:t xml:space="preserve">            </w:t>
      </w:r>
    </w:p>
    <w:p w14:paraId="120584C3">
      <w:pPr>
        <w:keepNext w:val="0"/>
        <w:keepLines w:val="0"/>
        <w:pageBreakBefore w:val="0"/>
        <w:widowControl/>
        <w:suppressLineNumbers w:val="0"/>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eastAsia="宋体" w:cs="宋体"/>
          <w:color w:val="auto"/>
          <w:kern w:val="0"/>
          <w:sz w:val="24"/>
          <w:szCs w:val="24"/>
          <w:highlight w:val="none"/>
          <w:lang w:val="en-US" w:eastAsia="zh-CN" w:bidi="ar-SA"/>
        </w:rPr>
      </w:pPr>
      <w:bookmarkStart w:id="30" w:name="_Toc28359021"/>
      <w:r>
        <w:rPr>
          <w:rFonts w:hint="eastAsia" w:ascii="宋体" w:hAnsi="宋体" w:eastAsia="宋体" w:cs="宋体"/>
          <w:color w:val="auto"/>
          <w:kern w:val="0"/>
          <w:sz w:val="24"/>
          <w:szCs w:val="24"/>
          <w:highlight w:val="none"/>
          <w:lang w:val="en-US" w:eastAsia="zh-CN" w:bidi="ar-SA"/>
        </w:rPr>
        <w:t>3.</w:t>
      </w:r>
      <w:bookmarkEnd w:id="30"/>
      <w:r>
        <w:rPr>
          <w:rFonts w:hint="eastAsia" w:ascii="宋体" w:hAnsi="宋体" w:eastAsia="宋体" w:cs="宋体"/>
          <w:color w:val="auto"/>
          <w:kern w:val="0"/>
          <w:sz w:val="24"/>
          <w:szCs w:val="24"/>
          <w:highlight w:val="none"/>
          <w:lang w:val="en-US" w:eastAsia="zh-CN" w:bidi="ar-SA"/>
        </w:rPr>
        <w:t>项目联系方式</w:t>
      </w:r>
    </w:p>
    <w:p w14:paraId="25108BAB">
      <w:pPr>
        <w:keepNext w:val="0"/>
        <w:keepLines w:val="0"/>
        <w:pageBreakBefore w:val="0"/>
        <w:widowControl/>
        <w:suppressLineNumbers w:val="0"/>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 xml:space="preserve">联系人：徐先生              </w:t>
      </w:r>
    </w:p>
    <w:p w14:paraId="241CCD16">
      <w:pPr>
        <w:pStyle w:val="14"/>
        <w:keepNext w:val="0"/>
        <w:keepLines w:val="0"/>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kern w:val="0"/>
          <w:sz w:val="24"/>
          <w:szCs w:val="24"/>
          <w:highlight w:val="none"/>
          <w:lang w:val="en-US" w:eastAsia="zh-CN" w:bidi="ar-SA"/>
        </w:rPr>
        <w:t>联系方式：18861901966 </w:t>
      </w:r>
      <w:r>
        <w:rPr>
          <w:rFonts w:hint="eastAsia" w:ascii="仿宋" w:hAnsi="仿宋" w:eastAsia="仿宋" w:cs="仿宋"/>
          <w:b/>
          <w:color w:val="auto"/>
          <w:sz w:val="28"/>
          <w:szCs w:val="28"/>
          <w:highlight w:val="none"/>
          <w:shd w:val="clear" w:color="auto" w:fill="auto"/>
          <w:lang w:val="en-US" w:eastAsia="zh-CN"/>
        </w:rPr>
        <w:t>　　</w:t>
      </w:r>
      <w:r>
        <w:rPr>
          <w:rFonts w:hint="eastAsia" w:ascii="宋体" w:hAnsi="宋体" w:eastAsia="宋体" w:cs="宋体"/>
          <w:color w:val="auto"/>
          <w:sz w:val="24"/>
          <w:szCs w:val="24"/>
          <w:highlight w:val="none"/>
          <w:shd w:val="clear" w:color="auto" w:fill="auto"/>
        </w:rPr>
        <w:t> </w:t>
      </w:r>
    </w:p>
    <w:p w14:paraId="602C61E1">
      <w:pPr>
        <w:pStyle w:val="21"/>
        <w:keepNext w:val="0"/>
        <w:keepLines w:val="0"/>
        <w:pageBreakBefore w:val="0"/>
        <w:numPr>
          <w:ilvl w:val="0"/>
          <w:numId w:val="0"/>
        </w:numPr>
        <w:kinsoku/>
        <w:wordWrap/>
        <w:overflowPunct/>
        <w:topLinePunct/>
        <w:autoSpaceDE/>
        <w:autoSpaceDN/>
        <w:bidi w:val="0"/>
        <w:adjustRightInd w:val="0"/>
        <w:snapToGrid w:val="0"/>
        <w:spacing w:line="400" w:lineRule="exact"/>
        <w:ind w:left="0" w:right="0" w:firstLine="482" w:firstLineChars="200"/>
        <w:jc w:val="left"/>
        <w:textAlignment w:val="auto"/>
        <w:outlineLvl w:val="9"/>
        <w:rPr>
          <w:rFonts w:hint="eastAsia" w:ascii="宋体" w:hAnsi="宋体" w:cs="宋体"/>
          <w:b/>
          <w:bCs/>
          <w:color w:val="auto"/>
          <w:kern w:val="0"/>
          <w:sz w:val="24"/>
          <w:highlight w:val="none"/>
          <w:shd w:val="clear" w:color="auto" w:fill="FFFFFF"/>
          <w:lang w:val="en-US" w:eastAsia="zh-CN" w:bidi="ar"/>
        </w:rPr>
      </w:pPr>
    </w:p>
    <w:p w14:paraId="463983CA">
      <w:pPr>
        <w:pStyle w:val="21"/>
        <w:keepNext w:val="0"/>
        <w:keepLines w:val="0"/>
        <w:pageBreakBefore w:val="0"/>
        <w:numPr>
          <w:ilvl w:val="0"/>
          <w:numId w:val="0"/>
        </w:numPr>
        <w:kinsoku/>
        <w:wordWrap/>
        <w:overflowPunct/>
        <w:topLinePunct/>
        <w:autoSpaceDE/>
        <w:autoSpaceDN/>
        <w:bidi w:val="0"/>
        <w:adjustRightInd w:val="0"/>
        <w:snapToGrid w:val="0"/>
        <w:spacing w:line="400" w:lineRule="exact"/>
        <w:ind w:left="0" w:right="0" w:firstLine="482" w:firstLineChars="200"/>
        <w:jc w:val="left"/>
        <w:textAlignment w:val="auto"/>
        <w:outlineLvl w:val="9"/>
        <w:rPr>
          <w:rFonts w:hint="eastAsia" w:ascii="宋体" w:hAnsi="宋体" w:cs="宋体"/>
          <w:b/>
          <w:bCs/>
          <w:color w:val="auto"/>
          <w:kern w:val="0"/>
          <w:sz w:val="24"/>
          <w:highlight w:val="none"/>
          <w:shd w:val="clear" w:color="auto" w:fill="FFFFFF"/>
          <w:lang w:bidi="ar"/>
        </w:rPr>
      </w:pPr>
      <w:r>
        <w:rPr>
          <w:rFonts w:hint="eastAsia" w:ascii="宋体" w:hAnsi="宋体" w:cs="宋体"/>
          <w:b/>
          <w:bCs/>
          <w:color w:val="auto"/>
          <w:kern w:val="0"/>
          <w:sz w:val="24"/>
          <w:highlight w:val="none"/>
          <w:shd w:val="clear" w:color="auto" w:fill="FFFFFF"/>
          <w:lang w:val="en-US" w:eastAsia="zh-CN" w:bidi="ar"/>
        </w:rPr>
        <w:t>九、</w:t>
      </w:r>
      <w:r>
        <w:rPr>
          <w:rFonts w:hint="eastAsia" w:ascii="宋体" w:hAnsi="宋体" w:cs="宋体"/>
          <w:b/>
          <w:bCs/>
          <w:color w:val="auto"/>
          <w:kern w:val="0"/>
          <w:sz w:val="24"/>
          <w:highlight w:val="none"/>
          <w:shd w:val="clear" w:color="auto" w:fill="FFFFFF"/>
          <w:lang w:bidi="ar"/>
        </w:rPr>
        <w:t>质疑和投诉处理</w:t>
      </w:r>
    </w:p>
    <w:p w14:paraId="45DCEDA2">
      <w:pPr>
        <w:pStyle w:val="21"/>
        <w:keepNext w:val="0"/>
        <w:keepLines w:val="0"/>
        <w:pageBreakBefore w:val="0"/>
        <w:widowControl w:val="0"/>
        <w:kinsoku w:val="0"/>
        <w:wordWrap/>
        <w:overflowPunct w:val="0"/>
        <w:topLinePunct w:val="0"/>
        <w:autoSpaceDE w:val="0"/>
        <w:autoSpaceDN w:val="0"/>
        <w:bidi w:val="0"/>
        <w:adjustRightInd w:val="0"/>
        <w:snapToGrid w:val="0"/>
        <w:spacing w:line="4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t>本项目为国有企业采购货物项目，不适用《中华人民共和国政府采购法》等政府采购相关法律法规。为便于本项目的顺利实施，采购人比照《中华人民共和国政府采购法》等有关规定开展采购活动。如供应商对本项目提出质疑或提起投诉的，请与采购人、代理公司或采购人主管部门联系处理。响水县公共资源交易中心仅提供发布信息、场地等服务，不负责处理相关质疑、投诉事项。</w:t>
      </w:r>
    </w:p>
    <w:p w14:paraId="6F6A3737">
      <w:pPr>
        <w:pStyle w:val="21"/>
        <w:keepNext w:val="0"/>
        <w:keepLines w:val="0"/>
        <w:pageBreakBefore w:val="0"/>
        <w:widowControl w:val="0"/>
        <w:kinsoku w:val="0"/>
        <w:wordWrap/>
        <w:overflowPunct w:val="0"/>
        <w:topLinePunct w:val="0"/>
        <w:autoSpaceDE w:val="0"/>
        <w:autoSpaceDN w:val="0"/>
        <w:bidi w:val="0"/>
        <w:adjustRightInd w:val="0"/>
        <w:snapToGrid w:val="0"/>
        <w:spacing w:line="400" w:lineRule="exact"/>
        <w:ind w:left="0" w:right="0" w:firstLine="480" w:firstLineChars="200"/>
        <w:jc w:val="left"/>
        <w:textAlignment w:val="auto"/>
        <w:outlineLvl w:val="9"/>
        <w:rPr>
          <w:rFonts w:hint="eastAsia" w:ascii="宋体" w:hAnsi="宋体" w:cs="宋体"/>
          <w:color w:val="auto"/>
          <w:sz w:val="24"/>
          <w:highlight w:val="none"/>
        </w:rPr>
      </w:pPr>
    </w:p>
    <w:p w14:paraId="50658256">
      <w:pPr>
        <w:pStyle w:val="21"/>
        <w:keepNext w:val="0"/>
        <w:keepLines w:val="0"/>
        <w:pageBreakBefore w:val="0"/>
        <w:widowControl w:val="0"/>
        <w:kinsoku w:val="0"/>
        <w:wordWrap/>
        <w:overflowPunct w:val="0"/>
        <w:topLinePunct w:val="0"/>
        <w:autoSpaceDE w:val="0"/>
        <w:autoSpaceDN w:val="0"/>
        <w:bidi w:val="0"/>
        <w:adjustRightInd w:val="0"/>
        <w:snapToGrid w:val="0"/>
        <w:spacing w:line="400" w:lineRule="exact"/>
        <w:ind w:left="0" w:right="0" w:firstLine="480" w:firstLineChars="200"/>
        <w:jc w:val="left"/>
        <w:textAlignment w:val="auto"/>
        <w:outlineLvl w:val="9"/>
        <w:rPr>
          <w:rFonts w:hint="eastAsia" w:ascii="宋体" w:hAnsi="宋体" w:cs="宋体"/>
          <w:color w:val="auto"/>
          <w:sz w:val="24"/>
          <w:highlight w:val="none"/>
        </w:rPr>
      </w:pPr>
    </w:p>
    <w:p w14:paraId="1C963B53">
      <w:pPr>
        <w:pStyle w:val="21"/>
        <w:keepNext w:val="0"/>
        <w:keepLines w:val="0"/>
        <w:pageBreakBefore w:val="0"/>
        <w:widowControl w:val="0"/>
        <w:kinsoku w:val="0"/>
        <w:wordWrap/>
        <w:overflowPunct w:val="0"/>
        <w:topLinePunct w:val="0"/>
        <w:autoSpaceDE w:val="0"/>
        <w:autoSpaceDN w:val="0"/>
        <w:bidi w:val="0"/>
        <w:adjustRightInd w:val="0"/>
        <w:snapToGrid w:val="0"/>
        <w:spacing w:line="400" w:lineRule="exact"/>
        <w:ind w:left="0" w:right="0" w:firstLine="480" w:firstLineChars="200"/>
        <w:jc w:val="right"/>
        <w:textAlignment w:val="auto"/>
        <w:outlineLvl w:val="9"/>
        <w:rPr>
          <w:rFonts w:hint="default" w:eastAsiaTheme="minorEastAsia"/>
          <w:color w:val="0000FF"/>
          <w:highlight w:val="none"/>
          <w:lang w:val="en-US" w:eastAsia="zh-CN"/>
        </w:rPr>
      </w:pPr>
      <w:r>
        <w:rPr>
          <w:rFonts w:hint="eastAsia" w:ascii="宋体" w:hAnsi="宋体" w:cs="宋体"/>
          <w:color w:val="0000FF"/>
          <w:sz w:val="24"/>
          <w:highlight w:val="none"/>
          <w:lang w:val="en-US" w:eastAsia="zh-CN"/>
        </w:rPr>
        <w:t>2025-10-30</w:t>
      </w:r>
    </w:p>
    <w:p w14:paraId="01CD31E3">
      <w:pPr>
        <w:pStyle w:val="14"/>
        <w:keepNext/>
        <w:keepLines/>
        <w:pageBreakBefore w:val="0"/>
        <w:kinsoku/>
        <w:wordWrap/>
        <w:overflowPunct/>
        <w:bidi w:val="0"/>
        <w:adjustRightInd w:val="0"/>
        <w:snapToGrid w:val="0"/>
        <w:spacing w:beforeAutospacing="0" w:afterAutospacing="0" w:line="500" w:lineRule="exact"/>
        <w:ind w:right="0"/>
        <w:jc w:val="center"/>
        <w:textAlignment w:val="auto"/>
        <w:outlineLvl w:val="9"/>
        <w:rPr>
          <w:color w:val="auto"/>
          <w:highlight w:val="none"/>
        </w:rPr>
      </w:pPr>
      <w:bookmarkStart w:id="31" w:name="_Toc120614211"/>
      <w:r>
        <w:rPr>
          <w:rFonts w:hint="eastAsia" w:ascii="黑体" w:hAnsi="宋体" w:eastAsia="黑体" w:cs="黑体"/>
          <w:b/>
          <w:color w:val="auto"/>
          <w:sz w:val="44"/>
          <w:szCs w:val="44"/>
          <w:highlight w:val="none"/>
        </w:rPr>
        <w:t xml:space="preserve">第二章  </w:t>
      </w:r>
      <w:bookmarkEnd w:id="31"/>
      <w:bookmarkStart w:id="32" w:name="_Toc20823274"/>
      <w:bookmarkStart w:id="33" w:name="_Toc16938518"/>
      <w:bookmarkStart w:id="34" w:name="_Toc120614213"/>
      <w:bookmarkStart w:id="35" w:name="_Toc513029202"/>
      <w:r>
        <w:rPr>
          <w:rFonts w:hint="eastAsia" w:ascii="黑体" w:hAnsi="宋体" w:eastAsia="黑体" w:cs="黑体"/>
          <w:b/>
          <w:color w:val="auto"/>
          <w:sz w:val="44"/>
          <w:szCs w:val="44"/>
          <w:highlight w:val="none"/>
        </w:rPr>
        <w:t>投标人须知</w:t>
      </w:r>
      <w:bookmarkEnd w:id="32"/>
      <w:bookmarkEnd w:id="33"/>
      <w:bookmarkEnd w:id="34"/>
      <w:bookmarkEnd w:id="35"/>
    </w:p>
    <w:p w14:paraId="2D4D4940">
      <w:pPr>
        <w:pStyle w:val="14"/>
        <w:keepNext/>
        <w:keepLines/>
        <w:pageBreakBefore w:val="0"/>
        <w:kinsoku/>
        <w:wordWrap/>
        <w:overflowPunct/>
        <w:topLinePunct w:val="0"/>
        <w:autoSpaceDE/>
        <w:autoSpaceDN/>
        <w:bidi w:val="0"/>
        <w:adjustRightInd w:val="0"/>
        <w:snapToGrid w:val="0"/>
        <w:spacing w:beforeAutospacing="0" w:afterAutospacing="0" w:line="400" w:lineRule="exact"/>
        <w:ind w:left="0" w:right="0" w:firstLine="482" w:firstLineChars="200"/>
        <w:jc w:val="left"/>
        <w:textAlignment w:val="auto"/>
        <w:outlineLvl w:val="9"/>
        <w:rPr>
          <w:rFonts w:hint="eastAsia" w:ascii="宋体" w:hAnsi="宋体" w:eastAsia="宋体" w:cs="宋体"/>
          <w:color w:val="auto"/>
          <w:sz w:val="24"/>
          <w:szCs w:val="24"/>
          <w:highlight w:val="none"/>
        </w:rPr>
      </w:pPr>
      <w:bookmarkStart w:id="36" w:name="_Toc120614214"/>
      <w:bookmarkStart w:id="37" w:name="_Toc16938519"/>
      <w:bookmarkStart w:id="38" w:name="_Toc513029203"/>
      <w:bookmarkStart w:id="39" w:name="_Toc20823275"/>
      <w:r>
        <w:rPr>
          <w:rFonts w:hint="eastAsia" w:ascii="宋体" w:hAnsi="宋体" w:eastAsia="宋体" w:cs="宋体"/>
          <w:b/>
          <w:color w:val="auto"/>
          <w:sz w:val="24"/>
          <w:szCs w:val="24"/>
          <w:highlight w:val="none"/>
        </w:rPr>
        <w:t>一、总则</w:t>
      </w:r>
      <w:bookmarkEnd w:id="36"/>
      <w:bookmarkEnd w:id="37"/>
      <w:bookmarkEnd w:id="38"/>
      <w:bookmarkEnd w:id="39"/>
    </w:p>
    <w:p w14:paraId="48E05819">
      <w:pPr>
        <w:pStyle w:val="14"/>
        <w:keepNext/>
        <w:keepLines/>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40" w:name="_Toc16938520"/>
      <w:bookmarkStart w:id="41" w:name="_Toc20823276"/>
      <w:bookmarkStart w:id="42" w:name="_Toc458694821"/>
      <w:bookmarkStart w:id="43" w:name="_Toc513029204"/>
      <w:bookmarkStart w:id="44" w:name="_Hlt16619475"/>
      <w:r>
        <w:rPr>
          <w:rFonts w:hint="eastAsia" w:ascii="宋体" w:hAnsi="宋体" w:eastAsia="宋体" w:cs="宋体"/>
          <w:color w:val="auto"/>
          <w:sz w:val="24"/>
          <w:szCs w:val="24"/>
          <w:highlight w:val="none"/>
        </w:rPr>
        <w:t>1</w:t>
      </w:r>
      <w:bookmarkEnd w:id="40"/>
      <w:r>
        <w:rPr>
          <w:rFonts w:hint="eastAsia" w:ascii="宋体" w:hAnsi="宋体" w:eastAsia="宋体" w:cs="宋体"/>
          <w:color w:val="auto"/>
          <w:sz w:val="24"/>
          <w:szCs w:val="24"/>
          <w:highlight w:val="none"/>
        </w:rPr>
        <w:t>、招标方式</w:t>
      </w:r>
      <w:bookmarkEnd w:id="41"/>
      <w:bookmarkEnd w:id="42"/>
      <w:bookmarkEnd w:id="43"/>
    </w:p>
    <w:p w14:paraId="496D2DA3">
      <w:pPr>
        <w:pStyle w:val="14"/>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1.1本次招标采取公开招标方式，本招标文件仅适用于招标公告中所述项目。</w:t>
      </w:r>
    </w:p>
    <w:p w14:paraId="7EFF3468">
      <w:pPr>
        <w:pStyle w:val="14"/>
        <w:keepNext/>
        <w:keepLines/>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45" w:name="_Toc513029205"/>
      <w:bookmarkStart w:id="46" w:name="_Toc20823277"/>
      <w:bookmarkStart w:id="47" w:name="_Toc16938521"/>
      <w:r>
        <w:rPr>
          <w:rFonts w:hint="eastAsia" w:ascii="宋体" w:hAnsi="宋体" w:eastAsia="宋体" w:cs="宋体"/>
          <w:color w:val="auto"/>
          <w:sz w:val="24"/>
          <w:szCs w:val="24"/>
          <w:highlight w:val="none"/>
        </w:rPr>
        <w:t>2、合格的投标人</w:t>
      </w:r>
      <w:bookmarkEnd w:id="45"/>
      <w:bookmarkEnd w:id="46"/>
      <w:bookmarkEnd w:id="47"/>
    </w:p>
    <w:p w14:paraId="575CB15D">
      <w:pPr>
        <w:pStyle w:val="14"/>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2.1满足招标公告中供应商的资格要求的规定。</w:t>
      </w:r>
    </w:p>
    <w:p w14:paraId="053B99F5">
      <w:pPr>
        <w:pStyle w:val="14"/>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2.2满足本文件实质性要求和条件的规定。</w:t>
      </w:r>
    </w:p>
    <w:p w14:paraId="6570DAF5">
      <w:pPr>
        <w:pStyle w:val="14"/>
        <w:keepNext/>
        <w:keepLines/>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48" w:name="_Toc16938522"/>
      <w:bookmarkStart w:id="49" w:name="_Toc20823278"/>
      <w:bookmarkStart w:id="50" w:name="_Toc513029206"/>
      <w:r>
        <w:rPr>
          <w:rFonts w:hint="eastAsia" w:ascii="宋体" w:hAnsi="宋体" w:eastAsia="宋体" w:cs="宋体"/>
          <w:color w:val="auto"/>
          <w:sz w:val="24"/>
          <w:szCs w:val="24"/>
          <w:highlight w:val="none"/>
        </w:rPr>
        <w:t>3、适用法律</w:t>
      </w:r>
      <w:bookmarkEnd w:id="48"/>
      <w:bookmarkEnd w:id="49"/>
      <w:bookmarkEnd w:id="50"/>
    </w:p>
    <w:p w14:paraId="0791EDEA">
      <w:pPr>
        <w:pStyle w:val="14"/>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3.1本次招标及由此产生的合同受中华人民共和国有关的法律法规制约和保护。</w:t>
      </w:r>
    </w:p>
    <w:p w14:paraId="36533D3B">
      <w:pPr>
        <w:pStyle w:val="14"/>
        <w:keepNext/>
        <w:keepLines/>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51" w:name="_Toc16938523"/>
      <w:bookmarkStart w:id="52" w:name="_Toc20823279"/>
      <w:bookmarkStart w:id="53" w:name="_Toc513029207"/>
      <w:bookmarkStart w:id="54" w:name="_Toc462564067"/>
      <w:r>
        <w:rPr>
          <w:rFonts w:hint="eastAsia" w:ascii="宋体" w:hAnsi="宋体" w:eastAsia="宋体" w:cs="宋体"/>
          <w:color w:val="auto"/>
          <w:sz w:val="24"/>
          <w:szCs w:val="24"/>
          <w:highlight w:val="none"/>
        </w:rPr>
        <w:t>4、投标费用</w:t>
      </w:r>
      <w:bookmarkEnd w:id="51"/>
      <w:bookmarkEnd w:id="52"/>
      <w:bookmarkEnd w:id="53"/>
      <w:bookmarkEnd w:id="54"/>
    </w:p>
    <w:p w14:paraId="23EE288E">
      <w:pPr>
        <w:pStyle w:val="14"/>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4.1投标人应自行承担所有与参加投标有关的费用，无论投标过程中的做法和结果如何，</w:t>
      </w:r>
      <w:r>
        <w:rPr>
          <w:rFonts w:hint="eastAsia" w:ascii="宋体" w:hAnsi="宋体" w:eastAsia="宋体" w:cs="宋体"/>
          <w:color w:val="auto"/>
          <w:sz w:val="24"/>
          <w:szCs w:val="24"/>
          <w:highlight w:val="none"/>
          <w:lang w:val="en-US" w:eastAsia="zh-CN"/>
        </w:rPr>
        <w:t>采购人及招标代理机构</w:t>
      </w:r>
      <w:r>
        <w:rPr>
          <w:rFonts w:hint="eastAsia" w:ascii="宋体" w:hAnsi="宋体" w:eastAsia="宋体" w:cs="宋体"/>
          <w:color w:val="auto"/>
          <w:sz w:val="24"/>
          <w:szCs w:val="24"/>
          <w:highlight w:val="none"/>
        </w:rPr>
        <w:t>在任何情况下均无义务和责任承担这些费用。</w:t>
      </w:r>
    </w:p>
    <w:p w14:paraId="48E9C3AA">
      <w:pPr>
        <w:pStyle w:val="14"/>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default"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rPr>
        <w:t>4.2</w:t>
      </w:r>
      <w:r>
        <w:rPr>
          <w:rFonts w:hint="eastAsia" w:ascii="宋体" w:hAnsi="宋体" w:eastAsia="宋体" w:cs="宋体"/>
          <w:color w:val="auto"/>
          <w:sz w:val="24"/>
          <w:szCs w:val="24"/>
          <w:highlight w:val="none"/>
          <w:lang w:val="en-US" w:eastAsia="zh-CN"/>
        </w:rPr>
        <w:t>本项目招标代理服务费由中标人在领取中标通知书前向招标代理机构支付，</w:t>
      </w:r>
      <w:r>
        <w:rPr>
          <w:rFonts w:hint="eastAsia" w:ascii="宋体" w:hAnsi="宋体" w:eastAsia="宋体" w:cs="宋体"/>
          <w:color w:val="auto"/>
          <w:sz w:val="24"/>
          <w:highlight w:val="none"/>
        </w:rPr>
        <w:t>按</w:t>
      </w:r>
      <w:r>
        <w:rPr>
          <w:rFonts w:hint="eastAsia" w:ascii="宋体" w:hAnsi="宋体" w:eastAsia="宋体" w:cs="宋体"/>
          <w:color w:val="auto"/>
          <w:sz w:val="24"/>
          <w:highlight w:val="none"/>
          <w:lang w:val="en-US" w:eastAsia="zh-CN"/>
        </w:rPr>
        <w:t>苏招协</w:t>
      </w:r>
      <w:r>
        <w:rPr>
          <w:rFonts w:hint="eastAsia" w:ascii="宋体" w:hAnsi="宋体" w:eastAsia="宋体" w:cs="宋体"/>
          <w:color w:val="auto"/>
          <w:sz w:val="24"/>
          <w:highlight w:val="none"/>
        </w:rPr>
        <w:t>[20</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002</w:t>
      </w:r>
      <w:r>
        <w:rPr>
          <w:rFonts w:hint="eastAsia" w:ascii="宋体" w:hAnsi="宋体" w:eastAsia="宋体" w:cs="宋体"/>
          <w:color w:val="auto"/>
          <w:sz w:val="24"/>
          <w:highlight w:val="none"/>
        </w:rPr>
        <w:t>号文件* 60% 计取</w:t>
      </w:r>
      <w:r>
        <w:rPr>
          <w:rFonts w:hint="eastAsia" w:ascii="宋体" w:hAnsi="宋体" w:eastAsia="宋体" w:cs="宋体"/>
          <w:color w:val="auto"/>
          <w:sz w:val="24"/>
          <w:szCs w:val="24"/>
          <w:highlight w:val="none"/>
          <w:lang w:val="en-US" w:eastAsia="zh-CN"/>
        </w:rPr>
        <w:t>（第一名分摊比例50%；第二名分摊比例30%；第三名分摊比例20%）</w:t>
      </w:r>
      <w:r>
        <w:rPr>
          <w:rFonts w:hint="eastAsia" w:ascii="宋体" w:hAnsi="宋体" w:eastAsia="宋体" w:cs="宋体"/>
          <w:color w:val="auto"/>
          <w:sz w:val="24"/>
          <w:highlight w:val="none"/>
        </w:rPr>
        <w:t>，币种为人民币</w:t>
      </w:r>
      <w:r>
        <w:rPr>
          <w:rFonts w:hint="default" w:ascii="宋体" w:hAnsi="宋体" w:eastAsia="宋体" w:cs="宋体"/>
          <w:color w:val="auto"/>
          <w:sz w:val="24"/>
          <w:highlight w:val="none"/>
        </w:rPr>
        <w:t>。投标供应商</w:t>
      </w:r>
      <w:r>
        <w:rPr>
          <w:rFonts w:hint="eastAsia" w:ascii="宋体" w:hAnsi="宋体" w:eastAsia="宋体" w:cs="宋体"/>
          <w:color w:val="auto"/>
          <w:sz w:val="24"/>
          <w:highlight w:val="none"/>
          <w:lang w:val="en-US" w:eastAsia="zh-CN"/>
        </w:rPr>
        <w:t>须将此费用</w:t>
      </w:r>
      <w:r>
        <w:rPr>
          <w:rFonts w:hint="default" w:ascii="宋体" w:hAnsi="宋体" w:eastAsia="宋体" w:cs="宋体"/>
          <w:color w:val="auto"/>
          <w:sz w:val="24"/>
          <w:highlight w:val="none"/>
        </w:rPr>
        <w:t>综合考虑在报价中，</w:t>
      </w:r>
      <w:r>
        <w:rPr>
          <w:rFonts w:hint="eastAsia" w:ascii="宋体" w:hAnsi="宋体" w:eastAsia="宋体" w:cs="宋体"/>
          <w:color w:val="auto"/>
          <w:sz w:val="24"/>
          <w:highlight w:val="none"/>
          <w:lang w:val="en-US" w:eastAsia="zh-CN"/>
        </w:rPr>
        <w:t>中标后</w:t>
      </w:r>
      <w:r>
        <w:rPr>
          <w:rFonts w:hint="default" w:ascii="宋体" w:hAnsi="宋体" w:eastAsia="宋体" w:cs="宋体"/>
          <w:color w:val="auto"/>
          <w:sz w:val="24"/>
          <w:highlight w:val="none"/>
        </w:rPr>
        <w:t>采购人不另行补偿</w:t>
      </w:r>
      <w:r>
        <w:rPr>
          <w:rFonts w:hint="eastAsia" w:ascii="宋体" w:hAnsi="宋体" w:eastAsia="宋体" w:cs="宋体"/>
          <w:color w:val="auto"/>
          <w:sz w:val="24"/>
          <w:szCs w:val="24"/>
          <w:highlight w:val="none"/>
          <w:shd w:val="clear" w:color="auto" w:fill="auto"/>
        </w:rPr>
        <w:t>。</w:t>
      </w:r>
      <w:r>
        <w:rPr>
          <w:rFonts w:hint="eastAsia" w:eastAsia="宋体" w:cs="宋体"/>
          <w:color w:val="auto"/>
          <w:sz w:val="24"/>
          <w:szCs w:val="24"/>
          <w:highlight w:val="none"/>
          <w:shd w:val="clear" w:color="auto" w:fill="auto"/>
          <w:lang w:val="en-US" w:eastAsia="zh-CN"/>
        </w:rPr>
        <w:t>收费基数按预算价为基数，不论实际发生多少，不多退少补。</w:t>
      </w:r>
    </w:p>
    <w:p w14:paraId="43832C20">
      <w:pPr>
        <w:pStyle w:val="14"/>
        <w:keepNext/>
        <w:keepLines/>
        <w:pageBreakBefore w:val="0"/>
        <w:kinsoku/>
        <w:wordWrap/>
        <w:overflowPunct/>
        <w:topLinePunct w:val="0"/>
        <w:autoSpaceDE/>
        <w:autoSpaceDN/>
        <w:bidi w:val="0"/>
        <w:adjustRightInd w:val="0"/>
        <w:snapToGrid w:val="0"/>
        <w:spacing w:beforeAutospacing="0" w:afterAutospacing="0" w:line="400" w:lineRule="exact"/>
        <w:ind w:left="0" w:right="0" w:firstLine="482" w:firstLineChars="200"/>
        <w:jc w:val="left"/>
        <w:textAlignment w:val="auto"/>
        <w:outlineLvl w:val="9"/>
        <w:rPr>
          <w:rFonts w:hint="eastAsia" w:ascii="宋体" w:hAnsi="宋体" w:eastAsia="宋体" w:cs="宋体"/>
          <w:color w:val="auto"/>
          <w:sz w:val="24"/>
          <w:szCs w:val="24"/>
          <w:highlight w:val="none"/>
        </w:rPr>
      </w:pPr>
      <w:bookmarkStart w:id="55" w:name="_Toc513029209"/>
      <w:bookmarkStart w:id="56" w:name="_Toc20823281"/>
      <w:bookmarkStart w:id="57" w:name="_Toc16938525"/>
      <w:bookmarkStart w:id="58" w:name="_Toc120614215"/>
      <w:r>
        <w:rPr>
          <w:rFonts w:hint="eastAsia" w:ascii="宋体" w:hAnsi="宋体" w:eastAsia="宋体" w:cs="宋体"/>
          <w:b/>
          <w:color w:val="auto"/>
          <w:sz w:val="24"/>
          <w:szCs w:val="24"/>
          <w:highlight w:val="none"/>
        </w:rPr>
        <w:t>二、招标文件</w:t>
      </w:r>
      <w:bookmarkEnd w:id="55"/>
      <w:bookmarkEnd w:id="56"/>
      <w:bookmarkEnd w:id="57"/>
      <w:bookmarkEnd w:id="58"/>
    </w:p>
    <w:p w14:paraId="68ED197E">
      <w:pPr>
        <w:pStyle w:val="14"/>
        <w:keepNext/>
        <w:keepLines/>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59" w:name="_Toc513029210"/>
      <w:bookmarkStart w:id="60" w:name="_Toc16938526"/>
      <w:bookmarkStart w:id="61" w:name="_Toc20823282"/>
      <w:r>
        <w:rPr>
          <w:rFonts w:hint="eastAsia" w:ascii="宋体" w:hAnsi="宋体" w:eastAsia="宋体" w:cs="宋体"/>
          <w:color w:val="auto"/>
          <w:sz w:val="24"/>
          <w:szCs w:val="24"/>
          <w:highlight w:val="none"/>
        </w:rPr>
        <w:t>6、招标文件构成</w:t>
      </w:r>
      <w:bookmarkEnd w:id="59"/>
      <w:bookmarkEnd w:id="60"/>
      <w:bookmarkEnd w:id="61"/>
    </w:p>
    <w:p w14:paraId="3A8430B3">
      <w:pPr>
        <w:pStyle w:val="14"/>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 招标文件由以下部分组成：</w:t>
      </w:r>
    </w:p>
    <w:p w14:paraId="7CAD8D0E">
      <w:pPr>
        <w:pStyle w:val="14"/>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招标公告</w:t>
      </w:r>
    </w:p>
    <w:p w14:paraId="65867A57">
      <w:pPr>
        <w:pStyle w:val="14"/>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（2）投标人须知</w:t>
      </w:r>
    </w:p>
    <w:p w14:paraId="57943076">
      <w:pPr>
        <w:pStyle w:val="14"/>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（3）合同文本</w:t>
      </w:r>
    </w:p>
    <w:p w14:paraId="2179FCE5">
      <w:pPr>
        <w:pStyle w:val="14"/>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（4）采购需求</w:t>
      </w:r>
    </w:p>
    <w:p w14:paraId="552F5101">
      <w:pPr>
        <w:pStyle w:val="14"/>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（5）评标方法与评标标准</w:t>
      </w:r>
    </w:p>
    <w:p w14:paraId="35C39FDB">
      <w:pPr>
        <w:pStyle w:val="14"/>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（6）投标文件格式</w:t>
      </w:r>
    </w:p>
    <w:p w14:paraId="4BF73955">
      <w:pPr>
        <w:pStyle w:val="14"/>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请仔细检查招标文件是否齐全，如有缺漏请立即与</w:t>
      </w:r>
      <w:r>
        <w:rPr>
          <w:rFonts w:hint="eastAsia" w:ascii="宋体" w:hAnsi="宋体" w:eastAsia="宋体" w:cs="宋体"/>
          <w:color w:val="auto"/>
          <w:sz w:val="24"/>
          <w:szCs w:val="24"/>
          <w:highlight w:val="none"/>
          <w:lang w:val="en-US" w:eastAsia="zh-CN"/>
        </w:rPr>
        <w:t>采购人及招标代理机构</w:t>
      </w:r>
      <w:r>
        <w:rPr>
          <w:rFonts w:hint="eastAsia" w:ascii="宋体" w:hAnsi="宋体" w:eastAsia="宋体" w:cs="宋体"/>
          <w:color w:val="auto"/>
          <w:sz w:val="24"/>
          <w:szCs w:val="24"/>
          <w:highlight w:val="none"/>
        </w:rPr>
        <w:t>联系解决。</w:t>
      </w:r>
    </w:p>
    <w:p w14:paraId="16D0189C">
      <w:pPr>
        <w:pStyle w:val="14"/>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cs="宋体"/>
          <w:b/>
          <w:bCs/>
          <w:color w:val="auto"/>
          <w:sz w:val="24"/>
          <w:highlight w:val="none"/>
          <w:lang w:val="en-US" w:eastAsia="zh-CN"/>
        </w:rPr>
      </w:pPr>
      <w:r>
        <w:rPr>
          <w:rFonts w:hint="eastAsia" w:ascii="宋体" w:hAnsi="宋体" w:eastAsia="宋体" w:cs="宋体"/>
          <w:color w:val="auto"/>
          <w:sz w:val="24"/>
          <w:szCs w:val="24"/>
          <w:highlight w:val="none"/>
        </w:rPr>
        <w:t>6.2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bookmarkStart w:id="62" w:name="_Toc31050"/>
      <w:bookmarkStart w:id="63" w:name="_Toc16938527"/>
      <w:bookmarkStart w:id="64" w:name="_Toc20823283"/>
      <w:bookmarkStart w:id="65" w:name="_Toc513029211"/>
      <w:bookmarkStart w:id="66" w:name="_Toc462564070"/>
    </w:p>
    <w:p w14:paraId="38BCA140">
      <w:pPr>
        <w:pageBreakBefore w:val="0"/>
        <w:kinsoku/>
        <w:wordWrap/>
        <w:overflowPunct/>
        <w:topLinePunct w:val="0"/>
        <w:autoSpaceDE/>
        <w:autoSpaceDN/>
        <w:bidi w:val="0"/>
        <w:adjustRightInd w:val="0"/>
        <w:snapToGrid w:val="0"/>
        <w:spacing w:line="400" w:lineRule="exact"/>
        <w:ind w:left="0" w:right="0" w:firstLine="482" w:firstLineChars="200"/>
        <w:jc w:val="left"/>
        <w:textAlignment w:val="auto"/>
        <w:outlineLvl w:val="9"/>
        <w:rPr>
          <w:rFonts w:hint="eastAsia" w:ascii="宋体" w:hAnsi="宋体" w:cs="宋体"/>
          <w:b/>
          <w:bCs/>
          <w:color w:val="auto"/>
          <w:sz w:val="24"/>
          <w:highlight w:val="none"/>
        </w:rPr>
      </w:pPr>
      <w:r>
        <w:rPr>
          <w:rFonts w:hint="eastAsia" w:ascii="宋体" w:hAnsi="宋体" w:cs="宋体"/>
          <w:b/>
          <w:bCs/>
          <w:color w:val="auto"/>
          <w:sz w:val="24"/>
          <w:highlight w:val="none"/>
          <w:lang w:val="en-US" w:eastAsia="zh-CN"/>
        </w:rPr>
        <w:t>7</w:t>
      </w:r>
      <w:r>
        <w:rPr>
          <w:rFonts w:hint="eastAsia" w:ascii="宋体" w:hAnsi="宋体" w:cs="宋体"/>
          <w:b/>
          <w:bCs/>
          <w:color w:val="auto"/>
          <w:sz w:val="24"/>
          <w:highlight w:val="none"/>
        </w:rPr>
        <w:t>.招标文件的澄清和异议</w:t>
      </w:r>
      <w:bookmarkEnd w:id="62"/>
    </w:p>
    <w:p w14:paraId="7ADE783A">
      <w:pPr>
        <w:pStyle w:val="14"/>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color w:val="auto"/>
          <w:highlight w:val="none"/>
        </w:rPr>
      </w:pPr>
      <w:r>
        <w:rPr>
          <w:rFonts w:hint="eastAsia"/>
          <w:color w:val="auto"/>
          <w:highlight w:val="none"/>
          <w:lang w:val="en-US" w:eastAsia="zh-CN"/>
        </w:rPr>
        <w:t>7</w:t>
      </w:r>
      <w:r>
        <w:rPr>
          <w:rFonts w:hint="eastAsia"/>
          <w:color w:val="auto"/>
          <w:highlight w:val="none"/>
        </w:rPr>
        <w:t>.1  任何要求对招标文件进行澄清或对招标文件有异议的投标人，均须在法定时间内（以公告截止时间起算）</w:t>
      </w:r>
      <w:r>
        <w:rPr>
          <w:rFonts w:hint="eastAsia"/>
          <w:color w:val="auto"/>
          <w:highlight w:val="none"/>
          <w:lang w:val="en-US" w:eastAsia="zh-CN"/>
        </w:rPr>
        <w:t>7天内</w:t>
      </w:r>
      <w:r>
        <w:rPr>
          <w:rFonts w:hint="eastAsia"/>
          <w:color w:val="auto"/>
          <w:highlight w:val="none"/>
        </w:rPr>
        <w:t>以书面形式送达采购人或</w:t>
      </w:r>
      <w:r>
        <w:rPr>
          <w:rFonts w:hint="eastAsia"/>
          <w:color w:val="auto"/>
          <w:highlight w:val="none"/>
          <w:lang w:val="en-US" w:eastAsia="zh-CN"/>
        </w:rPr>
        <w:t>招标</w:t>
      </w:r>
      <w:r>
        <w:rPr>
          <w:rFonts w:hint="eastAsia"/>
          <w:color w:val="auto"/>
          <w:highlight w:val="none"/>
        </w:rPr>
        <w:t>代理机构（联系方式见“招标公告”）。逾期递交对招标文件要求进行澄清或对招标文件有异议的将不予受理。</w:t>
      </w:r>
    </w:p>
    <w:p w14:paraId="7F28617B">
      <w:pPr>
        <w:pStyle w:val="14"/>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color w:val="auto"/>
          <w:highlight w:val="none"/>
        </w:rPr>
      </w:pPr>
      <w:r>
        <w:rPr>
          <w:rFonts w:hint="eastAsia"/>
          <w:color w:val="auto"/>
          <w:highlight w:val="none"/>
          <w:lang w:val="en-US" w:eastAsia="zh-CN"/>
        </w:rPr>
        <w:t>7</w:t>
      </w:r>
      <w:r>
        <w:rPr>
          <w:rFonts w:hint="eastAsia"/>
          <w:color w:val="auto"/>
          <w:highlight w:val="none"/>
        </w:rPr>
        <w:t>.2  采购人或者采购代理机构对规定时间内收到的澄清要求和对异议的答复，将在响水县人民政府网-招投标信息(</w:t>
      </w:r>
      <w:r>
        <w:rPr>
          <w:color w:val="auto"/>
          <w:highlight w:val="none"/>
        </w:rPr>
        <w:fldChar w:fldCharType="begin"/>
      </w:r>
      <w:r>
        <w:rPr>
          <w:color w:val="auto"/>
          <w:highlight w:val="none"/>
        </w:rPr>
        <w:instrText xml:space="preserve"> HYPERLINK "http://www.xiangshui.gov.cn/col/col34033/index.html" </w:instrText>
      </w:r>
      <w:r>
        <w:rPr>
          <w:color w:val="auto"/>
          <w:highlight w:val="none"/>
        </w:rPr>
        <w:fldChar w:fldCharType="separate"/>
      </w:r>
      <w:r>
        <w:rPr>
          <w:rFonts w:hint="eastAsia"/>
          <w:color w:val="auto"/>
          <w:highlight w:val="none"/>
        </w:rPr>
        <w:t>www.xiangshui.gov.cn/art/2023/9/7/art_34033_4054346.html)</w:t>
      </w:r>
      <w:r>
        <w:rPr>
          <w:rFonts w:hint="eastAsia"/>
          <w:color w:val="auto"/>
          <w:highlight w:val="none"/>
        </w:rPr>
        <w:fldChar w:fldCharType="end"/>
      </w:r>
      <w:r>
        <w:rPr>
          <w:rFonts w:hint="eastAsia"/>
          <w:color w:val="auto"/>
          <w:highlight w:val="none"/>
        </w:rPr>
        <w:t>“国企采购-采购公告</w:t>
      </w:r>
      <w:r>
        <w:rPr>
          <w:rFonts w:hint="eastAsia"/>
          <w:color w:val="auto"/>
          <w:highlight w:val="none"/>
          <w:lang w:val="en-US" w:eastAsia="zh-CN"/>
        </w:rPr>
        <w:t>-</w:t>
      </w:r>
      <w:r>
        <w:rPr>
          <w:rFonts w:hint="eastAsia"/>
          <w:color w:val="auto"/>
          <w:highlight w:val="none"/>
        </w:rPr>
        <w:t>更正公告”栏下载，请投标人自行查看，否则后果自负。</w:t>
      </w:r>
    </w:p>
    <w:p w14:paraId="01696A1E">
      <w:pPr>
        <w:pStyle w:val="14"/>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color w:val="auto"/>
          <w:highlight w:val="none"/>
        </w:rPr>
      </w:pPr>
      <w:r>
        <w:rPr>
          <w:rFonts w:hint="eastAsia"/>
          <w:color w:val="auto"/>
          <w:highlight w:val="none"/>
          <w:lang w:val="en-US" w:eastAsia="zh-CN"/>
        </w:rPr>
        <w:t>7</w:t>
      </w:r>
      <w:r>
        <w:rPr>
          <w:rFonts w:hint="eastAsia"/>
          <w:color w:val="auto"/>
          <w:highlight w:val="none"/>
        </w:rPr>
        <w:t>.3  澄清或者对异议的答复作为招标文件的组成部分。</w:t>
      </w:r>
    </w:p>
    <w:p w14:paraId="0ED2981D">
      <w:pPr>
        <w:pStyle w:val="14"/>
        <w:pageBreakBefore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color w:val="auto"/>
          <w:highlight w:val="none"/>
        </w:rPr>
      </w:pPr>
      <w:r>
        <w:rPr>
          <w:rFonts w:hint="eastAsia"/>
          <w:color w:val="auto"/>
          <w:highlight w:val="none"/>
          <w:lang w:val="en-US" w:eastAsia="zh-CN"/>
        </w:rPr>
        <w:t>7</w:t>
      </w:r>
      <w:r>
        <w:rPr>
          <w:rFonts w:hint="eastAsia"/>
          <w:color w:val="auto"/>
          <w:highlight w:val="none"/>
        </w:rPr>
        <w:t>.4  澄清或者对异议的答复内容可能影响投标文件编制的，采购人或者采购代理机构应当在投标截止时间至少15日前，以5.2条款的形式通知所有获取招标文件的潜在投标人；不足15日的，采购人或者采购代理机构应当顺延提交投标文件的截止时间。</w:t>
      </w:r>
    </w:p>
    <w:p w14:paraId="365374AA">
      <w:pPr>
        <w:pageBreakBefore w:val="0"/>
        <w:kinsoku/>
        <w:wordWrap/>
        <w:overflowPunct/>
        <w:topLinePunct w:val="0"/>
        <w:autoSpaceDE/>
        <w:autoSpaceDN/>
        <w:bidi w:val="0"/>
        <w:adjustRightInd w:val="0"/>
        <w:snapToGrid w:val="0"/>
        <w:spacing w:line="400" w:lineRule="exact"/>
        <w:ind w:left="0" w:right="0" w:firstLine="482" w:firstLineChars="200"/>
        <w:jc w:val="left"/>
        <w:textAlignment w:val="auto"/>
        <w:outlineLvl w:val="9"/>
        <w:rPr>
          <w:rFonts w:hint="eastAsia" w:ascii="宋体" w:hAnsi="宋体" w:cs="宋体"/>
          <w:b/>
          <w:color w:val="auto"/>
          <w:sz w:val="24"/>
          <w:highlight w:val="none"/>
        </w:rPr>
      </w:pPr>
      <w:bookmarkStart w:id="67" w:name="_Toc15888"/>
      <w:r>
        <w:rPr>
          <w:rFonts w:hint="eastAsia" w:ascii="宋体" w:hAnsi="宋体" w:cs="宋体"/>
          <w:b/>
          <w:color w:val="auto"/>
          <w:sz w:val="24"/>
          <w:highlight w:val="none"/>
          <w:lang w:val="en-US" w:eastAsia="zh-CN"/>
        </w:rPr>
        <w:t>8</w:t>
      </w:r>
      <w:r>
        <w:rPr>
          <w:rFonts w:hint="eastAsia" w:ascii="宋体" w:hAnsi="宋体" w:cs="宋体"/>
          <w:b/>
          <w:color w:val="auto"/>
          <w:sz w:val="24"/>
          <w:highlight w:val="none"/>
        </w:rPr>
        <w:t>.招标文件的修改</w:t>
      </w:r>
      <w:bookmarkEnd w:id="67"/>
    </w:p>
    <w:p w14:paraId="6DD13762">
      <w:pPr>
        <w:pageBreakBefore w:val="0"/>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lang w:val="en-US" w:eastAsia="zh-CN"/>
        </w:rPr>
        <w:t>8</w:t>
      </w:r>
      <w:r>
        <w:rPr>
          <w:rFonts w:hint="eastAsia" w:ascii="宋体" w:hAnsi="宋体" w:cs="宋体"/>
          <w:color w:val="auto"/>
          <w:sz w:val="24"/>
          <w:highlight w:val="none"/>
        </w:rPr>
        <w:t>.1  在投标截止期前的任何时候，无论出于何种原因，采购人或者采购代理机构均可主动地或在解答投标人提出的澄清问题时对招标文件进行修改。</w:t>
      </w:r>
    </w:p>
    <w:p w14:paraId="20B976F2">
      <w:pPr>
        <w:pageBreakBefore w:val="0"/>
        <w:widowControl/>
        <w:tabs>
          <w:tab w:val="left" w:pos="900"/>
        </w:tabs>
        <w:kinsoku/>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lang w:val="en-US" w:eastAsia="zh-CN"/>
        </w:rPr>
        <w:t>8</w:t>
      </w:r>
      <w:r>
        <w:rPr>
          <w:rFonts w:hint="eastAsia" w:ascii="宋体" w:hAnsi="宋体" w:cs="宋体"/>
          <w:color w:val="auto"/>
          <w:sz w:val="24"/>
          <w:highlight w:val="none"/>
        </w:rPr>
        <w:t>.2  采购人或者采购代理机构对澄清或修改内容，将在响水县人民政府网-招投标信息“国企采购-采购公告-更正公告”上公布，请投标人自行查看，否则后果自负。</w:t>
      </w:r>
    </w:p>
    <w:p w14:paraId="09118B5E">
      <w:pPr>
        <w:pStyle w:val="14"/>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color w:val="auto"/>
          <w:highlight w:val="none"/>
        </w:rPr>
      </w:pPr>
      <w:r>
        <w:rPr>
          <w:rFonts w:hint="eastAsia"/>
          <w:color w:val="auto"/>
          <w:highlight w:val="none"/>
          <w:lang w:val="en-US" w:eastAsia="zh-CN"/>
        </w:rPr>
        <w:t>8</w:t>
      </w:r>
      <w:r>
        <w:rPr>
          <w:rFonts w:hint="eastAsia"/>
          <w:color w:val="auto"/>
          <w:highlight w:val="none"/>
        </w:rPr>
        <w:t>.3  澄清或者修改的内容作为招标文件的组成部分。</w:t>
      </w:r>
    </w:p>
    <w:p w14:paraId="1CD46F7C">
      <w:pPr>
        <w:pStyle w:val="14"/>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color w:val="auto"/>
          <w:highlight w:val="none"/>
          <w:lang w:val="en-US" w:eastAsia="zh-CN"/>
        </w:rPr>
        <w:t>8</w:t>
      </w:r>
      <w:r>
        <w:rPr>
          <w:rFonts w:hint="eastAsia"/>
          <w:color w:val="auto"/>
          <w:highlight w:val="none"/>
        </w:rPr>
        <w:t>.4  澄清或者修改的内容可能影响投标文件编制的，采购人或者采购代理机构应当在投标截止时间至少15日前，以6.2条款的形式通知所有获取招标文件的潜在投标人；不足15日的，采购人或者采购代理机构应当顺延提交投标文件的截止时间。</w:t>
      </w:r>
    </w:p>
    <w:bookmarkEnd w:id="63"/>
    <w:bookmarkEnd w:id="64"/>
    <w:bookmarkEnd w:id="65"/>
    <w:bookmarkEnd w:id="66"/>
    <w:p w14:paraId="00278C9A">
      <w:pPr>
        <w:pStyle w:val="14"/>
        <w:keepNext/>
        <w:keepLines/>
        <w:pageBreakBefore w:val="0"/>
        <w:widowControl w:val="0"/>
        <w:kinsoku/>
        <w:wordWrap/>
        <w:overflowPunct/>
        <w:topLinePunct w:val="0"/>
        <w:bidi w:val="0"/>
        <w:adjustRightInd w:val="0"/>
        <w:snapToGrid w:val="0"/>
        <w:spacing w:beforeAutospacing="0" w:afterAutospacing="0" w:line="400" w:lineRule="exact"/>
        <w:ind w:left="0" w:right="0" w:firstLine="482" w:firstLineChars="200"/>
        <w:jc w:val="left"/>
        <w:textAlignment w:val="auto"/>
        <w:outlineLvl w:val="9"/>
        <w:rPr>
          <w:rFonts w:hint="eastAsia" w:ascii="宋体" w:hAnsi="宋体" w:eastAsia="宋体" w:cs="宋体"/>
          <w:color w:val="auto"/>
          <w:sz w:val="24"/>
          <w:szCs w:val="24"/>
          <w:highlight w:val="none"/>
        </w:rPr>
      </w:pPr>
      <w:bookmarkStart w:id="68" w:name="_Toc20823285"/>
      <w:bookmarkStart w:id="69" w:name="_Toc16938529"/>
      <w:bookmarkStart w:id="70" w:name="_Toc120614216"/>
      <w:bookmarkStart w:id="71" w:name="_Toc513029213"/>
      <w:bookmarkStart w:id="72" w:name="_Toc462564072"/>
      <w:r>
        <w:rPr>
          <w:rFonts w:hint="eastAsia" w:ascii="宋体" w:hAnsi="宋体" w:eastAsia="宋体" w:cs="宋体"/>
          <w:b/>
          <w:color w:val="auto"/>
          <w:sz w:val="24"/>
          <w:szCs w:val="24"/>
          <w:highlight w:val="none"/>
        </w:rPr>
        <w:t>三、投标文件的编制</w:t>
      </w:r>
      <w:bookmarkEnd w:id="68"/>
      <w:bookmarkEnd w:id="69"/>
      <w:bookmarkEnd w:id="70"/>
      <w:bookmarkEnd w:id="71"/>
      <w:bookmarkEnd w:id="72"/>
    </w:p>
    <w:p w14:paraId="3958D525">
      <w:pPr>
        <w:pStyle w:val="14"/>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73" w:name="_Toc462564073"/>
      <w:bookmarkStart w:id="74" w:name="_Toc16938530"/>
      <w:bookmarkStart w:id="75" w:name="_Toc513029214"/>
      <w:bookmarkStart w:id="76" w:name="_Toc20823286"/>
      <w:r>
        <w:rPr>
          <w:rFonts w:hint="eastAsia" w:ascii="宋体" w:hAnsi="宋体" w:eastAsia="宋体" w:cs="宋体"/>
          <w:color w:val="auto"/>
          <w:sz w:val="24"/>
          <w:szCs w:val="24"/>
          <w:highlight w:val="none"/>
        </w:rPr>
        <w:t>9、投标文件的语言及度量衡单位</w:t>
      </w:r>
      <w:bookmarkEnd w:id="73"/>
      <w:bookmarkEnd w:id="74"/>
      <w:bookmarkEnd w:id="75"/>
      <w:bookmarkEnd w:id="76"/>
    </w:p>
    <w:p w14:paraId="4F02069C">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9.1投标人提交的投标文件以及投标</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与采购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就有关投标的所有来往通知、函件和文件均应使用</w:t>
      </w:r>
      <w:r>
        <w:rPr>
          <w:rFonts w:hint="eastAsia" w:ascii="宋体" w:hAnsi="宋体" w:eastAsia="宋体" w:cs="宋体"/>
          <w:b/>
          <w:color w:val="auto"/>
          <w:sz w:val="24"/>
          <w:szCs w:val="24"/>
          <w:highlight w:val="none"/>
        </w:rPr>
        <w:t>简体中文</w:t>
      </w:r>
      <w:r>
        <w:rPr>
          <w:rFonts w:hint="eastAsia" w:ascii="宋体" w:hAnsi="宋体" w:eastAsia="宋体" w:cs="宋体"/>
          <w:color w:val="auto"/>
          <w:sz w:val="24"/>
          <w:szCs w:val="24"/>
          <w:highlight w:val="none"/>
        </w:rPr>
        <w:t>。</w:t>
      </w:r>
    </w:p>
    <w:p w14:paraId="4BFB97B0">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9.2除技术性能另有规定外，投标文件所使用的度量衡单位，均须采用国家法定计量单位。</w:t>
      </w:r>
    </w:p>
    <w:p w14:paraId="298AD8B7">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9.3 中标供应商须在中标公示结束后，提供5份纸投标文件，装订成册（须与电子投标文件一致）</w:t>
      </w:r>
    </w:p>
    <w:p w14:paraId="5A005DB0">
      <w:pPr>
        <w:pStyle w:val="14"/>
        <w:keepNext w:val="0"/>
        <w:keepLines/>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77" w:name="_Toc20823287"/>
      <w:bookmarkStart w:id="78" w:name="_Toc462564074"/>
      <w:bookmarkStart w:id="79" w:name="_Toc16938531"/>
      <w:bookmarkStart w:id="80" w:name="_Toc513029215"/>
      <w:r>
        <w:rPr>
          <w:rFonts w:hint="eastAsia" w:ascii="宋体" w:hAnsi="宋体" w:eastAsia="宋体" w:cs="宋体"/>
          <w:color w:val="auto"/>
          <w:sz w:val="24"/>
          <w:szCs w:val="24"/>
          <w:highlight w:val="none"/>
        </w:rPr>
        <w:t>10、投标文件构成</w:t>
      </w:r>
      <w:bookmarkEnd w:id="77"/>
      <w:bookmarkEnd w:id="78"/>
      <w:bookmarkEnd w:id="79"/>
      <w:bookmarkEnd w:id="80"/>
    </w:p>
    <w:p w14:paraId="2CDE719A">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10.1投标人编写的投标文件应包括资格证明文件、符合性证明文件、技术要求响应及偏离表、商务要求响应及偏离表、其他证明文件、投标函、开标一览表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投标保证金资料</w:t>
      </w:r>
      <w:r>
        <w:rPr>
          <w:rFonts w:hint="eastAsia" w:ascii="宋体" w:hAnsi="宋体" w:eastAsia="宋体" w:cs="宋体"/>
          <w:color w:val="auto"/>
          <w:sz w:val="24"/>
          <w:szCs w:val="24"/>
          <w:highlight w:val="none"/>
        </w:rPr>
        <w:t>等部分。</w:t>
      </w:r>
    </w:p>
    <w:p w14:paraId="58AAE2F3">
      <w:pPr>
        <w:pStyle w:val="14"/>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81" w:name="_Toc49090509"/>
      <w:bookmarkStart w:id="82" w:name="_Toc14577354"/>
      <w:bookmarkStart w:id="83" w:name="_Toc49090507"/>
      <w:bookmarkStart w:id="84" w:name="_Toc513029216"/>
      <w:bookmarkStart w:id="85" w:name="_Toc14577357"/>
      <w:bookmarkStart w:id="86" w:name="_Toc513029219"/>
      <w:bookmarkStart w:id="87" w:name="_Hlt26670360"/>
      <w:bookmarkStart w:id="88" w:name="_Hlt26668975"/>
      <w:bookmarkStart w:id="89" w:name="_Hlt26954838"/>
      <w:r>
        <w:rPr>
          <w:rFonts w:hint="eastAsia" w:ascii="宋体" w:hAnsi="宋体" w:eastAsia="宋体" w:cs="宋体"/>
          <w:color w:val="auto"/>
          <w:sz w:val="24"/>
          <w:szCs w:val="24"/>
          <w:highlight w:val="none"/>
        </w:rPr>
        <w:t>11、证明投标人及投标标的符合招标文件规定的文件</w:t>
      </w:r>
      <w:bookmarkEnd w:id="81"/>
      <w:bookmarkEnd w:id="82"/>
      <w:bookmarkEnd w:id="83"/>
      <w:bookmarkEnd w:id="84"/>
      <w:bookmarkEnd w:id="85"/>
      <w:bookmarkEnd w:id="86"/>
    </w:p>
    <w:p w14:paraId="7BCF26D9">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90" w:name="_Toc49090508"/>
      <w:bookmarkStart w:id="91" w:name="_Toc14577355"/>
      <w:r>
        <w:rPr>
          <w:rFonts w:hint="eastAsia" w:ascii="宋体" w:hAnsi="宋体" w:eastAsia="宋体" w:cs="宋体"/>
          <w:color w:val="auto"/>
          <w:sz w:val="24"/>
          <w:szCs w:val="24"/>
          <w:highlight w:val="none"/>
        </w:rPr>
        <w:t>11.1投标人应按照法律、法规、规章和规范性文件以及招标文件要求提交证明文件，证明其及投标标的符合招标文件规定。</w:t>
      </w:r>
      <w:bookmarkEnd w:id="90"/>
      <w:bookmarkEnd w:id="91"/>
    </w:p>
    <w:p w14:paraId="68EBD425">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11.2招标文件对证明文件无明确形式要求的，证明文件可以以文字资料、图纸和数据等形式提交。</w:t>
      </w:r>
    </w:p>
    <w:p w14:paraId="7C62A904">
      <w:pPr>
        <w:pStyle w:val="14"/>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12、投标报价</w:t>
      </w:r>
      <w:bookmarkStart w:id="92" w:name="_Hlt26670373"/>
    </w:p>
    <w:p w14:paraId="1C77FDF8">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color w:val="auto"/>
          <w:sz w:val="24"/>
          <w:highlight w:val="none"/>
          <w:lang w:val="en-US" w:eastAsia="zh-CN"/>
        </w:rPr>
      </w:pPr>
      <w:bookmarkStart w:id="93" w:name="_Hlt26670399"/>
      <w:bookmarkStart w:id="94" w:name="_Hlt26954840"/>
      <w:r>
        <w:rPr>
          <w:rFonts w:hint="eastAsia" w:ascii="宋体" w:hAnsi="宋体" w:eastAsia="宋体" w:cs="宋体"/>
          <w:b w:val="0"/>
          <w:bCs/>
          <w:color w:val="auto"/>
          <w:sz w:val="24"/>
          <w:szCs w:val="24"/>
          <w:highlight w:val="none"/>
          <w:lang w:val="en-US" w:eastAsia="zh-CN" w:bidi="ar-SA"/>
        </w:rPr>
        <w:t>12.1</w:t>
      </w:r>
      <w:r>
        <w:rPr>
          <w:rFonts w:hint="eastAsia" w:ascii="宋体" w:hAnsi="宋体"/>
          <w:bCs/>
          <w:color w:val="auto"/>
          <w:sz w:val="24"/>
          <w:highlight w:val="none"/>
        </w:rPr>
        <w:t>报价应包含以下内容：投标人应</w:t>
      </w:r>
      <w:r>
        <w:rPr>
          <w:rFonts w:hint="eastAsia" w:ascii="宋体" w:hAnsi="宋体"/>
          <w:color w:val="auto"/>
          <w:sz w:val="24"/>
          <w:highlight w:val="none"/>
        </w:rPr>
        <w:t>根据自己的实力和条件报价，投标报价应是</w:t>
      </w:r>
      <w:r>
        <w:rPr>
          <w:rFonts w:hint="eastAsia" w:ascii="宋体" w:hAnsi="宋体"/>
          <w:color w:val="auto"/>
          <w:sz w:val="24"/>
          <w:highlight w:val="none"/>
          <w:lang w:val="en-US" w:eastAsia="zh-CN"/>
        </w:rPr>
        <w:t>采购</w:t>
      </w:r>
      <w:r>
        <w:rPr>
          <w:rFonts w:hint="eastAsia" w:ascii="宋体" w:hAnsi="宋体"/>
          <w:color w:val="auto"/>
          <w:sz w:val="24"/>
          <w:highlight w:val="none"/>
        </w:rPr>
        <w:t>文件所确定招标范围内全部工作内容的价格体现，</w:t>
      </w:r>
      <w:r>
        <w:rPr>
          <w:rFonts w:ascii="宋体" w:hAnsi="宋体"/>
          <w:color w:val="auto"/>
          <w:sz w:val="24"/>
          <w:highlight w:val="none"/>
        </w:rPr>
        <w:t>以及为完成上述内容所必须的人工费、材料费、不可预见的费用、管理费</w:t>
      </w:r>
      <w:r>
        <w:rPr>
          <w:rFonts w:hint="eastAsia" w:ascii="宋体" w:hAnsi="宋体"/>
          <w:color w:val="auto"/>
          <w:sz w:val="24"/>
          <w:highlight w:val="none"/>
        </w:rPr>
        <w:t>、</w:t>
      </w:r>
      <w:r>
        <w:rPr>
          <w:rFonts w:ascii="宋体" w:hAnsi="宋体"/>
          <w:color w:val="auto"/>
          <w:sz w:val="24"/>
          <w:highlight w:val="none"/>
        </w:rPr>
        <w:t>利润、招标代理费</w:t>
      </w:r>
      <w:r>
        <w:rPr>
          <w:rFonts w:hint="eastAsia" w:ascii="宋体" w:hAnsi="宋体"/>
          <w:color w:val="auto"/>
          <w:sz w:val="24"/>
          <w:highlight w:val="none"/>
          <w:lang w:eastAsia="zh-CN"/>
        </w:rPr>
        <w:t>、</w:t>
      </w:r>
      <w:r>
        <w:rPr>
          <w:rFonts w:ascii="宋体" w:hAnsi="宋体"/>
          <w:color w:val="auto"/>
          <w:sz w:val="24"/>
          <w:highlight w:val="none"/>
        </w:rPr>
        <w:t>税金和文件规定的其他各项应有的全部费用</w:t>
      </w:r>
      <w:r>
        <w:rPr>
          <w:rFonts w:hint="eastAsia" w:ascii="宋体" w:hAnsi="宋体"/>
          <w:color w:val="auto"/>
          <w:sz w:val="24"/>
          <w:highlight w:val="none"/>
        </w:rPr>
        <w:t>。</w:t>
      </w:r>
      <w:r>
        <w:rPr>
          <w:rFonts w:hint="eastAsia" w:ascii="宋体" w:hAnsi="宋体"/>
          <w:color w:val="auto"/>
          <w:sz w:val="24"/>
          <w:highlight w:val="none"/>
          <w:lang w:val="en-US" w:eastAsia="zh-CN"/>
        </w:rPr>
        <w:t>中标后折扣率不调整。</w:t>
      </w:r>
    </w:p>
    <w:p w14:paraId="25F1AFE8">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12.2投标货币。投标文件中的单价和总价无特殊规定的采用人民币报价，以元为单位标注。招标文件中另有规定的按规定执行。</w:t>
      </w:r>
    </w:p>
    <w:p w14:paraId="3E71C8AC">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95" w:name="_Hlt26954731"/>
      <w:bookmarkStart w:id="96" w:name="_Hlt26954846"/>
      <w:bookmarkStart w:id="97" w:name="_Hlt26670482"/>
      <w:bookmarkStart w:id="98" w:name="_Hlt26670486"/>
      <w:bookmarkStart w:id="99" w:name="_Hlt26668983"/>
      <w:bookmarkStart w:id="100" w:name="_Hlt26954842"/>
      <w:bookmarkStart w:id="101" w:name="_Hlt26954844"/>
      <w:bookmarkStart w:id="102" w:name="_Hlt26954848"/>
      <w:bookmarkStart w:id="103" w:name="_Hlt26670403"/>
      <w:bookmarkStart w:id="104" w:name="_Hlt26670425"/>
      <w:r>
        <w:rPr>
          <w:rFonts w:hint="eastAsia" w:ascii="宋体" w:hAnsi="宋体" w:eastAsia="宋体" w:cs="宋体"/>
          <w:color w:val="auto"/>
          <w:sz w:val="24"/>
          <w:szCs w:val="24"/>
          <w:highlight w:val="none"/>
        </w:rPr>
        <w:t>13、技术要求响应及偏离表、商务要求响应及偏离表</w:t>
      </w:r>
    </w:p>
    <w:p w14:paraId="7633F01F">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13.1投标人需对招标文件中的技术要求与商务要求逐项作出响应或偏离，并说明原因。</w:t>
      </w:r>
    </w:p>
    <w:p w14:paraId="39ED4825">
      <w:pPr>
        <w:pStyle w:val="14"/>
        <w:pageBreakBefore w:val="0"/>
        <w:widowControl w:val="0"/>
        <w:tabs>
          <w:tab w:val="left" w:pos="1036"/>
        </w:tabs>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13.2投标人可在投标文件中提供认为需要的其他技术文件或说明。</w:t>
      </w:r>
    </w:p>
    <w:p w14:paraId="3BCCF779">
      <w:pPr>
        <w:pStyle w:val="14"/>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05" w:name="_Toc14577359"/>
      <w:bookmarkStart w:id="106" w:name="_Toc49090510"/>
      <w:r>
        <w:rPr>
          <w:rFonts w:hint="eastAsia" w:ascii="宋体" w:hAnsi="宋体" w:eastAsia="宋体" w:cs="宋体"/>
          <w:color w:val="auto"/>
          <w:sz w:val="24"/>
          <w:szCs w:val="24"/>
          <w:highlight w:val="none"/>
        </w:rPr>
        <w:t>14、投标函和开标一览表</w:t>
      </w:r>
      <w:bookmarkEnd w:id="105"/>
      <w:bookmarkEnd w:id="106"/>
    </w:p>
    <w:p w14:paraId="1BEB9EC7">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14.1投标人应按照招标文件中提供的格式完整、正确填写投标函、开标一览表。</w:t>
      </w:r>
    </w:p>
    <w:p w14:paraId="63A61873">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14.2对于采用货币报价的项目，开标一览表中的投标总报价应与投标分项报价表中的投标总报价一致，如不一致，不作为无效投标处理，但评标时按开标一览表中价格为准</w:t>
      </w:r>
      <w:r>
        <w:rPr>
          <w:rFonts w:hint="eastAsia" w:ascii="宋体" w:hAnsi="宋体" w:eastAsia="宋体" w:cs="宋体"/>
          <w:b/>
          <w:color w:val="auto"/>
          <w:sz w:val="24"/>
          <w:szCs w:val="24"/>
          <w:highlight w:val="none"/>
        </w:rPr>
        <w:t>。</w:t>
      </w:r>
    </w:p>
    <w:p w14:paraId="53CB0256">
      <w:pPr>
        <w:pStyle w:val="14"/>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07" w:name="_Toc14577360"/>
      <w:bookmarkStart w:id="108" w:name="_Toc49090511"/>
      <w:bookmarkStart w:id="109" w:name="_Hlt26954850"/>
      <w:bookmarkStart w:id="110" w:name="_Hlt26670489"/>
      <w:bookmarkStart w:id="111" w:name="_Hlt26954734"/>
      <w:r>
        <w:rPr>
          <w:rFonts w:hint="eastAsia" w:ascii="宋体" w:hAnsi="宋体" w:eastAsia="宋体" w:cs="宋体"/>
          <w:color w:val="auto"/>
          <w:sz w:val="24"/>
          <w:szCs w:val="24"/>
          <w:highlight w:val="none"/>
        </w:rPr>
        <w:t>15、投标有效期</w:t>
      </w:r>
      <w:bookmarkEnd w:id="107"/>
      <w:bookmarkEnd w:id="108"/>
    </w:p>
    <w:p w14:paraId="6CB8DD62">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15.1投标有效期为采购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规定的开标之日后</w:t>
      </w:r>
      <w:r>
        <w:rPr>
          <w:rFonts w:hint="eastAsia" w:ascii="宋体" w:hAnsi="宋体" w:eastAsia="宋体" w:cs="宋体"/>
          <w:b/>
          <w:color w:val="auto"/>
          <w:sz w:val="24"/>
          <w:szCs w:val="24"/>
          <w:highlight w:val="none"/>
          <w:u w:val="single"/>
          <w:lang w:val="en-US" w:eastAsia="zh-CN"/>
        </w:rPr>
        <w:t>九</w:t>
      </w:r>
      <w:r>
        <w:rPr>
          <w:rFonts w:hint="eastAsia" w:ascii="宋体" w:hAnsi="宋体" w:eastAsia="宋体" w:cs="宋体"/>
          <w:b/>
          <w:color w:val="auto"/>
          <w:sz w:val="24"/>
          <w:szCs w:val="24"/>
          <w:highlight w:val="none"/>
          <w:u w:val="single"/>
        </w:rPr>
        <w:t>十（</w:t>
      </w:r>
      <w:r>
        <w:rPr>
          <w:rFonts w:hint="eastAsia" w:ascii="宋体" w:hAnsi="宋体" w:eastAsia="宋体" w:cs="宋体"/>
          <w:b/>
          <w:color w:val="auto"/>
          <w:sz w:val="24"/>
          <w:szCs w:val="24"/>
          <w:highlight w:val="none"/>
          <w:u w:val="single"/>
          <w:lang w:val="en-US" w:eastAsia="zh-CN"/>
        </w:rPr>
        <w:t>9</w:t>
      </w:r>
      <w:r>
        <w:rPr>
          <w:rFonts w:hint="eastAsia" w:ascii="宋体" w:hAnsi="宋体" w:eastAsia="宋体" w:cs="宋体"/>
          <w:b/>
          <w:color w:val="auto"/>
          <w:sz w:val="24"/>
          <w:szCs w:val="24"/>
          <w:highlight w:val="none"/>
          <w:u w:val="single"/>
        </w:rPr>
        <w:t>0）天</w:t>
      </w:r>
      <w:r>
        <w:rPr>
          <w:rFonts w:hint="eastAsia" w:ascii="宋体" w:hAnsi="宋体" w:eastAsia="宋体" w:cs="宋体"/>
          <w:color w:val="auto"/>
          <w:sz w:val="24"/>
          <w:szCs w:val="24"/>
          <w:highlight w:val="none"/>
        </w:rPr>
        <w:t>。投标有效期比规定短的将被视为未实质性响应招标文件而予以拒绝。</w:t>
      </w:r>
    </w:p>
    <w:p w14:paraId="0A08692B">
      <w:pPr>
        <w:pStyle w:val="14"/>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16、投标有效期的延长</w:t>
      </w:r>
    </w:p>
    <w:p w14:paraId="580C2F5C">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16.1在特殊情况下，采购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于原投标有效期满之前，可向投标人提出延长投标有效期的要求。这种要求与答复均应采用书面形式。投标人可以拒绝采购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的这一要求而放弃投标。同意延长投标有效期的投标人既不能要求也不允许修改其投标文件，同时受投标有效期约束的所有权利与义务均延长至新的有效期。</w:t>
      </w:r>
    </w:p>
    <w:p w14:paraId="1E06A6BF">
      <w:pPr>
        <w:pStyle w:val="14"/>
        <w:keepNext w:val="0"/>
        <w:keepLines/>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2" w:firstLineChars="200"/>
        <w:jc w:val="left"/>
        <w:textAlignment w:val="auto"/>
        <w:outlineLvl w:val="9"/>
        <w:rPr>
          <w:rFonts w:hint="eastAsia" w:ascii="宋体" w:hAnsi="宋体" w:eastAsia="宋体" w:cs="宋体"/>
          <w:color w:val="auto"/>
          <w:sz w:val="24"/>
          <w:szCs w:val="24"/>
          <w:highlight w:val="none"/>
        </w:rPr>
      </w:pPr>
      <w:bookmarkStart w:id="112" w:name="_Toc20823296"/>
      <w:bookmarkStart w:id="113" w:name="_Toc16938540"/>
      <w:bookmarkStart w:id="114" w:name="_Toc120614217"/>
      <w:bookmarkStart w:id="115" w:name="_Toc513029224"/>
      <w:bookmarkStart w:id="116" w:name="_Hlt26954852"/>
      <w:bookmarkStart w:id="117" w:name="_Hlt26954739"/>
      <w:r>
        <w:rPr>
          <w:rFonts w:hint="eastAsia" w:ascii="宋体" w:hAnsi="宋体" w:eastAsia="宋体" w:cs="宋体"/>
          <w:b/>
          <w:color w:val="auto"/>
          <w:sz w:val="24"/>
          <w:szCs w:val="24"/>
          <w:highlight w:val="none"/>
        </w:rPr>
        <w:t>四、投标文件的递交</w:t>
      </w:r>
      <w:bookmarkEnd w:id="112"/>
      <w:bookmarkEnd w:id="113"/>
      <w:bookmarkEnd w:id="114"/>
      <w:bookmarkEnd w:id="115"/>
    </w:p>
    <w:p w14:paraId="4C633EA9">
      <w:pPr>
        <w:pStyle w:val="14"/>
        <w:keepNext w:val="0"/>
        <w:keepLines/>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18" w:name="_Toc513029225"/>
      <w:bookmarkStart w:id="119" w:name="_Toc16938541"/>
      <w:bookmarkStart w:id="120" w:name="_Toc20823297"/>
      <w:bookmarkStart w:id="121" w:name="_Toc462564084"/>
      <w:r>
        <w:rPr>
          <w:rFonts w:hint="eastAsia" w:ascii="宋体" w:hAnsi="宋体" w:eastAsia="宋体" w:cs="宋体"/>
          <w:color w:val="auto"/>
          <w:sz w:val="24"/>
          <w:szCs w:val="24"/>
          <w:highlight w:val="none"/>
        </w:rPr>
        <w:t>17、投标文件</w:t>
      </w:r>
      <w:bookmarkEnd w:id="118"/>
      <w:bookmarkEnd w:id="119"/>
      <w:bookmarkEnd w:id="120"/>
      <w:bookmarkEnd w:id="121"/>
      <w:r>
        <w:rPr>
          <w:rFonts w:hint="eastAsia" w:ascii="宋体" w:hAnsi="宋体" w:eastAsia="宋体" w:cs="宋体"/>
          <w:color w:val="auto"/>
          <w:sz w:val="24"/>
          <w:szCs w:val="24"/>
          <w:highlight w:val="none"/>
        </w:rPr>
        <w:t>的递交</w:t>
      </w:r>
    </w:p>
    <w:p w14:paraId="05F49EF9">
      <w:pPr>
        <w:pStyle w:val="14"/>
        <w:keepNext w:val="0"/>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color w:val="auto"/>
          <w:kern w:val="2"/>
          <w:highlight w:val="none"/>
        </w:rPr>
      </w:pPr>
      <w:bookmarkStart w:id="122" w:name="_Toc513029226"/>
      <w:r>
        <w:rPr>
          <w:rFonts w:hint="eastAsia"/>
          <w:color w:val="auto"/>
          <w:kern w:val="2"/>
          <w:highlight w:val="none"/>
        </w:rPr>
        <w:t>1</w:t>
      </w:r>
      <w:r>
        <w:rPr>
          <w:rFonts w:hint="eastAsia"/>
          <w:color w:val="auto"/>
          <w:kern w:val="2"/>
          <w:highlight w:val="none"/>
          <w:lang w:val="en-US" w:eastAsia="zh-CN"/>
        </w:rPr>
        <w:t>7.1</w:t>
      </w:r>
      <w:r>
        <w:rPr>
          <w:rFonts w:hint="eastAsia"/>
          <w:color w:val="auto"/>
          <w:kern w:val="2"/>
          <w:highlight w:val="none"/>
        </w:rPr>
        <w:t>投标人上传投标文件的时间不得迟于招标公告中规定的投标截止时间。</w:t>
      </w:r>
    </w:p>
    <w:p w14:paraId="00EA9414">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投标人应充分考虑到网络环境、网络带宽等风险因素，如因投标人自身原因造成的投标文件上传不成功的按照本招标文件第二章第26.1.2条 规定做无效投标处理。</w:t>
      </w:r>
    </w:p>
    <w:p w14:paraId="503E24E0">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可以按照规定，通过修改招标文件酌情延长投标截止时间，在此情况下，投标人的所有权利和义务以及投标人受制的截止时间均应以延长后新的截止时间为准。</w:t>
      </w:r>
    </w:p>
    <w:p w14:paraId="3057AFB1">
      <w:pPr>
        <w:keepNext w:val="0"/>
        <w:keepLines w:val="0"/>
        <w:pageBreakBefore w:val="0"/>
        <w:widowControl w:val="0"/>
        <w:kinsoku w:val="0"/>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u w:val="none"/>
        </w:rPr>
        <w:t>1</w:t>
      </w:r>
      <w:r>
        <w:rPr>
          <w:rFonts w:hint="eastAsia" w:ascii="宋体" w:hAnsi="宋体" w:cs="宋体"/>
          <w:color w:val="auto"/>
          <w:sz w:val="24"/>
          <w:highlight w:val="none"/>
          <w:u w:val="none"/>
          <w:lang w:val="en-US" w:eastAsia="zh-CN"/>
        </w:rPr>
        <w:t>7</w:t>
      </w:r>
      <w:r>
        <w:rPr>
          <w:rFonts w:hint="eastAsia" w:ascii="宋体" w:hAnsi="宋体" w:cs="宋体"/>
          <w:color w:val="auto"/>
          <w:sz w:val="24"/>
          <w:highlight w:val="none"/>
          <w:u w:val="none"/>
        </w:rPr>
        <w:t>.</w:t>
      </w:r>
      <w:r>
        <w:rPr>
          <w:rFonts w:hint="eastAsia" w:ascii="宋体" w:hAnsi="宋体" w:cs="宋体"/>
          <w:color w:val="auto"/>
          <w:sz w:val="24"/>
          <w:highlight w:val="none"/>
          <w:u w:val="none"/>
          <w:lang w:val="en-US" w:eastAsia="zh-CN"/>
        </w:rPr>
        <w:t>3</w:t>
      </w:r>
      <w:r>
        <w:rPr>
          <w:rFonts w:hint="eastAsia" w:ascii="宋体" w:hAnsi="宋体" w:cs="宋体"/>
          <w:color w:val="auto"/>
          <w:sz w:val="24"/>
          <w:highlight w:val="none"/>
          <w:u w:val="none"/>
        </w:rPr>
        <w:t xml:space="preserve"> </w:t>
      </w:r>
      <w:r>
        <w:rPr>
          <w:rFonts w:hint="eastAsia" w:ascii="宋体" w:hAnsi="宋体" w:cs="宋体"/>
          <w:color w:val="auto"/>
          <w:sz w:val="24"/>
          <w:highlight w:val="none"/>
        </w:rPr>
        <w:t xml:space="preserve"> 各投标人需在开标前提前下载“腾讯会议”直播APP，参见开标会议，会议号：</w:t>
      </w:r>
      <w:r>
        <w:rPr>
          <w:rFonts w:hint="eastAsia" w:ascii="宋体" w:hAnsi="宋体" w:cs="宋体"/>
          <w:color w:val="auto"/>
          <w:sz w:val="24"/>
          <w:highlight w:val="none"/>
          <w:u w:val="single"/>
          <w:lang w:val="en-US" w:eastAsia="zh-CN"/>
        </w:rPr>
        <w:t>（招标公告）</w:t>
      </w:r>
      <w:r>
        <w:rPr>
          <w:rFonts w:hint="eastAsia" w:ascii="宋体" w:hAnsi="宋体" w:cs="宋体"/>
          <w:color w:val="auto"/>
          <w:sz w:val="24"/>
          <w:highlight w:val="none"/>
        </w:rPr>
        <w:t>，直接观看直播和在线交流。各投标人自行准备相关硬件设备，确保网络畅通，音响保持正常使用状态。不得因未能观看到视频直播对开标会议提出质疑。</w:t>
      </w:r>
    </w:p>
    <w:p w14:paraId="14AFD887">
      <w:pPr>
        <w:pageBreakBefore w:val="0"/>
        <w:widowControl w:val="0"/>
        <w:kinsoku/>
        <w:wordWrap/>
        <w:overflowPunct/>
        <w:topLinePunct w:val="0"/>
        <w:bidi w:val="0"/>
        <w:adjustRightInd w:val="0"/>
        <w:snapToGrid w:val="0"/>
        <w:spacing w:line="4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 xml:space="preserve">  投标人必须在投标文件</w:t>
      </w:r>
      <w:r>
        <w:rPr>
          <w:rFonts w:hint="eastAsia" w:ascii="宋体" w:hAnsi="宋体" w:cs="宋体"/>
          <w:b/>
          <w:bCs/>
          <w:color w:val="auto"/>
          <w:sz w:val="24"/>
          <w:highlight w:val="none"/>
        </w:rPr>
        <w:t>提交截止时间后15分钟内</w:t>
      </w:r>
      <w:r>
        <w:rPr>
          <w:rFonts w:hint="eastAsia" w:ascii="宋体" w:hAnsi="宋体" w:cs="宋体"/>
          <w:color w:val="auto"/>
          <w:sz w:val="24"/>
          <w:highlight w:val="none"/>
        </w:rPr>
        <w:t>，将投标文件的解密密码发送至采购人指定的邮箱</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同投标文件递交邮箱</w:t>
      </w:r>
      <w:r>
        <w:rPr>
          <w:rFonts w:hint="eastAsia" w:ascii="宋体" w:hAnsi="宋体" w:cs="宋体"/>
          <w:color w:val="auto"/>
          <w:sz w:val="24"/>
          <w:highlight w:val="none"/>
          <w:lang w:eastAsia="zh-CN"/>
        </w:rPr>
        <w:t>）</w:t>
      </w:r>
      <w:r>
        <w:rPr>
          <w:rFonts w:hint="eastAsia" w:ascii="宋体" w:hAnsi="宋体" w:cs="宋体"/>
          <w:color w:val="auto"/>
          <w:sz w:val="24"/>
          <w:highlight w:val="none"/>
        </w:rPr>
        <w:t>，邮箱主题标明“</w:t>
      </w:r>
      <w:r>
        <w:rPr>
          <w:rFonts w:hint="eastAsia" w:ascii="宋体" w:hAnsi="宋体" w:cs="宋体"/>
          <w:b/>
          <w:bCs/>
          <w:color w:val="auto"/>
          <w:sz w:val="24"/>
          <w:highlight w:val="none"/>
        </w:rPr>
        <w:t>单位名称</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lang w:val="en-US" w:eastAsia="zh-CN"/>
        </w:rPr>
        <w:t>可简写</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rPr>
        <w:t>+解密密码</w:t>
      </w:r>
      <w:r>
        <w:rPr>
          <w:rFonts w:hint="eastAsia" w:ascii="宋体" w:hAnsi="宋体" w:cs="宋体"/>
          <w:color w:val="auto"/>
          <w:sz w:val="24"/>
          <w:highlight w:val="none"/>
        </w:rPr>
        <w:t>”字样，逾期未发送或因自身原因未能发送的，其投标无效。</w:t>
      </w:r>
    </w:p>
    <w:p w14:paraId="5681B119">
      <w:pPr>
        <w:pageBreakBefore w:val="0"/>
        <w:widowControl w:val="0"/>
        <w:kinsoku/>
        <w:wordWrap/>
        <w:overflowPunct/>
        <w:topLinePunct w:val="0"/>
        <w:bidi w:val="0"/>
        <w:adjustRightInd w:val="0"/>
        <w:snapToGrid w:val="0"/>
        <w:spacing w:line="4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 xml:space="preserve">5 </w:t>
      </w:r>
      <w:r>
        <w:rPr>
          <w:rFonts w:hint="eastAsia" w:ascii="宋体" w:hAnsi="宋体" w:cs="宋体"/>
          <w:color w:val="auto"/>
          <w:sz w:val="24"/>
          <w:highlight w:val="none"/>
        </w:rPr>
        <w:t xml:space="preserve"> 投标文件有下列情形之一的，将被拒绝接收：</w:t>
      </w:r>
    </w:p>
    <w:p w14:paraId="156EAEA4">
      <w:pPr>
        <w:pageBreakBefore w:val="0"/>
        <w:widowControl w:val="0"/>
        <w:kinsoku/>
        <w:wordWrap/>
        <w:overflowPunct/>
        <w:topLinePunct w:val="0"/>
        <w:bidi w:val="0"/>
        <w:adjustRightInd w:val="0"/>
        <w:snapToGrid w:val="0"/>
        <w:spacing w:line="400" w:lineRule="exact"/>
        <w:ind w:left="0" w:right="0" w:firstLine="482" w:firstLineChars="200"/>
        <w:jc w:val="left"/>
        <w:textAlignment w:val="auto"/>
        <w:outlineLvl w:val="9"/>
        <w:rPr>
          <w:rFonts w:hint="eastAsia" w:ascii="宋体" w:hAnsi="宋体" w:cs="宋体"/>
          <w:b/>
          <w:bCs/>
          <w:color w:val="auto"/>
          <w:sz w:val="24"/>
          <w:highlight w:val="none"/>
        </w:rPr>
      </w:pPr>
      <w:r>
        <w:rPr>
          <w:rFonts w:hint="eastAsia" w:ascii="宋体" w:hAnsi="宋体" w:cs="宋体"/>
          <w:b/>
          <w:bCs/>
          <w:color w:val="auto"/>
          <w:sz w:val="24"/>
          <w:highlight w:val="none"/>
        </w:rPr>
        <w:t>（1）投标人递交的投标文件和解密密码由不同邮箱发送的；</w:t>
      </w:r>
    </w:p>
    <w:p w14:paraId="1B1087C4">
      <w:pPr>
        <w:pageBreakBefore w:val="0"/>
        <w:widowControl w:val="0"/>
        <w:kinsoku/>
        <w:wordWrap/>
        <w:overflowPunct/>
        <w:topLinePunct w:val="0"/>
        <w:bidi w:val="0"/>
        <w:adjustRightInd w:val="0"/>
        <w:snapToGrid w:val="0"/>
        <w:spacing w:line="400" w:lineRule="exact"/>
        <w:ind w:left="0" w:right="0" w:firstLine="482" w:firstLineChars="200"/>
        <w:jc w:val="left"/>
        <w:textAlignment w:val="auto"/>
        <w:outlineLvl w:val="9"/>
        <w:rPr>
          <w:rFonts w:hint="eastAsia" w:ascii="宋体" w:hAnsi="宋体" w:cs="宋体"/>
          <w:b/>
          <w:bCs/>
          <w:color w:val="auto"/>
          <w:sz w:val="24"/>
          <w:highlight w:val="none"/>
        </w:rPr>
      </w:pPr>
      <w:r>
        <w:rPr>
          <w:rFonts w:hint="eastAsia" w:ascii="宋体" w:hAnsi="宋体" w:cs="宋体"/>
          <w:b/>
          <w:bCs/>
          <w:color w:val="auto"/>
          <w:sz w:val="24"/>
          <w:highlight w:val="none"/>
        </w:rPr>
        <w:t>（2）投标人递交的投标文件逾期到达或未发送至指定邮箱的；</w:t>
      </w:r>
    </w:p>
    <w:p w14:paraId="044A8A92">
      <w:pPr>
        <w:pageBreakBefore w:val="0"/>
        <w:widowControl w:val="0"/>
        <w:kinsoku/>
        <w:wordWrap/>
        <w:overflowPunct/>
        <w:topLinePunct w:val="0"/>
        <w:bidi w:val="0"/>
        <w:adjustRightInd w:val="0"/>
        <w:snapToGrid w:val="0"/>
        <w:spacing w:line="400" w:lineRule="exact"/>
        <w:ind w:left="0" w:right="0" w:firstLine="482" w:firstLineChars="200"/>
        <w:jc w:val="left"/>
        <w:textAlignment w:val="auto"/>
        <w:outlineLvl w:val="9"/>
        <w:rPr>
          <w:rFonts w:hint="eastAsia" w:ascii="宋体" w:hAnsi="宋体" w:cs="宋体"/>
          <w:b/>
          <w:bCs/>
          <w:color w:val="auto"/>
          <w:sz w:val="24"/>
          <w:highlight w:val="none"/>
        </w:rPr>
      </w:pPr>
      <w:r>
        <w:rPr>
          <w:rFonts w:hint="eastAsia" w:ascii="宋体" w:hAnsi="宋体" w:cs="宋体"/>
          <w:b/>
          <w:bCs/>
          <w:color w:val="auto"/>
          <w:sz w:val="24"/>
          <w:highlight w:val="none"/>
        </w:rPr>
        <w:t>（3）投标人的解密密码在投标文件提交截止时间前发送的或在规定发送密码的截止时间后发送的；</w:t>
      </w:r>
    </w:p>
    <w:p w14:paraId="4028AD69">
      <w:pPr>
        <w:pStyle w:val="17"/>
        <w:pageBreakBefore w:val="0"/>
        <w:widowControl w:val="0"/>
        <w:kinsoku/>
        <w:wordWrap/>
        <w:overflowPunct/>
        <w:topLinePunct w:val="0"/>
        <w:bidi w:val="0"/>
        <w:adjustRightInd w:val="0"/>
        <w:snapToGrid w:val="0"/>
        <w:spacing w:line="400" w:lineRule="exact"/>
        <w:ind w:left="0" w:right="0" w:firstLine="482" w:firstLineChars="200"/>
        <w:jc w:val="left"/>
        <w:textAlignment w:val="auto"/>
        <w:outlineLvl w:val="9"/>
        <w:rPr>
          <w:rFonts w:hint="eastAsia" w:eastAsia="宋体"/>
          <w:b/>
          <w:bCs/>
          <w:color w:val="auto"/>
          <w:kern w:val="2"/>
          <w:highlight w:val="none"/>
        </w:rPr>
      </w:pPr>
      <w:r>
        <w:rPr>
          <w:rFonts w:hint="eastAsia" w:eastAsia="宋体"/>
          <w:b/>
          <w:bCs/>
          <w:color w:val="auto"/>
          <w:kern w:val="2"/>
          <w:highlight w:val="none"/>
        </w:rPr>
        <w:t>（4）解压后的文件无法正常打开；</w:t>
      </w:r>
    </w:p>
    <w:p w14:paraId="43BCBF98">
      <w:pPr>
        <w:pStyle w:val="17"/>
        <w:pageBreakBefore w:val="0"/>
        <w:widowControl w:val="0"/>
        <w:kinsoku/>
        <w:wordWrap/>
        <w:overflowPunct/>
        <w:topLinePunct w:val="0"/>
        <w:bidi w:val="0"/>
        <w:adjustRightInd w:val="0"/>
        <w:snapToGrid w:val="0"/>
        <w:spacing w:line="400" w:lineRule="exact"/>
        <w:ind w:left="0" w:right="0" w:firstLine="482" w:firstLineChars="200"/>
        <w:jc w:val="left"/>
        <w:textAlignment w:val="auto"/>
        <w:outlineLvl w:val="9"/>
        <w:rPr>
          <w:rFonts w:hint="eastAsia" w:eastAsia="宋体"/>
          <w:b/>
          <w:bCs/>
          <w:color w:val="auto"/>
          <w:kern w:val="2"/>
          <w:highlight w:val="none"/>
        </w:rPr>
      </w:pPr>
      <w:r>
        <w:rPr>
          <w:rFonts w:hint="eastAsia" w:eastAsia="宋体"/>
          <w:b/>
          <w:bCs/>
          <w:color w:val="auto"/>
          <w:kern w:val="2"/>
          <w:highlight w:val="none"/>
        </w:rPr>
        <w:t>（5）投标人递交的投标文件未加密的。</w:t>
      </w:r>
    </w:p>
    <w:p w14:paraId="43C281F1">
      <w:pPr>
        <w:pageBreakBefore w:val="0"/>
        <w:widowControl w:val="0"/>
        <w:kinsoku/>
        <w:wordWrap/>
        <w:overflowPunct/>
        <w:topLinePunct w:val="0"/>
        <w:bidi w:val="0"/>
        <w:adjustRightInd w:val="0"/>
        <w:snapToGrid w:val="0"/>
        <w:spacing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 xml:space="preserve">  各投标人法定代表人或授权代表须持身份证原件出席视频直播会议，并保证在开标过程中随时出示，由采购人代表核验。</w:t>
      </w:r>
    </w:p>
    <w:p w14:paraId="4F21A69A">
      <w:pPr>
        <w:pStyle w:val="14"/>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18、</w:t>
      </w:r>
      <w:r>
        <w:rPr>
          <w:rFonts w:hint="eastAsia" w:ascii="宋体" w:hAnsi="宋体" w:eastAsia="宋体" w:cs="宋体"/>
          <w:b/>
          <w:bCs/>
          <w:color w:val="auto"/>
          <w:sz w:val="24"/>
          <w:szCs w:val="24"/>
          <w:highlight w:val="none"/>
        </w:rPr>
        <w:t>投标截止时间</w:t>
      </w:r>
    </w:p>
    <w:p w14:paraId="09A9210B">
      <w:pPr>
        <w:pageBreakBefore w:val="0"/>
        <w:widowControl w:val="0"/>
        <w:kinsoku/>
        <w:wordWrap/>
        <w:overflowPunct/>
        <w:topLinePunct w:val="0"/>
        <w:bidi w:val="0"/>
        <w:adjustRightInd w:val="0"/>
        <w:snapToGrid w:val="0"/>
        <w:spacing w:line="400" w:lineRule="exact"/>
        <w:ind w:left="0" w:right="0" w:firstLine="480" w:firstLineChars="200"/>
        <w:jc w:val="left"/>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val="en-US" w:eastAsia="zh-CN"/>
        </w:rPr>
        <w:t>8</w:t>
      </w:r>
      <w:r>
        <w:rPr>
          <w:rFonts w:hint="eastAsia" w:ascii="宋体" w:hAnsi="宋体" w:cs="宋体"/>
          <w:color w:val="auto"/>
          <w:sz w:val="24"/>
          <w:highlight w:val="none"/>
        </w:rPr>
        <w:t>.1  投标截止时间：</w:t>
      </w:r>
      <w:r>
        <w:rPr>
          <w:rFonts w:hint="eastAsia" w:ascii="宋体" w:hAnsi="宋体" w:cs="宋体"/>
          <w:bCs/>
          <w:color w:val="auto"/>
          <w:sz w:val="24"/>
          <w:highlight w:val="none"/>
        </w:rPr>
        <w:t>详见公告</w:t>
      </w:r>
      <w:r>
        <w:rPr>
          <w:rFonts w:hint="eastAsia" w:ascii="宋体" w:hAnsi="宋体" w:cs="宋体"/>
          <w:color w:val="auto"/>
          <w:sz w:val="24"/>
          <w:highlight w:val="none"/>
        </w:rPr>
        <w:t>。</w:t>
      </w:r>
    </w:p>
    <w:p w14:paraId="47FBF47E">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b/>
          <w:bCs/>
          <w:color w:val="auto"/>
          <w:kern w:val="2"/>
          <w:highlight w:val="none"/>
          <w:lang w:eastAsia="zh-CN"/>
        </w:rPr>
      </w:pPr>
      <w:r>
        <w:rPr>
          <w:rFonts w:hint="eastAsia"/>
          <w:color w:val="auto"/>
          <w:highlight w:val="none"/>
        </w:rPr>
        <w:t>1</w:t>
      </w:r>
      <w:r>
        <w:rPr>
          <w:rFonts w:hint="eastAsia"/>
          <w:color w:val="auto"/>
          <w:highlight w:val="none"/>
          <w:lang w:val="en-US" w:eastAsia="zh-CN"/>
        </w:rPr>
        <w:t>8</w:t>
      </w:r>
      <w:r>
        <w:rPr>
          <w:rFonts w:hint="eastAsia"/>
          <w:color w:val="auto"/>
          <w:highlight w:val="none"/>
        </w:rPr>
        <w:t xml:space="preserve">.2  </w:t>
      </w:r>
      <w:r>
        <w:rPr>
          <w:rFonts w:hint="eastAsia"/>
          <w:color w:val="auto"/>
          <w:kern w:val="2"/>
          <w:highlight w:val="none"/>
        </w:rPr>
        <w:t>投标递交地点：上传加密的投标文件至采购人指定邮箱</w:t>
      </w:r>
      <w:r>
        <w:rPr>
          <w:rFonts w:hint="eastAsia"/>
          <w:b/>
          <w:bCs/>
          <w:color w:val="auto"/>
          <w:kern w:val="2"/>
          <w:highlight w:val="none"/>
          <w:lang w:eastAsia="zh-CN"/>
        </w:rPr>
        <w:t>（</w:t>
      </w:r>
      <w:r>
        <w:rPr>
          <w:rFonts w:hint="eastAsia"/>
          <w:b/>
          <w:bCs/>
          <w:color w:val="auto"/>
          <w:kern w:val="2"/>
          <w:highlight w:val="none"/>
          <w:lang w:val="en-US" w:eastAsia="zh-CN"/>
        </w:rPr>
        <w:t>详招标公告</w:t>
      </w:r>
      <w:r>
        <w:rPr>
          <w:rFonts w:hint="eastAsia"/>
          <w:b/>
          <w:bCs/>
          <w:color w:val="auto"/>
          <w:kern w:val="2"/>
          <w:highlight w:val="none"/>
          <w:lang w:eastAsia="zh-CN"/>
        </w:rPr>
        <w:t>）。</w:t>
      </w:r>
    </w:p>
    <w:p w14:paraId="60F0E3B1">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color w:val="auto"/>
          <w:kern w:val="2"/>
          <w:highlight w:val="none"/>
        </w:rPr>
      </w:pPr>
      <w:r>
        <w:rPr>
          <w:rFonts w:hint="eastAsia"/>
          <w:color w:val="auto"/>
          <w:kern w:val="2"/>
          <w:highlight w:val="none"/>
        </w:rPr>
        <w:t>1</w:t>
      </w:r>
      <w:r>
        <w:rPr>
          <w:rFonts w:hint="eastAsia"/>
          <w:color w:val="auto"/>
          <w:kern w:val="2"/>
          <w:highlight w:val="none"/>
          <w:lang w:val="en-US" w:eastAsia="zh-CN"/>
        </w:rPr>
        <w:t>8</w:t>
      </w:r>
      <w:r>
        <w:rPr>
          <w:rFonts w:hint="eastAsia"/>
          <w:color w:val="auto"/>
          <w:kern w:val="2"/>
          <w:highlight w:val="none"/>
        </w:rPr>
        <w:t>.3  采购人或采购代理机构有权延长投标截止期。在此情况下，采购人和投标人受投标截止期制约的所有权利和义务均应延长至新的截止期。</w:t>
      </w:r>
    </w:p>
    <w:p w14:paraId="3AECB744">
      <w:pPr>
        <w:pStyle w:val="14"/>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23" w:name="_Toc513029227"/>
      <w:bookmarkStart w:id="124" w:name="_Toc20823299"/>
      <w:bookmarkStart w:id="125" w:name="_Toc16938543"/>
      <w:r>
        <w:rPr>
          <w:rFonts w:hint="eastAsia" w:ascii="宋体" w:hAnsi="宋体" w:eastAsia="宋体" w:cs="宋体"/>
          <w:color w:val="auto"/>
          <w:sz w:val="24"/>
          <w:szCs w:val="24"/>
          <w:highlight w:val="none"/>
        </w:rPr>
        <w:t>19、投标文件</w:t>
      </w:r>
      <w:bookmarkEnd w:id="123"/>
      <w:bookmarkEnd w:id="124"/>
      <w:bookmarkEnd w:id="125"/>
      <w:r>
        <w:rPr>
          <w:rFonts w:hint="eastAsia" w:ascii="宋体" w:hAnsi="宋体" w:eastAsia="宋体" w:cs="宋体"/>
          <w:color w:val="auto"/>
          <w:sz w:val="24"/>
          <w:szCs w:val="24"/>
          <w:highlight w:val="none"/>
        </w:rPr>
        <w:t>的拒收</w:t>
      </w:r>
    </w:p>
    <w:p w14:paraId="2B48FBBD">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拒绝接收在其规定的投标截止时间后上传的任何投标文件。</w:t>
      </w:r>
    </w:p>
    <w:p w14:paraId="6520AEC0">
      <w:pPr>
        <w:pStyle w:val="14"/>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26" w:name="_Toc513029228"/>
      <w:bookmarkStart w:id="127" w:name="_Toc16938544"/>
      <w:bookmarkStart w:id="128" w:name="_Toc20823300"/>
      <w:r>
        <w:rPr>
          <w:rFonts w:hint="eastAsia" w:ascii="宋体" w:hAnsi="宋体" w:eastAsia="宋体" w:cs="宋体"/>
          <w:color w:val="auto"/>
          <w:sz w:val="24"/>
          <w:szCs w:val="24"/>
          <w:highlight w:val="none"/>
        </w:rPr>
        <w:t>20、投标文件的撤回和修改</w:t>
      </w:r>
      <w:bookmarkEnd w:id="126"/>
      <w:bookmarkEnd w:id="127"/>
      <w:bookmarkEnd w:id="128"/>
    </w:p>
    <w:p w14:paraId="2C6476A3">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20.1投标文件的撤回</w:t>
      </w:r>
    </w:p>
    <w:p w14:paraId="72EBA9C8">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.1.1投标文件的撤回</w:t>
      </w:r>
    </w:p>
    <w:p w14:paraId="26CBD294">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投标人可在投标截止时间前，撤回其投标文件。</w:t>
      </w:r>
    </w:p>
    <w:p w14:paraId="3ED51487">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.1.2投标人撤回投标文件，则认为其不再参与本项目投标活动。</w:t>
      </w:r>
    </w:p>
    <w:p w14:paraId="090FC03B">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 投标文件的修改</w:t>
      </w:r>
    </w:p>
    <w:p w14:paraId="053F4E45">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20.2.1投标人可在投标截止时间前，对其投标文件进行修改。</w:t>
      </w:r>
    </w:p>
    <w:p w14:paraId="7AABAAF3">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20.2.2在投标截止时间之后，投标人不得对其投标文件作任何修改。</w:t>
      </w:r>
    </w:p>
    <w:p w14:paraId="1BEFAE9D">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20.3在投标截止时间至招标文件中规定的投标有效期满之间的这段时间内，投标人不得撤回其投标。</w:t>
      </w:r>
    </w:p>
    <w:p w14:paraId="1BB23621">
      <w:pPr>
        <w:pStyle w:val="14"/>
        <w:keepNext/>
        <w:keepLines/>
        <w:pageBreakBefore w:val="0"/>
        <w:widowControl w:val="0"/>
        <w:kinsoku/>
        <w:wordWrap/>
        <w:overflowPunct/>
        <w:topLinePunct w:val="0"/>
        <w:bidi w:val="0"/>
        <w:adjustRightInd w:val="0"/>
        <w:snapToGrid w:val="0"/>
        <w:spacing w:beforeAutospacing="0" w:afterAutospacing="0" w:line="400" w:lineRule="exact"/>
        <w:ind w:left="0" w:right="0" w:firstLine="482" w:firstLineChars="200"/>
        <w:jc w:val="left"/>
        <w:textAlignment w:val="auto"/>
        <w:outlineLvl w:val="9"/>
        <w:rPr>
          <w:rFonts w:hint="eastAsia" w:ascii="宋体" w:hAnsi="宋体" w:eastAsia="宋体" w:cs="宋体"/>
          <w:color w:val="auto"/>
          <w:sz w:val="24"/>
          <w:szCs w:val="24"/>
          <w:highlight w:val="none"/>
        </w:rPr>
      </w:pPr>
      <w:bookmarkStart w:id="129" w:name="_Toc513029229"/>
      <w:bookmarkStart w:id="130" w:name="_Toc120614218"/>
      <w:bookmarkStart w:id="131" w:name="_Toc16938545"/>
      <w:bookmarkStart w:id="132" w:name="_Toc20823301"/>
      <w:r>
        <w:rPr>
          <w:rFonts w:hint="eastAsia" w:ascii="宋体" w:hAnsi="宋体" w:eastAsia="宋体" w:cs="宋体"/>
          <w:b/>
          <w:color w:val="auto"/>
          <w:sz w:val="24"/>
          <w:szCs w:val="24"/>
          <w:highlight w:val="none"/>
        </w:rPr>
        <w:t>五、开标与评标</w:t>
      </w:r>
      <w:bookmarkEnd w:id="129"/>
      <w:bookmarkEnd w:id="130"/>
      <w:bookmarkEnd w:id="131"/>
      <w:bookmarkEnd w:id="132"/>
    </w:p>
    <w:p w14:paraId="2C4C772A">
      <w:pPr>
        <w:pStyle w:val="14"/>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33" w:name="_Toc513029230"/>
      <w:bookmarkStart w:id="134" w:name="_Toc20823302"/>
      <w:bookmarkStart w:id="135" w:name="_Toc16938546"/>
      <w:r>
        <w:rPr>
          <w:rFonts w:hint="eastAsia" w:ascii="宋体" w:hAnsi="宋体" w:eastAsia="宋体" w:cs="宋体"/>
          <w:color w:val="auto"/>
          <w:sz w:val="24"/>
          <w:szCs w:val="24"/>
          <w:highlight w:val="none"/>
        </w:rPr>
        <w:t>21、开标</w:t>
      </w:r>
      <w:bookmarkEnd w:id="133"/>
      <w:bookmarkEnd w:id="134"/>
      <w:bookmarkEnd w:id="135"/>
    </w:p>
    <w:p w14:paraId="3FFA4913">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将在招标公告中规定的时间和地点组织公开开标。投标人应当按照规定，参加开标活动和在规定的时间内对投标文件进行解密。</w:t>
      </w:r>
    </w:p>
    <w:p w14:paraId="79A3E99F">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21.2开标仪式由采购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组织。</w:t>
      </w:r>
    </w:p>
    <w:p w14:paraId="6DF31ED7">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投标人如果对开标过程和开标记录有疑义，应当</w:t>
      </w:r>
      <w:r>
        <w:rPr>
          <w:rFonts w:hint="eastAsia" w:ascii="宋体" w:hAnsi="宋体" w:eastAsia="宋体" w:cs="宋体"/>
          <w:color w:val="auto"/>
          <w:sz w:val="24"/>
          <w:szCs w:val="24"/>
          <w:highlight w:val="none"/>
          <w:lang w:val="en-US" w:eastAsia="zh-CN"/>
        </w:rPr>
        <w:t>在开标现场提出，如在开标结果</w:t>
      </w:r>
      <w:r>
        <w:rPr>
          <w:rFonts w:hint="eastAsia" w:ascii="宋体" w:hAnsi="宋体" w:eastAsia="宋体" w:cs="宋体"/>
          <w:color w:val="auto"/>
          <w:sz w:val="24"/>
          <w:szCs w:val="24"/>
          <w:highlight w:val="none"/>
        </w:rPr>
        <w:t>宣布后5分钟内未提出的，视同认可开标结果。</w:t>
      </w:r>
    </w:p>
    <w:p w14:paraId="388DE53A">
      <w:pPr>
        <w:pStyle w:val="14"/>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36" w:name="_Toc20823303"/>
      <w:bookmarkStart w:id="137" w:name="_Toc16938547"/>
      <w:bookmarkStart w:id="138" w:name="_Toc513029231"/>
      <w:r>
        <w:rPr>
          <w:rFonts w:hint="eastAsia" w:ascii="宋体" w:hAnsi="宋体" w:eastAsia="宋体" w:cs="宋体"/>
          <w:color w:val="auto"/>
          <w:sz w:val="24"/>
          <w:szCs w:val="24"/>
          <w:highlight w:val="none"/>
        </w:rPr>
        <w:t>22、评标委员会</w:t>
      </w:r>
      <w:bookmarkEnd w:id="136"/>
      <w:bookmarkEnd w:id="137"/>
      <w:bookmarkEnd w:id="138"/>
    </w:p>
    <w:p w14:paraId="2A744671">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22.1开标后，采购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将立即组织评标委员会（以下简称评委会）进行评标。</w:t>
      </w:r>
    </w:p>
    <w:p w14:paraId="20656C36">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22.2评委会由采购人代表和有关技术、经济等方面的专家组成，且人员构成符合政府采购有关规定。</w:t>
      </w:r>
    </w:p>
    <w:p w14:paraId="1DF8D947">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22.3评委会独立工作，负责评审所有投标文件并确定中标</w:t>
      </w:r>
      <w:r>
        <w:rPr>
          <w:rFonts w:hint="eastAsia" w:ascii="宋体" w:hAnsi="宋体" w:eastAsia="宋体" w:cs="宋体"/>
          <w:color w:val="auto"/>
          <w:sz w:val="24"/>
          <w:szCs w:val="24"/>
          <w:highlight w:val="none"/>
          <w:lang w:eastAsia="zh-CN"/>
        </w:rPr>
        <w:t>候选人</w:t>
      </w:r>
      <w:r>
        <w:rPr>
          <w:rFonts w:hint="eastAsia" w:ascii="宋体" w:hAnsi="宋体" w:eastAsia="宋体" w:cs="宋体"/>
          <w:color w:val="auto"/>
          <w:sz w:val="24"/>
          <w:szCs w:val="24"/>
          <w:highlight w:val="none"/>
        </w:rPr>
        <w:t>。</w:t>
      </w:r>
    </w:p>
    <w:p w14:paraId="28C925DA">
      <w:pPr>
        <w:pStyle w:val="14"/>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23、评标过程的保密与公正</w:t>
      </w:r>
    </w:p>
    <w:p w14:paraId="57F459E2">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23.1凡是与审查、澄清、评价和比较投标的有关资料以及授标建议等，采购人、评委、</w:t>
      </w:r>
      <w:r>
        <w:rPr>
          <w:rFonts w:hint="eastAsia" w:ascii="宋体" w:hAnsi="宋体" w:eastAsia="宋体" w:cs="宋体"/>
          <w:color w:val="auto"/>
          <w:sz w:val="24"/>
          <w:szCs w:val="24"/>
          <w:highlight w:val="none"/>
          <w:lang w:val="en-US" w:eastAsia="zh-CN"/>
        </w:rPr>
        <w:t>招标代理机构</w:t>
      </w:r>
      <w:r>
        <w:rPr>
          <w:rFonts w:hint="eastAsia" w:ascii="宋体" w:hAnsi="宋体" w:eastAsia="宋体" w:cs="宋体"/>
          <w:color w:val="auto"/>
          <w:sz w:val="24"/>
          <w:szCs w:val="24"/>
          <w:highlight w:val="none"/>
        </w:rPr>
        <w:t>均不得向投标人或与评标无关的其他人员透露。</w:t>
      </w:r>
    </w:p>
    <w:p w14:paraId="390A3B58">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23.2在评标过程中，投标人不得以任何行为影响评标过程，否则其投标文件将被作为无效投标文件。</w:t>
      </w:r>
    </w:p>
    <w:p w14:paraId="50BCF125">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23.3采购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和评标委员会不向未中标的投标人解释未中标原因，也不公布评标过程中的相关细节。</w:t>
      </w:r>
    </w:p>
    <w:p w14:paraId="5811AC55">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23.4采用综合评分法的项目，未中标的投标人可于中标结果公告期限届满之日起通过苏采云系统查看自己的评审得分及排序情况。</w:t>
      </w:r>
    </w:p>
    <w:p w14:paraId="54153DDE">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39" w:name="_Toc513029232"/>
      <w:bookmarkStart w:id="140" w:name="_Toc16938548"/>
      <w:bookmarkStart w:id="141" w:name="_Toc20823304"/>
      <w:r>
        <w:rPr>
          <w:rFonts w:hint="eastAsia" w:ascii="宋体" w:hAnsi="宋体" w:eastAsia="宋体" w:cs="宋体"/>
          <w:color w:val="auto"/>
          <w:sz w:val="24"/>
          <w:szCs w:val="24"/>
          <w:highlight w:val="none"/>
        </w:rPr>
        <w:t>24、投标文件的澄清</w:t>
      </w:r>
      <w:bookmarkEnd w:id="139"/>
      <w:bookmarkEnd w:id="140"/>
      <w:bookmarkEnd w:id="141"/>
    </w:p>
    <w:p w14:paraId="26A54FE7">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24.1评标期间，评委会对投标文件中含义不明确、同类问题表述不一致或者有明显文字和计算错误的内容，有权要求投标人作出必要的澄清、说明或者补正。</w:t>
      </w:r>
    </w:p>
    <w:p w14:paraId="29F4FB70">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投标人的澄清、说明或者补正不得超出投标文件的范围或者改变投标文件的实质性内容。</w:t>
      </w:r>
    </w:p>
    <w:p w14:paraId="3B1C0700">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评标委员会并非对每个投标人都做澄清要求。</w:t>
      </w:r>
    </w:p>
    <w:p w14:paraId="36C4B1EC">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24.2需要供应商进行澄清、说明和补正的，评委会将通过</w:t>
      </w:r>
      <w:r>
        <w:rPr>
          <w:rFonts w:hint="eastAsia" w:ascii="宋体" w:hAnsi="宋体" w:eastAsia="宋体" w:cs="宋体"/>
          <w:color w:val="auto"/>
          <w:sz w:val="24"/>
          <w:szCs w:val="24"/>
          <w:highlight w:val="none"/>
          <w:lang w:val="en-US" w:eastAsia="zh-CN"/>
        </w:rPr>
        <w:t>评标现场电话和邮件形式</w:t>
      </w:r>
      <w:r>
        <w:rPr>
          <w:rFonts w:hint="eastAsia" w:ascii="宋体" w:hAnsi="宋体" w:eastAsia="宋体" w:cs="宋体"/>
          <w:color w:val="auto"/>
          <w:sz w:val="24"/>
          <w:szCs w:val="24"/>
          <w:highlight w:val="none"/>
        </w:rPr>
        <w:t>向供应商发出“澄清要求函”，接到“澄清要求函”的投标人应当按照要求在</w:t>
      </w:r>
      <w:r>
        <w:rPr>
          <w:rFonts w:hint="eastAsia" w:ascii="宋体" w:hAnsi="宋体" w:eastAsia="宋体" w:cs="宋体"/>
          <w:color w:val="auto"/>
          <w:sz w:val="24"/>
          <w:szCs w:val="24"/>
          <w:highlight w:val="none"/>
          <w:lang w:val="en-US" w:eastAsia="zh-CN"/>
        </w:rPr>
        <w:t>邮件回复</w:t>
      </w:r>
      <w:r>
        <w:rPr>
          <w:rFonts w:hint="eastAsia" w:ascii="宋体" w:hAnsi="宋体" w:eastAsia="宋体" w:cs="宋体"/>
          <w:color w:val="auto"/>
          <w:sz w:val="24"/>
          <w:szCs w:val="24"/>
          <w:highlight w:val="none"/>
        </w:rPr>
        <w:t>“澄清响应函”并加盖</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公章。澄清、说明和补正的内容作为投标文件的补充部分。</w:t>
      </w:r>
    </w:p>
    <w:p w14:paraId="40AB8EBE">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24.3接到评委会澄清、说明和补正要求的投标人如未按规定</w:t>
      </w:r>
      <w:r>
        <w:rPr>
          <w:rFonts w:hint="eastAsia" w:ascii="宋体" w:hAnsi="宋体" w:eastAsia="宋体" w:cs="宋体"/>
          <w:color w:val="auto"/>
          <w:sz w:val="24"/>
          <w:szCs w:val="24"/>
          <w:highlight w:val="none"/>
          <w:lang w:eastAsia="zh-CN"/>
        </w:rPr>
        <w:t>作出</w:t>
      </w:r>
      <w:r>
        <w:rPr>
          <w:rFonts w:hint="eastAsia" w:ascii="宋体" w:hAnsi="宋体" w:eastAsia="宋体" w:cs="宋体"/>
          <w:color w:val="auto"/>
          <w:sz w:val="24"/>
          <w:szCs w:val="24"/>
          <w:highlight w:val="none"/>
        </w:rPr>
        <w:t>澄清、说明和补正，其风险由投标人自行承担。</w:t>
      </w:r>
    </w:p>
    <w:p w14:paraId="6E30B691">
      <w:pPr>
        <w:pStyle w:val="14"/>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42" w:name="_Toc20823305"/>
      <w:bookmarkStart w:id="143" w:name="_Toc513029233"/>
      <w:bookmarkStart w:id="144" w:name="_Toc16938549"/>
      <w:r>
        <w:rPr>
          <w:rFonts w:hint="eastAsia" w:ascii="宋体" w:hAnsi="宋体" w:eastAsia="宋体" w:cs="宋体"/>
          <w:color w:val="auto"/>
          <w:sz w:val="24"/>
          <w:szCs w:val="24"/>
          <w:highlight w:val="none"/>
        </w:rPr>
        <w:t>25、对投标文件的初审</w:t>
      </w:r>
      <w:bookmarkEnd w:id="142"/>
      <w:bookmarkEnd w:id="143"/>
      <w:bookmarkEnd w:id="144"/>
    </w:p>
    <w:p w14:paraId="71756E3B">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25.1投标文件初审分为资格审查和符合性审查。</w:t>
      </w:r>
    </w:p>
    <w:p w14:paraId="18F44AD5">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25.1.1资格审查：依据法律法规和招标文件的规定，由采购人对投标文件中的资格证明文件进行审查。资格审查的结论，采购人以书面形式向评委会进行反馈。</w:t>
      </w:r>
    </w:p>
    <w:p w14:paraId="45C5179D">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接受联合体的项目，两个以上的自然人、法人或者其他组织组成一个联合体，以一个供应商的身份共同参加采购活动的,联合体成员存在不良信用记录的，视同联合体存在不良应用记录。</w:t>
      </w:r>
    </w:p>
    <w:p w14:paraId="0E1B06C9">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25.1.2符合性审查：依据招标文件的规定，由评委会从投标文件的有效性、完整性和对招标文件的响应程度进行审查，以确定是否对招采购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标文件的实质性要求作出响应。</w:t>
      </w:r>
    </w:p>
    <w:p w14:paraId="0FC7AF8F">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25.1.3未通过资格审查或符合性审查的投标人，将</w:t>
      </w:r>
      <w:r>
        <w:rPr>
          <w:rFonts w:hint="eastAsia" w:ascii="宋体" w:hAnsi="宋体" w:eastAsia="宋体" w:cs="宋体"/>
          <w:color w:val="auto"/>
          <w:sz w:val="24"/>
          <w:szCs w:val="24"/>
          <w:highlight w:val="none"/>
          <w:lang w:val="en-US" w:eastAsia="zh-CN"/>
        </w:rPr>
        <w:t>在电话</w:t>
      </w:r>
      <w:r>
        <w:rPr>
          <w:rFonts w:hint="eastAsia" w:ascii="宋体" w:hAnsi="宋体" w:eastAsia="宋体" w:cs="宋体"/>
          <w:color w:val="auto"/>
          <w:sz w:val="24"/>
          <w:szCs w:val="24"/>
          <w:highlight w:val="none"/>
        </w:rPr>
        <w:t>中告知未通过资格审查或符合性审查的原因，评标结束后，采购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将不再告知未通过资格审查和符合性审查的原因。</w:t>
      </w:r>
    </w:p>
    <w:p w14:paraId="21A80F1A">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25.2在详细评标之前，评委会将首先审查每份投标文件是否实质性响应了招标文件的要求。实质性响应的投标应该是与招标文件要求的全部条款、条件和规格相符，没有重大偏离或保留的投标。</w:t>
      </w:r>
    </w:p>
    <w:p w14:paraId="3EF87519">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所谓重大偏离或保留是指与招标文件规定的实质性要求存在负偏离，或者在实质上与招标文件不一致，而且限制了合同中买方和采购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的权利或投标人的义务，纠正这些偏离或保留将会对其他实质性响应要求的投标人的竞争地位产生不公正的影响。重大偏离的认定需经过评委会以少数服从多数的原则作出结论。评委决定投标文件的响应性只根据投标文件本身的内容，而不寻求外部的证据。</w:t>
      </w:r>
    </w:p>
    <w:p w14:paraId="377D1C32">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25.3如果投标文件实质上没有响应招标文件的要求，评委会将予以拒绝，投标人不得通过修改或撤销不合要求的偏离或保留而使其投标成为实质性响应的投标。</w:t>
      </w:r>
    </w:p>
    <w:p w14:paraId="4FCA6640">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25.4评委会将对确定为实质性响应的投标进行进一步审核，确定其是否有计算上或累加上的算术错误，修正错误的原则如下：</w:t>
      </w:r>
    </w:p>
    <w:p w14:paraId="463946E2">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（1）投标文件中开标一览表内容与投标文件中相应内容不一致的，以开标一览表为准。</w:t>
      </w:r>
    </w:p>
    <w:p w14:paraId="4AA7B771">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（2）大写金额和小写金额不一致的，</w:t>
      </w:r>
      <w:r>
        <w:rPr>
          <w:rFonts w:hint="eastAsia" w:ascii="宋体" w:hAnsi="宋体" w:eastAsia="宋体" w:cs="宋体"/>
          <w:b/>
          <w:bCs/>
          <w:color w:val="auto"/>
          <w:sz w:val="24"/>
          <w:szCs w:val="24"/>
          <w:highlight w:val="none"/>
        </w:rPr>
        <w:t>以大写金额为准。</w:t>
      </w:r>
    </w:p>
    <w:p w14:paraId="44F56D61">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（3）单价金额小数点或者百分比有明显错位的，以开标一览表的总价为准，并修改单价。</w:t>
      </w:r>
    </w:p>
    <w:p w14:paraId="0157CF21">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（4）总价金额与按单价汇总金额不一致的，以单价金额计算结果为准。</w:t>
      </w:r>
    </w:p>
    <w:p w14:paraId="2D36D6CA">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同时出现两种以上错误的，按照前款规定的顺序修正。</w:t>
      </w:r>
    </w:p>
    <w:p w14:paraId="1143D9AB">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25.5评委会将按上述修正错误的方法调整投标文件中的投标报价，并通过苏采云系统告知投标人，调整后的价格应对投标人具有约束力。如果投标人不接受修正后的价格，则其投标将被拒绝。</w:t>
      </w:r>
    </w:p>
    <w:p w14:paraId="1230C2C8">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45" w:name="_Toc16938550"/>
      <w:bookmarkStart w:id="146" w:name="_Toc20823306"/>
      <w:bookmarkStart w:id="147" w:name="_Toc513029234"/>
      <w:r>
        <w:rPr>
          <w:rFonts w:hint="eastAsia" w:ascii="宋体" w:hAnsi="宋体" w:eastAsia="宋体" w:cs="宋体"/>
          <w:color w:val="auto"/>
          <w:sz w:val="24"/>
          <w:szCs w:val="24"/>
          <w:highlight w:val="none"/>
        </w:rPr>
        <w:t>25.6投标人在开、评标全过程中应</w:t>
      </w:r>
      <w:r>
        <w:rPr>
          <w:rFonts w:hint="eastAsia" w:ascii="宋体" w:hAnsi="宋体" w:eastAsia="宋体" w:cs="宋体"/>
          <w:color w:val="auto"/>
          <w:sz w:val="24"/>
          <w:szCs w:val="24"/>
          <w:highlight w:val="none"/>
          <w:lang w:eastAsia="zh-CN"/>
        </w:rPr>
        <w:t>保持通信畅通</w:t>
      </w:r>
      <w:r>
        <w:rPr>
          <w:rFonts w:hint="eastAsia" w:ascii="宋体" w:hAnsi="宋体" w:eastAsia="宋体" w:cs="宋体"/>
          <w:color w:val="auto"/>
          <w:sz w:val="24"/>
          <w:szCs w:val="24"/>
          <w:highlight w:val="none"/>
        </w:rPr>
        <w:t>，及时登录苏采云系统查阅、答复相关信息，并安排专人与采购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及评标委员会联系。</w:t>
      </w:r>
      <w:bookmarkEnd w:id="145"/>
      <w:bookmarkEnd w:id="146"/>
      <w:bookmarkEnd w:id="147"/>
    </w:p>
    <w:p w14:paraId="25F3BE20">
      <w:pPr>
        <w:pStyle w:val="14"/>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26、无效投标条款和废标条款</w:t>
      </w:r>
    </w:p>
    <w:p w14:paraId="7FB12682">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48" w:name="_Toc16938551"/>
      <w:bookmarkStart w:id="149" w:name="_Toc20823307"/>
      <w:bookmarkStart w:id="150" w:name="_Toc513029235"/>
      <w:r>
        <w:rPr>
          <w:rFonts w:hint="eastAsia" w:ascii="宋体" w:hAnsi="宋体" w:eastAsia="宋体" w:cs="宋体"/>
          <w:color w:val="auto"/>
          <w:sz w:val="24"/>
          <w:szCs w:val="24"/>
          <w:highlight w:val="none"/>
        </w:rPr>
        <w:t>26.1无效投标条款</w:t>
      </w:r>
      <w:bookmarkEnd w:id="148"/>
      <w:bookmarkEnd w:id="149"/>
      <w:bookmarkEnd w:id="150"/>
    </w:p>
    <w:p w14:paraId="53B8CA9C">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26.1.1投标人在规定的时间内未成功</w:t>
      </w:r>
      <w:r>
        <w:rPr>
          <w:rFonts w:hint="eastAsia" w:ascii="宋体" w:hAnsi="宋体" w:eastAsia="宋体" w:cs="宋体"/>
          <w:color w:val="auto"/>
          <w:sz w:val="24"/>
          <w:szCs w:val="24"/>
          <w:highlight w:val="none"/>
          <w:lang w:val="en-US" w:eastAsia="zh-CN"/>
        </w:rPr>
        <w:t>提交解密密码和解密</w:t>
      </w:r>
      <w:r>
        <w:rPr>
          <w:rFonts w:hint="eastAsia" w:ascii="宋体" w:hAnsi="宋体" w:eastAsia="宋体" w:cs="宋体"/>
          <w:color w:val="auto"/>
          <w:sz w:val="24"/>
          <w:szCs w:val="24"/>
          <w:highlight w:val="none"/>
        </w:rPr>
        <w:t>投标文件的。</w:t>
      </w:r>
    </w:p>
    <w:p w14:paraId="66D8985D">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26.1.2投标人未按照招标文件要求</w:t>
      </w:r>
      <w:r>
        <w:rPr>
          <w:rFonts w:hint="eastAsia" w:ascii="宋体" w:hAnsi="宋体" w:eastAsia="宋体" w:cs="宋体"/>
          <w:color w:val="auto"/>
          <w:sz w:val="24"/>
          <w:szCs w:val="24"/>
          <w:highlight w:val="none"/>
          <w:lang w:val="en-US" w:eastAsia="zh-CN"/>
        </w:rPr>
        <w:t>提交</w:t>
      </w:r>
      <w:r>
        <w:rPr>
          <w:rFonts w:hint="eastAsia" w:ascii="宋体" w:hAnsi="宋体" w:eastAsia="宋体" w:cs="宋体"/>
          <w:color w:val="auto"/>
          <w:sz w:val="24"/>
          <w:szCs w:val="24"/>
          <w:highlight w:val="none"/>
        </w:rPr>
        <w:t>投标文件的。</w:t>
      </w:r>
    </w:p>
    <w:p w14:paraId="435C93E7">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26.1.3同一投标人提交两个（含两个）以上不同的投标报价的。</w:t>
      </w:r>
    </w:p>
    <w:p w14:paraId="2DA1CF55">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26.1.4投标人不具备招标文件中规定资格要求的。</w:t>
      </w:r>
    </w:p>
    <w:p w14:paraId="3BA9591A">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26.1.5投标人的报价超过了采购预算或最高限价的。</w:t>
      </w:r>
    </w:p>
    <w:p w14:paraId="05DAFB39">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26.1.6未通过符合性审查的。</w:t>
      </w:r>
    </w:p>
    <w:p w14:paraId="41A1E490">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26.1.7不符合招标文件中规定的实质性要求和条件的（</w:t>
      </w:r>
      <w:r>
        <w:rPr>
          <w:rFonts w:hint="eastAsia" w:ascii="宋体" w:hAnsi="宋体" w:eastAsia="宋体" w:cs="宋体"/>
          <w:i/>
          <w:color w:val="auto"/>
          <w:sz w:val="24"/>
          <w:szCs w:val="24"/>
          <w:highlight w:val="none"/>
          <w:u w:val="single"/>
        </w:rPr>
        <w:t>本招标文件中斜体且有下划线部分为实质性要求和条件）。</w:t>
      </w:r>
    </w:p>
    <w:p w14:paraId="6882D577">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26.1.8投标人被“信用中国”网站（www.creditchina.gov.cn）列入失信被执行人或重大税收违法案件当事人名单或政府采购严重失信行为记录名单。</w:t>
      </w:r>
    </w:p>
    <w:p w14:paraId="3B16356A">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26.1.9投标文件含有采购人不能接受的附加条件的。</w:t>
      </w:r>
    </w:p>
    <w:p w14:paraId="30278C46">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26.1.10投标人不能证明其报价合理性的，评</w:t>
      </w:r>
      <w:r>
        <w:rPr>
          <w:rFonts w:hint="eastAsia" w:ascii="宋体" w:hAnsi="宋体" w:eastAsia="宋体" w:cs="宋体"/>
          <w:color w:val="auto"/>
          <w:sz w:val="24"/>
          <w:szCs w:val="24"/>
          <w:highlight w:val="none"/>
          <w:lang w:val="en-US" w:eastAsia="zh-CN"/>
        </w:rPr>
        <w:t>标</w:t>
      </w:r>
      <w:r>
        <w:rPr>
          <w:rFonts w:hint="eastAsia" w:ascii="宋体" w:hAnsi="宋体" w:eastAsia="宋体" w:cs="宋体"/>
          <w:color w:val="auto"/>
          <w:sz w:val="24"/>
          <w:szCs w:val="24"/>
          <w:highlight w:val="none"/>
        </w:rPr>
        <w:t>委员会应当将其作为无效投标处理。</w:t>
      </w:r>
    </w:p>
    <w:p w14:paraId="6F27A046">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（一）评审过程中出现下列情形之一的，评标委员会应当启动异常低价投标审查程序：</w:t>
      </w:r>
    </w:p>
    <w:p w14:paraId="07D8563E">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1.投标报价低于采购项目预算50% 的，即投标报价&lt;采购项目预算×50%；</w:t>
      </w:r>
    </w:p>
    <w:p w14:paraId="504B0719">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2.投标报价低于采购项目最高限价45% 的，即投标报价&lt;采购项目最高限价×45%；</w:t>
      </w:r>
    </w:p>
    <w:p w14:paraId="05605E05">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3.评标委员会认定的供应商报价过低、有可能影响产品质量或者不能诚信履约的其他情形。</w:t>
      </w:r>
    </w:p>
    <w:p w14:paraId="7DA057D0">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二）启动异常低价投标审查后，评标委员会应当要求相关供应商在评标现场合理的时间内，提供项目具体成本测算等与报价合理性相关的书面说明及相关证明材料，对投标价格作出解释，由评标委员会结合同类产品在主要电商平台的价格、该行业当地薪资水平等情况，依据专业经验对供应商报价合理性进行判断。投标供应商不提供书面说明、证明材料，或者提供的书面说明、证明材料不能证明其报价合理性的，评标委员会应当将其作为无效投标处理。审查相关情况应当在评审报告中进行记录。</w:t>
      </w:r>
    </w:p>
    <w:p w14:paraId="18627F4F">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26.1.11投标文件未按照招标文件要求加盖</w:t>
      </w:r>
      <w:r>
        <w:rPr>
          <w:rFonts w:hint="eastAsia" w:ascii="宋体" w:hAnsi="宋体" w:eastAsia="宋体" w:cs="宋体"/>
          <w:color w:val="auto"/>
          <w:sz w:val="24"/>
          <w:szCs w:val="24"/>
          <w:highlight w:val="none"/>
          <w:lang w:val="en-US" w:eastAsia="zh-CN"/>
        </w:rPr>
        <w:t>投标供应商</w:t>
      </w:r>
      <w:r>
        <w:rPr>
          <w:rFonts w:hint="eastAsia" w:ascii="宋体" w:hAnsi="宋体" w:eastAsia="宋体" w:cs="宋体"/>
          <w:color w:val="auto"/>
          <w:sz w:val="24"/>
          <w:szCs w:val="24"/>
          <w:highlight w:val="none"/>
        </w:rPr>
        <w:t>公章的。</w:t>
      </w:r>
    </w:p>
    <w:p w14:paraId="742E7BA7">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26.1.12其他法律、法规及本招标文件规定的属无效投标的情形。</w:t>
      </w:r>
    </w:p>
    <w:p w14:paraId="2ACAC68A">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26.2废标条款</w:t>
      </w:r>
    </w:p>
    <w:p w14:paraId="5626BAE3">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26.2.1符合专业条件的供应商或者对招标文件作实质响应的供应商不足三家的。</w:t>
      </w:r>
    </w:p>
    <w:p w14:paraId="76ABCD28">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26.2.2出现影响采购公正的违法、违规行为的。</w:t>
      </w:r>
    </w:p>
    <w:p w14:paraId="6837BF2C">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26.2.3因重大变故，采购任务取消的。</w:t>
      </w:r>
    </w:p>
    <w:p w14:paraId="571B12E8">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26.2.4评标委员会认定招标文件存在歧义、重大缺陷导致评审工作无法进行。</w:t>
      </w:r>
    </w:p>
    <w:p w14:paraId="233CF4F2">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26.2.5因苏采云系统系统故障原因造成开标不成功的。</w:t>
      </w:r>
    </w:p>
    <w:p w14:paraId="25998E9E">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26.3 投标截止时间结束后参加投标的供应商不足三家的处理：</w:t>
      </w:r>
    </w:p>
    <w:p w14:paraId="6F8D70A4">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26.3.1如出现投标截止时间结束后参加投标的供应商或者在评标期间对招标文件做出实质响应的供应商不足三家情况，按相关规定执行。</w:t>
      </w:r>
    </w:p>
    <w:p w14:paraId="54251A44">
      <w:pPr>
        <w:pStyle w:val="14"/>
        <w:keepNext/>
        <w:keepLines/>
        <w:pageBreakBefore w:val="0"/>
        <w:widowControl w:val="0"/>
        <w:kinsoku/>
        <w:wordWrap/>
        <w:overflowPunct/>
        <w:topLinePunct w:val="0"/>
        <w:bidi w:val="0"/>
        <w:adjustRightInd w:val="0"/>
        <w:snapToGrid w:val="0"/>
        <w:spacing w:beforeAutospacing="0" w:afterAutospacing="0" w:line="400" w:lineRule="exact"/>
        <w:ind w:left="0" w:right="0" w:firstLine="482" w:firstLineChars="200"/>
        <w:jc w:val="left"/>
        <w:textAlignment w:val="auto"/>
        <w:outlineLvl w:val="9"/>
        <w:rPr>
          <w:rFonts w:hint="eastAsia" w:ascii="宋体" w:hAnsi="宋体" w:eastAsia="宋体" w:cs="宋体"/>
          <w:color w:val="auto"/>
          <w:sz w:val="24"/>
          <w:szCs w:val="24"/>
          <w:highlight w:val="none"/>
        </w:rPr>
      </w:pPr>
      <w:bookmarkStart w:id="151" w:name="_Toc120614219"/>
      <w:r>
        <w:rPr>
          <w:rFonts w:hint="eastAsia" w:ascii="宋体" w:hAnsi="宋体" w:eastAsia="宋体" w:cs="宋体"/>
          <w:b/>
          <w:color w:val="auto"/>
          <w:sz w:val="24"/>
          <w:szCs w:val="24"/>
          <w:highlight w:val="none"/>
        </w:rPr>
        <w:t>六、定标</w:t>
      </w:r>
      <w:bookmarkEnd w:id="151"/>
    </w:p>
    <w:p w14:paraId="609C833C">
      <w:pPr>
        <w:pStyle w:val="14"/>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52" w:name="_Toc20823310"/>
      <w:bookmarkStart w:id="153" w:name="_Toc513029238"/>
      <w:bookmarkStart w:id="154" w:name="_Toc16938554"/>
      <w:r>
        <w:rPr>
          <w:rFonts w:hint="eastAsia" w:ascii="宋体" w:hAnsi="宋体" w:eastAsia="宋体" w:cs="宋体"/>
          <w:color w:val="auto"/>
          <w:sz w:val="24"/>
          <w:szCs w:val="24"/>
          <w:highlight w:val="none"/>
        </w:rPr>
        <w:t>27、</w:t>
      </w:r>
      <w:bookmarkEnd w:id="152"/>
      <w:r>
        <w:rPr>
          <w:rFonts w:hint="eastAsia" w:ascii="宋体" w:hAnsi="宋体" w:eastAsia="宋体" w:cs="宋体"/>
          <w:color w:val="auto"/>
          <w:sz w:val="24"/>
          <w:szCs w:val="24"/>
          <w:highlight w:val="none"/>
        </w:rPr>
        <w:t>确定</w:t>
      </w:r>
      <w:bookmarkEnd w:id="153"/>
      <w:bookmarkEnd w:id="154"/>
      <w:r>
        <w:rPr>
          <w:rFonts w:hint="eastAsia" w:ascii="宋体" w:hAnsi="宋体" w:eastAsia="宋体" w:cs="宋体"/>
          <w:color w:val="auto"/>
          <w:sz w:val="24"/>
          <w:szCs w:val="24"/>
          <w:highlight w:val="none"/>
        </w:rPr>
        <w:t>中标单位</w:t>
      </w:r>
    </w:p>
    <w:p w14:paraId="2AB6A907">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27.1中标候选人的选取原则和数量见招标文件第五章规定。 </w:t>
      </w:r>
    </w:p>
    <w:p w14:paraId="17FFA727">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27.2采购人应根据评委会推荐的中标候选人确定中标人。</w:t>
      </w:r>
    </w:p>
    <w:p w14:paraId="1FD1F372">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27.3采购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将</w:t>
      </w:r>
      <w:r>
        <w:rPr>
          <w:rFonts w:hint="eastAsia" w:ascii="宋体" w:hAnsi="宋体" w:eastAsia="宋体" w:cs="宋体"/>
          <w:color w:val="auto"/>
          <w:sz w:val="24"/>
          <w:szCs w:val="24"/>
          <w:highlight w:val="none"/>
          <w:lang w:val="en-US" w:eastAsia="zh-CN"/>
        </w:rPr>
        <w:t>同网址</w:t>
      </w:r>
      <w:r>
        <w:rPr>
          <w:rFonts w:hint="eastAsia" w:ascii="宋体" w:hAnsi="宋体" w:eastAsia="宋体" w:cs="宋体"/>
          <w:color w:val="auto"/>
          <w:sz w:val="24"/>
          <w:szCs w:val="24"/>
          <w:highlight w:val="none"/>
        </w:rPr>
        <w:t>”发布中标公告，公告期限为1个工作日。</w:t>
      </w:r>
    </w:p>
    <w:p w14:paraId="41C3973E">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27.4若有充分证据证明，中标人出现下列情况之一的，一经查实，将被取消中标资格：</w:t>
      </w:r>
    </w:p>
    <w:p w14:paraId="685A758D">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27.4.1提供虚假材料谋取中标的。</w:t>
      </w:r>
    </w:p>
    <w:p w14:paraId="5973AA07">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27.4.2向采购人、</w:t>
      </w:r>
      <w:r>
        <w:rPr>
          <w:rFonts w:hint="eastAsia" w:ascii="宋体" w:hAnsi="宋体" w:eastAsia="宋体" w:cs="宋体"/>
          <w:color w:val="auto"/>
          <w:sz w:val="24"/>
          <w:szCs w:val="24"/>
          <w:highlight w:val="none"/>
          <w:lang w:val="en-US" w:eastAsia="zh-CN"/>
        </w:rPr>
        <w:t>招标代理机构</w:t>
      </w:r>
      <w:r>
        <w:rPr>
          <w:rFonts w:hint="eastAsia" w:ascii="宋体" w:hAnsi="宋体" w:eastAsia="宋体" w:cs="宋体"/>
          <w:color w:val="auto"/>
          <w:sz w:val="24"/>
          <w:szCs w:val="24"/>
          <w:highlight w:val="none"/>
        </w:rPr>
        <w:t>行贿或者提供其他不正当利益的。</w:t>
      </w:r>
    </w:p>
    <w:p w14:paraId="42C47A67">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27.4.3属于本文件规定的无效条件，但在评标过程中又未被评委会发现的。</w:t>
      </w:r>
    </w:p>
    <w:p w14:paraId="2557B7C1">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27.4.4与采购人或者其他供应商恶意串通的。</w:t>
      </w:r>
    </w:p>
    <w:p w14:paraId="39DB40B5">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27.4.5采取不正当手段诋毁、排挤其他供应商的。</w:t>
      </w:r>
    </w:p>
    <w:p w14:paraId="359F1DB9">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55" w:name="_Toc200451960"/>
      <w:r>
        <w:rPr>
          <w:rFonts w:hint="eastAsia" w:ascii="宋体" w:hAnsi="宋体" w:eastAsia="宋体" w:cs="宋体"/>
          <w:color w:val="auto"/>
          <w:sz w:val="24"/>
          <w:szCs w:val="24"/>
          <w:highlight w:val="none"/>
        </w:rPr>
        <w:t>27.5 有下列情形之一的，视为投标人串通投标，投标无效：</w:t>
      </w:r>
      <w:bookmarkEnd w:id="155"/>
    </w:p>
    <w:p w14:paraId="4A4B8D9A">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27.5.1不同投标人的投标文件由同一单位或者个人编制。</w:t>
      </w:r>
    </w:p>
    <w:p w14:paraId="59209E4B">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27.5.2不同投标人委托同一单位或者个人办理投标事宜。</w:t>
      </w:r>
    </w:p>
    <w:p w14:paraId="2A2191CD">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27.5.3不同投标人的投标文件载明的项目管理成员或者联系人员为同一人。</w:t>
      </w:r>
    </w:p>
    <w:p w14:paraId="1D9D00BF">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27.5.4不同投标人的投标文件异常一致或者投标报价呈规律性差异。</w:t>
      </w:r>
    </w:p>
    <w:p w14:paraId="1FA357F7">
      <w:pPr>
        <w:pStyle w:val="14"/>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28、质疑处理</w:t>
      </w:r>
    </w:p>
    <w:p w14:paraId="4C279A9B">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28.1提出质疑的供应商应当是参与所质疑项目采购活动的供应商。潜在供应商依法获取其可质疑的采购文件的，可以对采购文件提出质疑。</w:t>
      </w:r>
    </w:p>
    <w:p w14:paraId="717781AB">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28.2供应商认为采购文件、采购过程和采购结果使自己的权益受到损害的，可以在知道或应知其权益受到损害之日起七个工作日内，以书面形式根据下述28.4条款的规定向</w:t>
      </w:r>
      <w:r>
        <w:rPr>
          <w:rFonts w:hint="eastAsia" w:ascii="宋体" w:hAnsi="宋体" w:eastAsia="宋体" w:cs="宋体"/>
          <w:color w:val="auto"/>
          <w:sz w:val="24"/>
          <w:szCs w:val="24"/>
          <w:highlight w:val="none"/>
          <w:lang w:val="en-US" w:eastAsia="zh-CN"/>
        </w:rPr>
        <w:t>招标代理机构</w:t>
      </w:r>
      <w:r>
        <w:rPr>
          <w:rFonts w:hint="eastAsia" w:ascii="宋体" w:hAnsi="宋体" w:eastAsia="宋体" w:cs="宋体"/>
          <w:color w:val="auto"/>
          <w:sz w:val="24"/>
          <w:szCs w:val="24"/>
          <w:highlight w:val="none"/>
        </w:rPr>
        <w:t>或采购人提出质疑。上述应知其权益受到损害之日，是指：</w:t>
      </w:r>
    </w:p>
    <w:p w14:paraId="686E0D9F">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28.2.1对可以质疑的采购文件提出质疑的，为收到采购文件之日或者采购文件公告期限届满之日；</w:t>
      </w:r>
    </w:p>
    <w:p w14:paraId="6BCE34BA">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28.2.2对采购过程提出质疑的，为各采购程序环节结束之日；</w:t>
      </w:r>
    </w:p>
    <w:p w14:paraId="5B797334">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28.2.3对中标或者成交结果提出质疑的，为中标或者成交结果公告期限届满之日。</w:t>
      </w:r>
    </w:p>
    <w:p w14:paraId="2D25EC6E">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供应商应当在法定质疑期内一次性提出针对同一采购程序环节的质疑。供应商如在法定期限内对同一采购程序环节提出多次质疑的，</w:t>
      </w:r>
      <w:r>
        <w:rPr>
          <w:rFonts w:hint="eastAsia" w:ascii="宋体" w:hAnsi="宋体" w:eastAsia="宋体" w:cs="宋体"/>
          <w:color w:val="auto"/>
          <w:sz w:val="24"/>
          <w:szCs w:val="24"/>
          <w:highlight w:val="none"/>
          <w:lang w:val="en-US" w:eastAsia="zh-CN"/>
        </w:rPr>
        <w:t>招标代理机构</w:t>
      </w:r>
      <w:r>
        <w:rPr>
          <w:rFonts w:hint="eastAsia" w:ascii="宋体" w:hAnsi="宋体" w:eastAsia="宋体" w:cs="宋体"/>
          <w:color w:val="auto"/>
          <w:sz w:val="24"/>
          <w:szCs w:val="24"/>
          <w:highlight w:val="none"/>
        </w:rPr>
        <w:t>、采购人将只对供应商第一次质疑作出答复。</w:t>
      </w:r>
    </w:p>
    <w:p w14:paraId="76A90D99">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28.3质疑函必须按照本招标文件中《质疑函范本》要求的格式和内容进行填写。供应商如组成联合体参加投标，则《质疑函范本》中要求签字、盖章、加盖公章之处，联合体各方均须按要求签字、盖章、加盖公章。</w:t>
      </w:r>
    </w:p>
    <w:p w14:paraId="0F5D9416">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28.4供应商（含潜在供应商）对采购方式、采购需求、供应商资格条件及审查结果、评标方法和评标标准、合同文本的询问、质疑请向采购人提出，由采购人负责答复。供应商对除上述事项以外其他事项的询问、质疑请向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提出，由采购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负责答复。</w:t>
      </w:r>
    </w:p>
    <w:p w14:paraId="3DD6E26E">
      <w:pPr>
        <w:pageBreakBefore w:val="0"/>
        <w:widowControl w:val="0"/>
        <w:tabs>
          <w:tab w:val="left" w:pos="1331"/>
        </w:tabs>
        <w:kinsoku/>
        <w:wordWrap/>
        <w:overflowPunct/>
        <w:topLinePunct w:val="0"/>
        <w:bidi w:val="0"/>
        <w:adjustRightInd w:val="0"/>
        <w:snapToGrid w:val="0"/>
        <w:spacing w:line="400" w:lineRule="exact"/>
        <w:ind w:left="0" w:right="0" w:firstLine="480" w:firstLineChars="200"/>
        <w:jc w:val="left"/>
        <w:textAlignment w:val="auto"/>
        <w:outlineLvl w:val="9"/>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采购人及代理机构只接收以纸质原件形式送达的质疑,采购人和招标代理机构不接受未填写快递运单的快件。质疑接收地址及电话等详采购公告。</w:t>
      </w:r>
    </w:p>
    <w:p w14:paraId="75557581">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28.5 以下情形的质疑不予受理</w:t>
      </w:r>
    </w:p>
    <w:p w14:paraId="3875B54A">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28.5.</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超出法定期限的质疑。</w:t>
      </w:r>
    </w:p>
    <w:p w14:paraId="355CA4D7">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28.5.</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未参加投标活动的供应商或在投标活动中自身权益未受到损害的供应商所提出的质疑。</w:t>
      </w:r>
    </w:p>
    <w:p w14:paraId="111544C6">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28.5.</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供应商组成联合体参加投标，联合体中任何一方或多方未按要求签字、盖章、加盖公章的质疑。</w:t>
      </w:r>
    </w:p>
    <w:p w14:paraId="457CF031">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28.6供应商提出书面质疑必须有理、有据，不得捏造事实、提供虚假材料进行恶意质疑。否则，一经查实，采购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有权依据采购的有关规定，报请监管部门对该供应商进行相应的行政处罚和记录该供应商的失信信息。</w:t>
      </w:r>
    </w:p>
    <w:p w14:paraId="03A91BDE">
      <w:pPr>
        <w:pStyle w:val="14"/>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29、中标通知书</w:t>
      </w:r>
    </w:p>
    <w:p w14:paraId="505E029A">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29.l中标结果确定后，采购</w:t>
      </w:r>
      <w:r>
        <w:rPr>
          <w:rFonts w:hint="eastAsia" w:ascii="宋体" w:hAnsi="宋体" w:eastAsia="宋体" w:cs="宋体"/>
          <w:color w:val="auto"/>
          <w:sz w:val="24"/>
          <w:szCs w:val="24"/>
          <w:highlight w:val="none"/>
          <w:lang w:val="en-US" w:eastAsia="zh-CN"/>
        </w:rPr>
        <w:t>人</w:t>
      </w:r>
      <w:r>
        <w:rPr>
          <w:rFonts w:hint="eastAsia" w:ascii="宋体" w:hAnsi="宋体" w:eastAsia="宋体" w:cs="宋体"/>
          <w:color w:val="auto"/>
          <w:sz w:val="24"/>
          <w:szCs w:val="24"/>
          <w:highlight w:val="none"/>
        </w:rPr>
        <w:t>将向中标人发出中标通知书。</w:t>
      </w:r>
    </w:p>
    <w:p w14:paraId="1CC1F91B">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29.2中标通知书将是合同的一个组成部分。对采购人和中标人均具有法律效力。中标通知书发出后，采购人改变中标结果的，或者中标人放弃中标项目的，应当依法承担法律责任。</w:t>
      </w:r>
    </w:p>
    <w:p w14:paraId="64DAAC83">
      <w:pPr>
        <w:pStyle w:val="14"/>
        <w:keepNext/>
        <w:keepLines/>
        <w:pageBreakBefore w:val="0"/>
        <w:widowControl w:val="0"/>
        <w:kinsoku/>
        <w:wordWrap/>
        <w:overflowPunct/>
        <w:topLinePunct w:val="0"/>
        <w:bidi w:val="0"/>
        <w:adjustRightInd w:val="0"/>
        <w:snapToGrid w:val="0"/>
        <w:spacing w:beforeAutospacing="0" w:afterAutospacing="0" w:line="400" w:lineRule="exact"/>
        <w:ind w:left="0" w:right="0" w:firstLine="482" w:firstLineChars="200"/>
        <w:jc w:val="left"/>
        <w:textAlignment w:val="auto"/>
        <w:outlineLvl w:val="9"/>
        <w:rPr>
          <w:rFonts w:hint="eastAsia" w:ascii="宋体" w:hAnsi="宋体" w:eastAsia="宋体" w:cs="宋体"/>
          <w:color w:val="auto"/>
          <w:sz w:val="24"/>
          <w:szCs w:val="24"/>
          <w:highlight w:val="none"/>
        </w:rPr>
      </w:pPr>
      <w:bookmarkStart w:id="156" w:name="_Toc513029236"/>
      <w:bookmarkStart w:id="157" w:name="_Toc20823308"/>
      <w:bookmarkStart w:id="158" w:name="_Toc120614220"/>
      <w:bookmarkStart w:id="159" w:name="_Toc16938552"/>
      <w:r>
        <w:rPr>
          <w:rFonts w:hint="eastAsia" w:ascii="宋体" w:hAnsi="宋体" w:eastAsia="宋体" w:cs="宋体"/>
          <w:b/>
          <w:color w:val="auto"/>
          <w:sz w:val="24"/>
          <w:szCs w:val="24"/>
          <w:highlight w:val="none"/>
        </w:rPr>
        <w:t>七、授予合同</w:t>
      </w:r>
      <w:bookmarkEnd w:id="156"/>
      <w:bookmarkEnd w:id="157"/>
      <w:bookmarkEnd w:id="158"/>
      <w:bookmarkEnd w:id="159"/>
    </w:p>
    <w:p w14:paraId="6ACCED81">
      <w:pPr>
        <w:pStyle w:val="14"/>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60" w:name="_Toc20823309"/>
      <w:bookmarkStart w:id="161" w:name="_Toc16938553"/>
      <w:bookmarkStart w:id="162" w:name="_Toc513029237"/>
      <w:r>
        <w:rPr>
          <w:rFonts w:hint="eastAsia" w:ascii="宋体" w:hAnsi="宋体" w:eastAsia="宋体" w:cs="宋体"/>
          <w:color w:val="auto"/>
          <w:sz w:val="24"/>
          <w:szCs w:val="24"/>
          <w:highlight w:val="none"/>
        </w:rPr>
        <w:t>30.签订合同</w:t>
      </w:r>
      <w:bookmarkEnd w:id="160"/>
      <w:bookmarkEnd w:id="161"/>
      <w:bookmarkEnd w:id="162"/>
    </w:p>
    <w:p w14:paraId="49272DD0">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30.l中标人应当在中标通知书发出之日起三十日内，按照招标文件确定的事项与采购人签订采购合同。</w:t>
      </w:r>
    </w:p>
    <w:p w14:paraId="00518D93">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30.2招标文件、中标人的投标文件及招标过程中有关澄清、承诺文件均应作为合同附件。</w:t>
      </w:r>
    </w:p>
    <w:p w14:paraId="6C2608F8">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30.3签订合同后，</w:t>
      </w:r>
      <w:r>
        <w:rPr>
          <w:rFonts w:hint="eastAsia" w:ascii="宋体" w:hAnsi="宋体" w:eastAsia="宋体" w:cs="宋体"/>
          <w:i/>
          <w:color w:val="auto"/>
          <w:sz w:val="24"/>
          <w:szCs w:val="24"/>
          <w:highlight w:val="none"/>
          <w:u w:val="single"/>
        </w:rPr>
        <w:t>中标人不得将合同标的进行转包</w:t>
      </w:r>
      <w:r>
        <w:rPr>
          <w:rFonts w:hint="eastAsia" w:ascii="宋体" w:hAnsi="宋体" w:eastAsia="宋体" w:cs="宋体"/>
          <w:color w:val="auto"/>
          <w:sz w:val="24"/>
          <w:szCs w:val="24"/>
          <w:highlight w:val="none"/>
        </w:rPr>
        <w:t>。未经采购人同意，中标人也不得采用分包的形式履行合同，否则采购人有权终止合同。转包或分包造成采购人损失的，中标人应承担相应赔偿责任。</w:t>
      </w:r>
    </w:p>
    <w:p w14:paraId="77BCD65A">
      <w:pPr>
        <w:pStyle w:val="14"/>
        <w:keepNext/>
        <w:keepLines/>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31、服务（包含与服务相关的货物）的追加</w:t>
      </w:r>
    </w:p>
    <w:p w14:paraId="3B7551AE">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31.1采购合同履行中，采购人需追加与合同标的相同的服务（包含与服务相关的货物），在不改变合同其他条款的前提下，可以与中标人协商签订补充合同，但所有补充合同的采购金额不超过原合同金额10%。</w:t>
      </w:r>
    </w:p>
    <w:p w14:paraId="034807A4">
      <w:pPr>
        <w:keepNext w:val="0"/>
        <w:keepLines w:val="0"/>
        <w:pageBreakBefore w:val="0"/>
        <w:widowControl w:val="0"/>
        <w:tabs>
          <w:tab w:val="left" w:pos="1381"/>
        </w:tabs>
        <w:kinsoku w:val="0"/>
        <w:wordWrap/>
        <w:overflowPunct/>
        <w:topLinePunct w:val="0"/>
        <w:autoSpaceDE/>
        <w:autoSpaceDN/>
        <w:bidi w:val="0"/>
        <w:adjustRightInd w:val="0"/>
        <w:snapToGrid w:val="0"/>
        <w:spacing w:line="400" w:lineRule="exact"/>
        <w:ind w:left="0" w:right="0" w:firstLine="480" w:firstLineChars="20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32履约保证金政策</w:t>
      </w:r>
    </w:p>
    <w:p w14:paraId="40F02B3A">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确需收取履约保证金的，履约保证金的缴纳形式：</w:t>
      </w:r>
    </w:p>
    <w:p w14:paraId="1AF1B51A">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供应商应当以支票、汇票、本票或者金融机构、担保机构出具的保函等非现金形式提交履约保证金。</w:t>
      </w:r>
    </w:p>
    <w:p w14:paraId="57E6C93D">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履约保证金金额不得超过合同金额的5%，采购人对第三方信用服务机构依据标准规范评定为 AA 级及以上的政府采购供应商（需在签订采购合同前提供信用管理 部门备案的第三方信用报告，且信用报告通过“信用盐城网”可查实），免收履约保证金或降低履约保证金缴纳比例。</w:t>
      </w:r>
    </w:p>
    <w:p w14:paraId="0C42887D">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p w14:paraId="2E44C3F7">
      <w:pPr>
        <w:pStyle w:val="14"/>
        <w:pageBreakBefore w:val="0"/>
        <w:widowControl w:val="0"/>
        <w:kinsoku/>
        <w:wordWrap/>
        <w:overflowPunct/>
        <w:topLinePunct w:val="0"/>
        <w:bidi w:val="0"/>
        <w:adjustRightInd w:val="0"/>
        <w:snapToGrid w:val="0"/>
        <w:spacing w:beforeAutospacing="0" w:afterAutospacing="0" w:line="4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w:t>
      </w:r>
    </w:p>
    <w:p w14:paraId="0D5A4711">
      <w:pPr>
        <w:pStyle w:val="14"/>
        <w:keepNext/>
        <w:pageBreakBefore w:val="0"/>
        <w:kinsoku/>
        <w:wordWrap/>
        <w:overflowPunct/>
        <w:bidi w:val="0"/>
        <w:adjustRightInd w:val="0"/>
        <w:snapToGrid w:val="0"/>
        <w:spacing w:beforeAutospacing="0" w:afterAutospacing="0" w:line="500" w:lineRule="exact"/>
        <w:ind w:right="0"/>
        <w:jc w:val="center"/>
        <w:textAlignment w:val="auto"/>
        <w:outlineLvl w:val="9"/>
        <w:rPr>
          <w:rFonts w:hint="eastAsia" w:ascii="黑体" w:hAnsi="宋体" w:eastAsia="黑体" w:cs="黑体"/>
          <w:color w:val="auto"/>
          <w:sz w:val="44"/>
          <w:szCs w:val="44"/>
          <w:highlight w:val="none"/>
        </w:rPr>
      </w:pPr>
      <w:r>
        <w:rPr>
          <w:rFonts w:hint="eastAsia" w:ascii="黑体" w:hAnsi="宋体" w:eastAsia="黑体" w:cs="黑体"/>
          <w:color w:val="auto"/>
          <w:sz w:val="44"/>
          <w:szCs w:val="44"/>
          <w:highlight w:val="none"/>
        </w:rPr>
        <w:t>第三章  合同文本</w:t>
      </w:r>
    </w:p>
    <w:p w14:paraId="358497D9">
      <w:pPr>
        <w:pStyle w:val="14"/>
        <w:pageBreakBefore w:val="0"/>
        <w:tabs>
          <w:tab w:val="left" w:pos="6205"/>
        </w:tabs>
        <w:kinsoku/>
        <w:wordWrap/>
        <w:overflowPunct/>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63" w:name="_Hlt16619369"/>
      <w:r>
        <w:rPr>
          <w:rFonts w:hint="eastAsia" w:ascii="宋体" w:hAnsi="宋体" w:eastAsia="宋体" w:cs="宋体"/>
          <w:color w:val="auto"/>
          <w:sz w:val="24"/>
          <w:szCs w:val="24"/>
          <w:highlight w:val="none"/>
        </w:rPr>
        <w:t> </w:t>
      </w:r>
    </w:p>
    <w:p w14:paraId="1151885B">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bookmarkStart w:id="164" w:name="_Toc120614281"/>
      <w:r>
        <w:rPr>
          <w:rFonts w:hint="eastAsia" w:ascii="宋体" w:hAnsi="宋体" w:eastAsia="宋体" w:cs="宋体"/>
          <w:color w:val="auto"/>
          <w:sz w:val="24"/>
          <w:szCs w:val="24"/>
          <w:highlight w:val="none"/>
        </w:rPr>
        <w:t>以下为</w:t>
      </w:r>
      <w:r>
        <w:rPr>
          <w:rFonts w:hint="eastAsia" w:ascii="宋体" w:hAnsi="宋体" w:eastAsia="宋体" w:cs="宋体"/>
          <w:color w:val="auto"/>
          <w:sz w:val="24"/>
          <w:szCs w:val="24"/>
          <w:highlight w:val="none"/>
          <w:lang w:eastAsia="zh-CN"/>
        </w:rPr>
        <w:t>中标</w:t>
      </w:r>
      <w:r>
        <w:rPr>
          <w:rFonts w:hint="eastAsia" w:ascii="宋体" w:hAnsi="宋体" w:eastAsia="宋体" w:cs="宋体"/>
          <w:color w:val="auto"/>
          <w:sz w:val="24"/>
          <w:szCs w:val="24"/>
          <w:highlight w:val="none"/>
        </w:rPr>
        <w:t>后</w:t>
      </w:r>
      <w:r>
        <w:rPr>
          <w:rFonts w:hint="eastAsia" w:ascii="宋体" w:hAnsi="宋体" w:eastAsia="宋体" w:cs="宋体"/>
          <w:color w:val="auto"/>
          <w:sz w:val="24"/>
          <w:szCs w:val="24"/>
          <w:highlight w:val="none"/>
          <w:lang w:eastAsia="zh-CN"/>
        </w:rPr>
        <w:t>签订</w:t>
      </w:r>
      <w:r>
        <w:rPr>
          <w:rFonts w:hint="eastAsia" w:ascii="宋体" w:hAnsi="宋体" w:eastAsia="宋体" w:cs="宋体"/>
          <w:color w:val="auto"/>
          <w:sz w:val="24"/>
          <w:szCs w:val="24"/>
          <w:highlight w:val="none"/>
        </w:rPr>
        <w:t>本项目合同的通用条款，</w:t>
      </w:r>
      <w:r>
        <w:rPr>
          <w:rFonts w:hint="eastAsia" w:ascii="宋体" w:hAnsi="宋体" w:eastAsia="宋体" w:cs="宋体"/>
          <w:color w:val="auto"/>
          <w:sz w:val="24"/>
          <w:szCs w:val="24"/>
          <w:highlight w:val="none"/>
          <w:lang w:eastAsia="zh-CN"/>
        </w:rPr>
        <w:t>中标</w:t>
      </w:r>
      <w:r>
        <w:rPr>
          <w:rFonts w:hint="eastAsia" w:ascii="宋体" w:hAnsi="宋体" w:eastAsia="宋体" w:cs="宋体"/>
          <w:color w:val="auto"/>
          <w:sz w:val="24"/>
          <w:szCs w:val="24"/>
          <w:highlight w:val="none"/>
        </w:rPr>
        <w:t>供应商不得提出实质性的修改。</w:t>
      </w:r>
    </w:p>
    <w:p w14:paraId="4D03FC40">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p>
    <w:p w14:paraId="1FBD4CEE">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                          </w:t>
      </w:r>
    </w:p>
    <w:p w14:paraId="1311B626">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项目编号：</w:t>
      </w:r>
    </w:p>
    <w:p w14:paraId="5AD27A42">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甲方：（买方）_________</w:t>
      </w:r>
    </w:p>
    <w:p w14:paraId="39E83BDB">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乙方：（卖方）_________</w:t>
      </w:r>
    </w:p>
    <w:p w14:paraId="10114A82">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2" w:firstLineChars="200"/>
        <w:jc w:val="left"/>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w:t>
      </w:r>
    </w:p>
    <w:p w14:paraId="6177A6E5">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经评审，确定乙方为中标人，依据《中华人民共和国民法典》及有关</w:t>
      </w:r>
      <w:r>
        <w:rPr>
          <w:rFonts w:hint="eastAsia" w:ascii="宋体" w:hAnsi="宋体" w:eastAsia="宋体" w:cs="宋体"/>
          <w:bCs/>
          <w:color w:val="auto"/>
          <w:sz w:val="24"/>
          <w:szCs w:val="24"/>
          <w:highlight w:val="none"/>
          <w:lang w:eastAsia="zh-CN"/>
        </w:rPr>
        <w:t>法律法规</w:t>
      </w:r>
      <w:r>
        <w:rPr>
          <w:rFonts w:hint="eastAsia" w:ascii="宋体" w:hAnsi="宋体" w:eastAsia="宋体" w:cs="宋体"/>
          <w:bCs/>
          <w:color w:val="auto"/>
          <w:sz w:val="24"/>
          <w:szCs w:val="24"/>
          <w:highlight w:val="none"/>
        </w:rPr>
        <w:t>。双方就有关事项协商一致，订立本合同。</w:t>
      </w:r>
    </w:p>
    <w:p w14:paraId="405BB072">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第一条 概况 </w:t>
      </w:r>
    </w:p>
    <w:p w14:paraId="67B1F6AD">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1.项目内容：  </w:t>
      </w:r>
    </w:p>
    <w:p w14:paraId="04658D2F">
      <w:pPr>
        <w:pStyle w:val="14"/>
        <w:pageBreakBefore w:val="0"/>
        <w:kinsoku/>
        <w:wordWrap/>
        <w:overflowPunct/>
        <w:topLinePunct w:val="0"/>
        <w:autoSpaceDE/>
        <w:autoSpaceDN/>
        <w:bidi w:val="0"/>
        <w:adjustRightInd w:val="0"/>
        <w:snapToGrid w:val="0"/>
        <w:spacing w:before="0" w:beforeAutospacing="0" w:after="0" w:afterAutospacing="0" w:line="400" w:lineRule="exact"/>
        <w:ind w:right="0" w:firstLine="480" w:firstLineChars="200"/>
        <w:jc w:val="left"/>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shd w:val="clear" w:color="auto" w:fill="auto"/>
          <w:lang w:val="en-US" w:eastAsia="zh-CN"/>
        </w:rPr>
        <w:t>1.1对本公司92辆</w:t>
      </w:r>
      <w:r>
        <w:rPr>
          <w:rFonts w:hint="eastAsia" w:ascii="宋体" w:hAnsi="宋体" w:eastAsia="宋体" w:cs="宋体"/>
          <w:b w:val="0"/>
          <w:bCs w:val="0"/>
          <w:color w:val="auto"/>
          <w:sz w:val="24"/>
          <w:szCs w:val="24"/>
          <w:highlight w:val="none"/>
          <w:u w:val="none"/>
          <w:lang w:val="en-US" w:eastAsia="zh-CN"/>
        </w:rPr>
        <w:t>柴油车</w:t>
      </w:r>
      <w:r>
        <w:rPr>
          <w:rFonts w:hint="eastAsia" w:ascii="宋体" w:hAnsi="宋体" w:eastAsia="宋体" w:cs="宋体"/>
          <w:b w:val="0"/>
          <w:bCs w:val="0"/>
          <w:color w:val="auto"/>
          <w:sz w:val="24"/>
          <w:szCs w:val="24"/>
          <w:highlight w:val="none"/>
          <w:u w:val="none"/>
          <w:shd w:val="clear" w:color="auto" w:fill="auto"/>
          <w:lang w:val="en-US" w:eastAsia="zh-CN"/>
        </w:rPr>
        <w:t>汽车进行车辆保险服务进行</w:t>
      </w:r>
      <w:r>
        <w:rPr>
          <w:rFonts w:hint="eastAsia" w:ascii="宋体" w:hAnsi="宋体" w:eastAsia="宋体" w:cs="宋体"/>
          <w:b w:val="0"/>
          <w:bCs w:val="0"/>
          <w:color w:val="auto"/>
          <w:sz w:val="24"/>
          <w:szCs w:val="24"/>
          <w:highlight w:val="none"/>
          <w:u w:val="none"/>
          <w:lang w:val="en-US" w:eastAsia="zh-CN"/>
        </w:rPr>
        <w:t>采购；</w:t>
      </w:r>
    </w:p>
    <w:p w14:paraId="3A313DDD">
      <w:pPr>
        <w:pStyle w:val="14"/>
        <w:pageBreakBefore w:val="0"/>
        <w:kinsoku/>
        <w:wordWrap/>
        <w:overflowPunct/>
        <w:topLinePunct w:val="0"/>
        <w:autoSpaceDE/>
        <w:autoSpaceDN/>
        <w:bidi w:val="0"/>
        <w:adjustRightInd w:val="0"/>
        <w:snapToGrid w:val="0"/>
        <w:spacing w:before="0" w:beforeAutospacing="0" w:after="0" w:afterAutospacing="0" w:line="400" w:lineRule="exact"/>
        <w:ind w:right="0" w:firstLine="480" w:firstLineChars="200"/>
        <w:jc w:val="left"/>
        <w:textAlignment w:val="auto"/>
        <w:outlineLvl w:val="9"/>
        <w:rPr>
          <w:rFonts w:hint="eastAsia" w:ascii="宋体" w:hAnsi="宋体" w:eastAsia="宋体" w:cs="宋体"/>
          <w:b/>
          <w:bCs/>
          <w:color w:val="auto"/>
          <w:sz w:val="24"/>
          <w:szCs w:val="24"/>
          <w:highlight w:val="none"/>
          <w:u w:val="single"/>
          <w:lang w:val="en-US" w:eastAsia="zh-CN"/>
        </w:rPr>
      </w:pPr>
      <w:r>
        <w:rPr>
          <w:rFonts w:hint="eastAsia" w:ascii="宋体" w:hAnsi="宋体" w:cs="宋体"/>
          <w:color w:val="auto"/>
          <w:sz w:val="24"/>
          <w:szCs w:val="24"/>
          <w:highlight w:val="none"/>
          <w:lang w:val="en-US" w:eastAsia="zh-CN"/>
        </w:rPr>
        <w:t>1.2车险</w:t>
      </w:r>
      <w:r>
        <w:rPr>
          <w:rFonts w:hint="eastAsia" w:ascii="宋体" w:hAnsi="宋体" w:cs="宋体"/>
          <w:color w:val="auto"/>
          <w:sz w:val="24"/>
          <w:szCs w:val="24"/>
          <w:highlight w:val="none"/>
        </w:rPr>
        <w:t>含</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交通事故责任强制保险（不含车船使用税）</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第三者责任保险</w:t>
      </w:r>
      <w:r>
        <w:rPr>
          <w:rFonts w:hint="eastAsia" w:ascii="宋体" w:hAnsi="宋体" w:cs="宋体"/>
          <w:color w:val="auto"/>
          <w:sz w:val="24"/>
          <w:szCs w:val="24"/>
          <w:highlight w:val="none"/>
          <w:lang w:val="en-US" w:eastAsia="zh-CN"/>
        </w:rPr>
        <w:t>300万</w:t>
      </w:r>
      <w:r>
        <w:rPr>
          <w:rFonts w:hint="eastAsia" w:ascii="宋体" w:hAnsi="宋体" w:cs="宋体"/>
          <w:color w:val="auto"/>
          <w:sz w:val="24"/>
          <w:szCs w:val="24"/>
          <w:highlight w:val="none"/>
        </w:rPr>
        <w:t>（不计免赔）</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车辆损失险（不计免赔）、</w:t>
      </w:r>
      <w:r>
        <w:rPr>
          <w:rFonts w:hint="eastAsia" w:ascii="宋体" w:hAnsi="宋体" w:cs="宋体"/>
          <w:color w:val="auto"/>
          <w:sz w:val="24"/>
          <w:szCs w:val="24"/>
          <w:highlight w:val="none"/>
          <w:lang w:val="en-US" w:eastAsia="zh-CN"/>
        </w:rPr>
        <w:t>承运人责任险</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150</w:t>
      </w:r>
      <w:r>
        <w:rPr>
          <w:rFonts w:hint="eastAsia" w:ascii="宋体" w:hAnsi="宋体" w:cs="宋体"/>
          <w:color w:val="auto"/>
          <w:sz w:val="24"/>
          <w:szCs w:val="24"/>
          <w:highlight w:val="none"/>
        </w:rPr>
        <w:t>万</w:t>
      </w:r>
      <w:r>
        <w:rPr>
          <w:rFonts w:hint="eastAsia" w:ascii="宋体" w:hAnsi="宋体" w:cs="宋体"/>
          <w:color w:val="auto"/>
          <w:sz w:val="24"/>
          <w:szCs w:val="24"/>
          <w:highlight w:val="none"/>
          <w:lang w:val="en-US" w:eastAsia="zh-CN"/>
        </w:rPr>
        <w:t>/座；</w:t>
      </w:r>
      <w:r>
        <w:rPr>
          <w:rFonts w:hint="eastAsia" w:ascii="宋体" w:hAnsi="宋体" w:cs="宋体"/>
          <w:color w:val="auto"/>
          <w:sz w:val="24"/>
          <w:szCs w:val="24"/>
          <w:highlight w:val="none"/>
        </w:rPr>
        <w:t>含不计免赔）</w:t>
      </w:r>
    </w:p>
    <w:p w14:paraId="1AD2BDD6">
      <w:pPr>
        <w:pStyle w:val="14"/>
        <w:pageBreakBefore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最终以实际保险车辆为准。</w:t>
      </w:r>
    </w:p>
    <w:p w14:paraId="76E0DE60">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2.保险服务要求及内容：</w:t>
      </w:r>
    </w:p>
    <w:p w14:paraId="6F171615">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2.1承保服务</w:t>
      </w:r>
    </w:p>
    <w:p w14:paraId="12DEE0AD">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（1）保险机构应主动上门联系与服务，并派专人与各被保险车辆签订机动车辆保险单。</w:t>
      </w:r>
    </w:p>
    <w:p w14:paraId="4F22C1BF">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（2）乙方应按</w:t>
      </w:r>
      <w:r>
        <w:rPr>
          <w:rFonts w:hint="eastAsia" w:ascii="宋体" w:hAnsi="宋体" w:eastAsia="宋体" w:cs="宋体"/>
          <w:bCs/>
          <w:color w:val="auto"/>
          <w:sz w:val="24"/>
          <w:szCs w:val="24"/>
          <w:highlight w:val="none"/>
          <w:lang w:eastAsia="zh-CN"/>
        </w:rPr>
        <w:t>中国银行保险监督管理委员会</w:t>
      </w:r>
      <w:r>
        <w:rPr>
          <w:rFonts w:hint="eastAsia" w:ascii="宋体" w:hAnsi="宋体" w:eastAsia="宋体" w:cs="宋体"/>
          <w:bCs/>
          <w:color w:val="auto"/>
          <w:sz w:val="24"/>
          <w:szCs w:val="24"/>
          <w:highlight w:val="none"/>
        </w:rPr>
        <w:t>批准的《机动车辆保险条款》及中标报价收取保险费用。</w:t>
      </w:r>
    </w:p>
    <w:p w14:paraId="3BDF144C">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（3）本次所有车辆保障内容包括：</w:t>
      </w:r>
    </w:p>
    <w:p w14:paraId="2A3C7646">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w:t>
      </w:r>
      <w:r>
        <w:rPr>
          <w:rFonts w:hint="eastAsia" w:ascii="宋体" w:hAnsi="宋体" w:eastAsia="宋体" w:cs="宋体"/>
          <w:color w:val="auto"/>
          <w:sz w:val="24"/>
          <w:szCs w:val="24"/>
          <w:highlight w:val="none"/>
        </w:rPr>
        <w:t>理赔服务措施：实行365天×24小时报案受理、咨询服务，接到报案后30分钟内</w:t>
      </w:r>
      <w:r>
        <w:rPr>
          <w:rFonts w:hint="eastAsia" w:ascii="宋体" w:hAnsi="宋体" w:eastAsia="宋体" w:cs="宋体"/>
          <w:color w:val="auto"/>
          <w:sz w:val="24"/>
          <w:szCs w:val="24"/>
          <w:highlight w:val="none"/>
          <w:lang w:eastAsia="zh-CN"/>
        </w:rPr>
        <w:t>到达</w:t>
      </w:r>
      <w:r>
        <w:rPr>
          <w:rFonts w:hint="eastAsia" w:ascii="宋体" w:hAnsi="宋体" w:eastAsia="宋体" w:cs="宋体"/>
          <w:color w:val="auto"/>
          <w:sz w:val="24"/>
          <w:szCs w:val="24"/>
          <w:highlight w:val="none"/>
        </w:rPr>
        <w:t>现场处理，报案后24小时内提供主动上门理赔服务。建立理赔绿色通道，并限时结案，材料齐全3天内。</w:t>
      </w:r>
    </w:p>
    <w:p w14:paraId="2EC156E4">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（5）被保车辆出厂原配置必须包含在理赔范围内。</w:t>
      </w:r>
    </w:p>
    <w:p w14:paraId="1195A1A7">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6</w:t>
      </w:r>
      <w:r>
        <w:rPr>
          <w:rFonts w:hint="eastAsia" w:ascii="宋体" w:hAnsi="宋体" w:eastAsia="宋体" w:cs="宋体"/>
          <w:bCs/>
          <w:color w:val="auto"/>
          <w:sz w:val="24"/>
          <w:szCs w:val="24"/>
          <w:highlight w:val="none"/>
        </w:rPr>
        <w:t>）保费按年缴纳，以车辆各自的实际年度保险到期时间和实际要求为准，每</w:t>
      </w:r>
      <w:r>
        <w:rPr>
          <w:rFonts w:hint="eastAsia" w:ascii="宋体" w:hAnsi="宋体" w:eastAsia="宋体" w:cs="宋体"/>
          <w:bCs/>
          <w:color w:val="auto"/>
          <w:sz w:val="24"/>
          <w:szCs w:val="24"/>
          <w:highlight w:val="none"/>
          <w:lang w:eastAsia="zh-CN"/>
        </w:rPr>
        <w:t>一辆车</w:t>
      </w:r>
      <w:r>
        <w:rPr>
          <w:rFonts w:hint="eastAsia" w:ascii="宋体" w:hAnsi="宋体" w:eastAsia="宋体" w:cs="宋体"/>
          <w:bCs/>
          <w:color w:val="auto"/>
          <w:sz w:val="24"/>
          <w:szCs w:val="24"/>
          <w:highlight w:val="none"/>
        </w:rPr>
        <w:t>提供一份相应的保险。如理赔服务处理过程中发生违反保险合同约定的情况，采购人有权扣除履约保证金。</w:t>
      </w:r>
    </w:p>
    <w:p w14:paraId="5CF53F54">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（8）所有车辆的险种在到期之前仍维持现状；到期后，由原承保公司转为车辆相应的中标</w:t>
      </w:r>
      <w:r>
        <w:rPr>
          <w:rFonts w:hint="eastAsia" w:ascii="宋体" w:hAnsi="宋体" w:eastAsia="宋体" w:cs="宋体"/>
          <w:bCs/>
          <w:color w:val="auto"/>
          <w:sz w:val="24"/>
          <w:szCs w:val="24"/>
          <w:highlight w:val="none"/>
          <w:lang w:val="en-US" w:eastAsia="zh-CN"/>
        </w:rPr>
        <w:t>供应商</w:t>
      </w:r>
      <w:r>
        <w:rPr>
          <w:rFonts w:hint="eastAsia" w:ascii="宋体" w:hAnsi="宋体" w:eastAsia="宋体" w:cs="宋体"/>
          <w:bCs/>
          <w:color w:val="auto"/>
          <w:sz w:val="24"/>
          <w:szCs w:val="24"/>
          <w:highlight w:val="none"/>
        </w:rPr>
        <w:t>续保。在此期间，由</w:t>
      </w:r>
      <w:r>
        <w:rPr>
          <w:rFonts w:hint="eastAsia" w:ascii="宋体" w:hAnsi="宋体" w:eastAsia="宋体" w:cs="宋体"/>
          <w:bCs/>
          <w:color w:val="auto"/>
          <w:sz w:val="24"/>
          <w:szCs w:val="24"/>
          <w:highlight w:val="none"/>
          <w:lang w:val="en-US" w:eastAsia="zh-CN"/>
        </w:rPr>
        <w:t>采购人</w:t>
      </w:r>
      <w:r>
        <w:rPr>
          <w:rFonts w:hint="eastAsia" w:ascii="宋体" w:hAnsi="宋体" w:eastAsia="宋体" w:cs="宋体"/>
          <w:bCs/>
          <w:color w:val="auto"/>
          <w:sz w:val="24"/>
          <w:szCs w:val="24"/>
          <w:highlight w:val="none"/>
        </w:rPr>
        <w:t>提供目前各车辆保险缴纳的现状单位和期限，到期后，由中标单位主动续保，因中标单位未书面提醒或按期送保上门，导致脱保、漏保并造成采购人因事故未能获得保险理赔等损失的，中标</w:t>
      </w:r>
      <w:r>
        <w:rPr>
          <w:rFonts w:hint="eastAsia" w:ascii="宋体" w:hAnsi="宋体" w:eastAsia="宋体" w:cs="宋体"/>
          <w:bCs/>
          <w:color w:val="auto"/>
          <w:sz w:val="24"/>
          <w:szCs w:val="24"/>
          <w:highlight w:val="none"/>
          <w:lang w:val="en-US" w:eastAsia="zh-CN"/>
        </w:rPr>
        <w:t>供应商</w:t>
      </w:r>
      <w:r>
        <w:rPr>
          <w:rFonts w:hint="eastAsia" w:ascii="宋体" w:hAnsi="宋体" w:eastAsia="宋体" w:cs="宋体"/>
          <w:bCs/>
          <w:color w:val="auto"/>
          <w:sz w:val="24"/>
          <w:szCs w:val="24"/>
          <w:highlight w:val="none"/>
        </w:rPr>
        <w:t>应予以全额赔偿。</w:t>
      </w:r>
    </w:p>
    <w:p w14:paraId="76FAEAAC">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（9）车辆因报废或政府指令性停运，须按相关规定办理退保等相关手续。</w:t>
      </w:r>
    </w:p>
    <w:p w14:paraId="1AA17144">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（10）投标人针对本项目提供的增值服务内容或优惠承诺内容，中标后必须如实履行。否则采购人将按虚假应标处理，对此造成的一切责任和后果由中标人承担。</w:t>
      </w:r>
    </w:p>
    <w:p w14:paraId="136A838A">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2.2理赔服务</w:t>
      </w:r>
    </w:p>
    <w:p w14:paraId="33105708">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（1）设有24小时报案、理赔服务电话</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并设专人受理索赔接待、报案。有充足的现场勘查人员和车辆。</w:t>
      </w:r>
    </w:p>
    <w:p w14:paraId="167EDA20">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（2）中标人应对投保车辆建立用户档案、包括不限于每月向采购人报送《车辆保险情况统计表》《车辆出险理赔情况统计表》，并承诺统计填报数据</w:t>
      </w:r>
      <w:r>
        <w:rPr>
          <w:rFonts w:hint="eastAsia" w:ascii="宋体" w:hAnsi="宋体" w:eastAsia="宋体" w:cs="宋体"/>
          <w:bCs/>
          <w:color w:val="auto"/>
          <w:sz w:val="24"/>
          <w:szCs w:val="24"/>
          <w:highlight w:val="none"/>
          <w:lang w:eastAsia="zh-CN"/>
        </w:rPr>
        <w:t>的</w:t>
      </w:r>
      <w:r>
        <w:rPr>
          <w:rFonts w:hint="eastAsia" w:ascii="宋体" w:hAnsi="宋体" w:eastAsia="宋体" w:cs="宋体"/>
          <w:bCs/>
          <w:color w:val="auto"/>
          <w:sz w:val="24"/>
          <w:szCs w:val="24"/>
          <w:highlight w:val="none"/>
        </w:rPr>
        <w:t>正确性、完整性。</w:t>
      </w:r>
    </w:p>
    <w:p w14:paraId="39C09E87">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（3）人伤费用垫付：人伤事故中，伤员进行救治时，经采购人现场确认后，中标人应按规定先行垫付医疗费用（或开通医院绿色通道的形式）。</w:t>
      </w:r>
    </w:p>
    <w:p w14:paraId="2520A86D">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因第三方对被保险机动车的损害而造成保险事故，采购人向第三方索赔的，中标人应积极协助；采购人也可以直接向中标人索赔，中标人在保险金额内先行赔付采购人，并在赔偿金额内代位行使采购人对第三方请求赔偿的权利。</w:t>
      </w:r>
    </w:p>
    <w:p w14:paraId="6EF73008">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（5）如期间遇保险费政策性调整，项目合同价款</w:t>
      </w:r>
      <w:r>
        <w:rPr>
          <w:rFonts w:hint="eastAsia" w:ascii="宋体" w:hAnsi="宋体" w:eastAsia="宋体" w:cs="宋体"/>
          <w:bCs/>
          <w:color w:val="auto"/>
          <w:sz w:val="24"/>
          <w:szCs w:val="24"/>
          <w:highlight w:val="none"/>
          <w:lang w:val="en-US" w:eastAsia="zh-CN"/>
        </w:rPr>
        <w:t>需</w:t>
      </w:r>
      <w:r>
        <w:rPr>
          <w:rFonts w:hint="eastAsia" w:ascii="宋体" w:hAnsi="宋体" w:eastAsia="宋体" w:cs="宋体"/>
          <w:bCs/>
          <w:color w:val="auto"/>
          <w:sz w:val="24"/>
          <w:szCs w:val="24"/>
          <w:highlight w:val="none"/>
        </w:rPr>
        <w:t>同时</w:t>
      </w:r>
      <w:r>
        <w:rPr>
          <w:rFonts w:hint="eastAsia" w:ascii="宋体" w:hAnsi="宋体" w:eastAsia="宋体" w:cs="宋体"/>
          <w:bCs/>
          <w:color w:val="auto"/>
          <w:sz w:val="24"/>
          <w:szCs w:val="24"/>
          <w:highlight w:val="none"/>
          <w:lang w:val="en-US" w:eastAsia="zh-CN"/>
        </w:rPr>
        <w:t>做出</w:t>
      </w:r>
      <w:r>
        <w:rPr>
          <w:rFonts w:hint="eastAsia" w:ascii="宋体" w:hAnsi="宋体" w:eastAsia="宋体" w:cs="宋体"/>
          <w:bCs/>
          <w:color w:val="auto"/>
          <w:sz w:val="24"/>
          <w:szCs w:val="24"/>
          <w:highlight w:val="none"/>
        </w:rPr>
        <w:t>调整。</w:t>
      </w:r>
    </w:p>
    <w:p w14:paraId="6D7527C3">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第二条 结算及付款方式 </w:t>
      </w:r>
    </w:p>
    <w:p w14:paraId="41135C60">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1.</w:t>
      </w:r>
      <w:r>
        <w:rPr>
          <w:rFonts w:hint="eastAsia" w:ascii="宋体" w:hAnsi="宋体" w:eastAsia="宋体" w:cs="宋体"/>
          <w:bCs/>
          <w:color w:val="auto"/>
          <w:sz w:val="24"/>
          <w:szCs w:val="24"/>
          <w:highlight w:val="none"/>
        </w:rPr>
        <w:t>中标</w:t>
      </w:r>
      <w:r>
        <w:rPr>
          <w:rFonts w:hint="eastAsia" w:ascii="宋体" w:hAnsi="宋体" w:eastAsia="宋体" w:cs="宋体"/>
          <w:bCs/>
          <w:color w:val="auto"/>
          <w:sz w:val="24"/>
          <w:szCs w:val="24"/>
          <w:highlight w:val="none"/>
          <w:lang w:val="en-US" w:eastAsia="zh-CN"/>
        </w:rPr>
        <w:t>供应商</w:t>
      </w:r>
      <w:r>
        <w:rPr>
          <w:rFonts w:hint="eastAsia" w:ascii="宋体" w:hAnsi="宋体" w:eastAsia="宋体" w:cs="宋体"/>
          <w:bCs/>
          <w:color w:val="auto"/>
          <w:sz w:val="24"/>
          <w:szCs w:val="24"/>
          <w:highlight w:val="none"/>
        </w:rPr>
        <w:t>按车辆清单</w:t>
      </w:r>
      <w:r>
        <w:rPr>
          <w:rFonts w:hint="eastAsia" w:ascii="宋体" w:hAnsi="宋体" w:eastAsia="宋体" w:cs="宋体"/>
          <w:bCs/>
          <w:color w:val="auto"/>
          <w:sz w:val="24"/>
          <w:szCs w:val="24"/>
          <w:highlight w:val="none"/>
          <w:lang w:val="en-US" w:eastAsia="zh-CN"/>
        </w:rPr>
        <w:t>至少</w:t>
      </w:r>
      <w:r>
        <w:rPr>
          <w:rFonts w:hint="eastAsia" w:ascii="宋体" w:hAnsi="宋体" w:eastAsia="宋体" w:cs="宋体"/>
          <w:bCs/>
          <w:color w:val="auto"/>
          <w:sz w:val="24"/>
          <w:szCs w:val="24"/>
          <w:highlight w:val="none"/>
        </w:rPr>
        <w:t>提前一个月上门提供车辆投保单供财务付账，缴费后出具保险单</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u w:val="none"/>
          <w:lang w:val="en-US" w:eastAsia="zh-CN"/>
        </w:rPr>
        <w:t>按各自车辆单独投保合同的实际金额支付</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w:t>
      </w:r>
    </w:p>
    <w:p w14:paraId="39E12A90">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.保险金额：</w:t>
      </w:r>
    </w:p>
    <w:p w14:paraId="49547C59">
      <w:pPr>
        <w:pStyle w:val="10"/>
        <w:keepNext w:val="0"/>
        <w:keepLines w:val="0"/>
        <w:pageBreakBefore w:val="0"/>
        <w:kinsoku/>
        <w:wordWrap/>
        <w:overflowPunct/>
        <w:topLinePunct w:val="0"/>
        <w:autoSpaceDE/>
        <w:autoSpaceDN/>
        <w:bidi w:val="0"/>
        <w:spacing w:line="400" w:lineRule="exact"/>
        <w:ind w:firstLine="482" w:firstLineChars="200"/>
        <w:contextualSpacing/>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1</w:t>
      </w:r>
      <w:r>
        <w:rPr>
          <w:rFonts w:hint="eastAsia" w:hAnsi="宋体" w:eastAsia="宋体" w:cs="宋体"/>
          <w:b/>
          <w:color w:val="auto"/>
          <w:sz w:val="24"/>
          <w:szCs w:val="24"/>
          <w:highlight w:val="none"/>
          <w:lang w:val="en-US" w:eastAsia="zh-CN"/>
        </w:rPr>
        <w:t>）</w:t>
      </w:r>
      <w:r>
        <w:rPr>
          <w:rFonts w:hint="eastAsia" w:ascii="宋体" w:hAnsi="宋体" w:eastAsia="宋体" w:cs="宋体"/>
          <w:b/>
          <w:color w:val="auto"/>
          <w:sz w:val="24"/>
          <w:szCs w:val="24"/>
          <w:highlight w:val="none"/>
          <w:lang w:val="en-US" w:eastAsia="zh-CN"/>
        </w:rPr>
        <w:t>交强险：根据车辆固定基本保费及实际使用情况确定，其保险条款、基础费率等均由保监会统一规定固定费率与责任限额（此部分不进行报价）。</w:t>
      </w:r>
    </w:p>
    <w:p w14:paraId="5D3C0556">
      <w:pPr>
        <w:keepNext w:val="0"/>
        <w:keepLines w:val="0"/>
        <w:pageBreakBefore w:val="0"/>
        <w:widowControl/>
        <w:kinsoku/>
        <w:wordWrap/>
        <w:overflowPunct/>
        <w:topLinePunct w:val="0"/>
        <w:autoSpaceDE/>
        <w:autoSpaceDN/>
        <w:bidi w:val="0"/>
        <w:spacing w:line="400" w:lineRule="exact"/>
        <w:ind w:left="239" w:leftChars="114" w:firstLine="241" w:firstLineChars="100"/>
        <w:jc w:val="left"/>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lang w:val="en-US" w:eastAsia="zh-CN"/>
        </w:rPr>
        <w:t>2</w:t>
      </w:r>
      <w:r>
        <w:rPr>
          <w:rFonts w:hint="eastAsia" w:ascii="宋体" w:hAnsi="宋体" w:eastAsia="宋体" w:cs="宋体"/>
          <w:b/>
          <w:bCs/>
          <w:color w:val="auto"/>
          <w:kern w:val="0"/>
          <w:sz w:val="24"/>
          <w:szCs w:val="24"/>
          <w:highlight w:val="none"/>
          <w:lang w:eastAsia="zh-CN"/>
        </w:rPr>
        <w:t>）</w:t>
      </w:r>
      <w:r>
        <w:rPr>
          <w:rFonts w:hint="eastAsia" w:ascii="宋体" w:hAnsi="宋体" w:eastAsia="宋体" w:cs="宋体"/>
          <w:b/>
          <w:bCs/>
          <w:color w:val="auto"/>
          <w:kern w:val="0"/>
          <w:sz w:val="24"/>
          <w:szCs w:val="24"/>
          <w:highlight w:val="none"/>
          <w:lang w:val="en-US" w:eastAsia="zh-CN"/>
        </w:rPr>
        <w:t>商业险自主定价系数折扣率</w:t>
      </w:r>
      <w:r>
        <w:rPr>
          <w:rFonts w:hint="eastAsia" w:ascii="宋体" w:hAnsi="宋体" w:eastAsia="宋体" w:cs="宋体"/>
          <w:b/>
          <w:bCs/>
          <w:color w:val="auto"/>
          <w:kern w:val="0"/>
          <w:sz w:val="24"/>
          <w:szCs w:val="24"/>
          <w:highlight w:val="none"/>
        </w:rPr>
        <w:t>：</w:t>
      </w:r>
      <w:r>
        <w:rPr>
          <w:rFonts w:hint="eastAsia" w:ascii="宋体" w:hAnsi="宋体" w:eastAsia="宋体" w:cs="宋体"/>
          <w:b/>
          <w:bCs/>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711C62A">
      <w:pPr>
        <w:pStyle w:val="7"/>
        <w:rPr>
          <w:rFonts w:hint="eastAsia" w:ascii="宋体" w:hAnsi="宋体" w:eastAsia="宋体" w:cs="宋体"/>
          <w:b/>
          <w:color w:val="auto"/>
          <w:kern w:val="2"/>
          <w:sz w:val="24"/>
          <w:szCs w:val="24"/>
          <w:highlight w:val="none"/>
          <w:lang w:val="en-US" w:eastAsia="zh-CN" w:bidi="ar-SA"/>
        </w:rPr>
      </w:pPr>
      <w:r>
        <w:rPr>
          <w:rFonts w:hint="eastAsia" w:hAnsi="宋体" w:eastAsia="宋体" w:cs="宋体"/>
          <w:color w:val="auto"/>
          <w:kern w:val="0"/>
          <w:sz w:val="24"/>
          <w:szCs w:val="24"/>
          <w:highlight w:val="none"/>
          <w:lang w:val="en-US" w:eastAsia="zh-CN"/>
        </w:rPr>
        <w:t>3）</w:t>
      </w:r>
      <w:r>
        <w:rPr>
          <w:rFonts w:hint="eastAsia" w:ascii="宋体" w:hAnsi="宋体" w:eastAsia="宋体" w:cs="宋体"/>
          <w:b/>
          <w:color w:val="auto"/>
          <w:kern w:val="2"/>
          <w:sz w:val="24"/>
          <w:szCs w:val="24"/>
          <w:highlight w:val="none"/>
          <w:lang w:val="en-US" w:eastAsia="zh-CN" w:bidi="ar-SA"/>
        </w:rPr>
        <w:t>承运人责任险：保费为</w:t>
      </w:r>
      <w:r>
        <w:rPr>
          <w:rFonts w:hint="eastAsia" w:ascii="宋体" w:hAnsi="宋体" w:eastAsia="宋体" w:cs="宋体"/>
          <w:b/>
          <w:color w:val="auto"/>
          <w:kern w:val="2"/>
          <w:sz w:val="24"/>
          <w:szCs w:val="24"/>
          <w:highlight w:val="none"/>
          <w:u w:val="single"/>
          <w:lang w:val="en-US" w:eastAsia="zh-CN" w:bidi="ar-SA"/>
        </w:rPr>
        <w:t xml:space="preserve">        </w:t>
      </w:r>
      <w:r>
        <w:rPr>
          <w:rFonts w:hint="eastAsia" w:ascii="宋体" w:hAnsi="宋体" w:eastAsia="宋体" w:cs="宋体"/>
          <w:b/>
          <w:color w:val="auto"/>
          <w:kern w:val="2"/>
          <w:sz w:val="24"/>
          <w:szCs w:val="24"/>
          <w:highlight w:val="none"/>
          <w:lang w:val="en-US" w:eastAsia="zh-CN" w:bidi="ar-SA"/>
        </w:rPr>
        <w:t>元/人（大写）</w:t>
      </w:r>
      <w:r>
        <w:rPr>
          <w:rFonts w:hint="eastAsia" w:ascii="宋体" w:hAnsi="宋体" w:eastAsia="宋体" w:cs="宋体"/>
          <w:b/>
          <w:color w:val="auto"/>
          <w:kern w:val="2"/>
          <w:sz w:val="24"/>
          <w:szCs w:val="24"/>
          <w:highlight w:val="none"/>
          <w:u w:val="single"/>
          <w:lang w:val="en-US" w:eastAsia="zh-CN" w:bidi="ar-SA"/>
        </w:rPr>
        <w:t xml:space="preserve">        </w:t>
      </w:r>
      <w:r>
        <w:rPr>
          <w:rFonts w:hint="eastAsia" w:ascii="宋体" w:hAnsi="宋体" w:eastAsia="宋体" w:cs="宋体"/>
          <w:b/>
          <w:color w:val="auto"/>
          <w:kern w:val="2"/>
          <w:sz w:val="24"/>
          <w:szCs w:val="24"/>
          <w:highlight w:val="none"/>
          <w:lang w:val="en-US" w:eastAsia="zh-CN" w:bidi="ar-SA"/>
        </w:rPr>
        <w:t>元/人（小写）。</w:t>
      </w:r>
    </w:p>
    <w:p w14:paraId="0183AD2F">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rPr>
        <w:t>上述金额已包括</w:t>
      </w:r>
      <w:r>
        <w:rPr>
          <w:rFonts w:hint="eastAsia" w:ascii="宋体" w:hAnsi="宋体" w:cs="宋体"/>
          <w:b w:val="0"/>
          <w:bCs w:val="0"/>
          <w:color w:val="auto"/>
          <w:sz w:val="24"/>
          <w:highlight w:val="none"/>
        </w:rPr>
        <w:t>（但不限于）：服务酬金</w:t>
      </w:r>
      <w:r>
        <w:rPr>
          <w:rFonts w:hint="eastAsia" w:ascii="宋体" w:hAnsi="宋体" w:cs="宋体"/>
          <w:b w:val="0"/>
          <w:bCs w:val="0"/>
          <w:color w:val="auto"/>
          <w:sz w:val="24"/>
          <w:highlight w:val="none"/>
          <w:lang w:eastAsia="zh-CN"/>
        </w:rPr>
        <w:t>、</w:t>
      </w:r>
      <w:r>
        <w:rPr>
          <w:rFonts w:hint="eastAsia" w:ascii="宋体" w:hAnsi="宋体" w:cs="宋体"/>
          <w:b w:val="0"/>
          <w:bCs w:val="0"/>
          <w:color w:val="auto"/>
          <w:sz w:val="24"/>
          <w:highlight w:val="none"/>
        </w:rPr>
        <w:t>服务人员工资、保险费、附加费用、税费及其他可能产生的费用、利润、管理费、代理费、交易服务费等政策性文件规定的各项所需的全部费用和不可预见费（指在酬金和可报销费用之外，在履行合同过程中所发生的额外的其它所有费用）。</w:t>
      </w:r>
      <w:r>
        <w:rPr>
          <w:rFonts w:hint="eastAsia" w:ascii="宋体" w:hAnsi="宋体" w:eastAsia="宋体" w:cs="宋体"/>
          <w:bCs/>
          <w:color w:val="auto"/>
          <w:sz w:val="24"/>
          <w:szCs w:val="24"/>
          <w:highlight w:val="none"/>
        </w:rPr>
        <w:t xml:space="preserve">   </w:t>
      </w:r>
    </w:p>
    <w:p w14:paraId="2CEE2B79">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第三条 </w:t>
      </w:r>
      <w:r>
        <w:rPr>
          <w:rFonts w:hint="eastAsia" w:ascii="宋体" w:hAnsi="宋体" w:eastAsia="宋体" w:cs="宋体"/>
          <w:bCs/>
          <w:color w:val="auto"/>
          <w:sz w:val="24"/>
          <w:szCs w:val="24"/>
          <w:highlight w:val="none"/>
          <w:lang w:val="en-US" w:eastAsia="zh-CN"/>
        </w:rPr>
        <w:t>服务期限</w:t>
      </w:r>
    </w:p>
    <w:p w14:paraId="39AC8E96">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1.服务期限：1年</w:t>
      </w:r>
      <w:r>
        <w:rPr>
          <w:rFonts w:hint="eastAsia" w:ascii="宋体" w:hAnsi="宋体" w:eastAsia="宋体" w:cs="宋体"/>
          <w:bCs/>
          <w:color w:val="auto"/>
          <w:sz w:val="24"/>
          <w:szCs w:val="24"/>
          <w:highlight w:val="none"/>
        </w:rPr>
        <w:t> </w:t>
      </w:r>
    </w:p>
    <w:p w14:paraId="226B029A">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2.车辆保险续保时长：1年</w:t>
      </w:r>
    </w:p>
    <w:p w14:paraId="7DE2ACB0">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第四条  甲方责任、权利、义务 </w:t>
      </w:r>
    </w:p>
    <w:p w14:paraId="2B5F3251">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1.甲方按照合同的约定提供</w:t>
      </w:r>
      <w:r>
        <w:rPr>
          <w:rFonts w:hint="eastAsia" w:ascii="宋体" w:hAnsi="宋体" w:eastAsia="宋体" w:cs="宋体"/>
          <w:bCs/>
          <w:color w:val="auto"/>
          <w:sz w:val="24"/>
          <w:szCs w:val="24"/>
          <w:highlight w:val="none"/>
          <w:lang w:val="en-US" w:eastAsia="zh-CN"/>
        </w:rPr>
        <w:t>年度内所有</w:t>
      </w:r>
      <w:r>
        <w:rPr>
          <w:rFonts w:hint="eastAsia" w:ascii="宋体" w:hAnsi="宋体" w:eastAsia="宋体" w:cs="宋体"/>
          <w:bCs/>
          <w:color w:val="auto"/>
          <w:sz w:val="24"/>
          <w:szCs w:val="24"/>
          <w:highlight w:val="none"/>
        </w:rPr>
        <w:t>辆车的购买保险所需的基本资料，并及时支付保费； </w:t>
      </w:r>
    </w:p>
    <w:p w14:paraId="7273BC6B">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2.甲方负责监督乙方的保险条款、理赔进度、定点维修等，并提出整改的权利； </w:t>
      </w:r>
    </w:p>
    <w:p w14:paraId="68E74454">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3.做好各工序的统筹安排。  </w:t>
      </w:r>
    </w:p>
    <w:p w14:paraId="72BE7318">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第五条 乙方责任、权利、义务 </w:t>
      </w:r>
    </w:p>
    <w:p w14:paraId="54BF5F49">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1.乙方所提供的险种必须符合国家规定的保险标准。 </w:t>
      </w:r>
    </w:p>
    <w:p w14:paraId="7A16FC12">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2.乙方应遵守、严格执行甲方每辆车所购买的险种的规章制度。 </w:t>
      </w:r>
    </w:p>
    <w:p w14:paraId="66D1D992">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3.乙方应根据甲方每辆车的实际要求、保险到期时间，每辆车单独签一份保险合同。</w:t>
      </w:r>
    </w:p>
    <w:p w14:paraId="4E3EDA49">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4.乙方应提供良好的售后服务：实行365天×24小时报案受理、咨询服务，包括报案、</w:t>
      </w:r>
      <w:r>
        <w:rPr>
          <w:rFonts w:hint="eastAsia" w:ascii="宋体" w:hAnsi="宋体" w:eastAsia="宋体" w:cs="宋体"/>
          <w:bCs/>
          <w:color w:val="auto"/>
          <w:sz w:val="24"/>
          <w:szCs w:val="24"/>
          <w:highlight w:val="none"/>
          <w:lang w:eastAsia="zh-CN"/>
        </w:rPr>
        <w:t>现场勘查</w:t>
      </w:r>
      <w:r>
        <w:rPr>
          <w:rFonts w:hint="eastAsia" w:ascii="宋体" w:hAnsi="宋体" w:eastAsia="宋体" w:cs="宋体"/>
          <w:bCs/>
          <w:color w:val="auto"/>
          <w:sz w:val="24"/>
          <w:szCs w:val="24"/>
          <w:highlight w:val="none"/>
        </w:rPr>
        <w:t>、定损点、维修、理赔等的服务，当甲方车辆报案时，乙方必须在</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30  </w:t>
      </w:r>
      <w:r>
        <w:rPr>
          <w:rFonts w:hint="eastAsia" w:ascii="宋体" w:hAnsi="宋体" w:eastAsia="宋体" w:cs="宋体"/>
          <w:bCs/>
          <w:color w:val="auto"/>
          <w:sz w:val="24"/>
          <w:szCs w:val="24"/>
          <w:highlight w:val="none"/>
        </w:rPr>
        <w:t>分钟内到达事故现场勘察，做好理赔工作，提供方便甲方的定损点和维修点，以及专员处理索赔，接到报案后</w:t>
      </w:r>
      <w:r>
        <w:rPr>
          <w:rFonts w:hint="eastAsia" w:ascii="宋体" w:hAnsi="宋体" w:eastAsia="宋体" w:cs="宋体"/>
          <w:bCs/>
          <w:color w:val="auto"/>
          <w:sz w:val="24"/>
          <w:szCs w:val="24"/>
          <w:highlight w:val="none"/>
          <w:lang w:val="en-US" w:eastAsia="zh-CN"/>
        </w:rPr>
        <w:t>12</w:t>
      </w:r>
      <w:r>
        <w:rPr>
          <w:rFonts w:hint="eastAsia" w:ascii="宋体" w:hAnsi="宋体" w:eastAsia="宋体" w:cs="宋体"/>
          <w:bCs/>
          <w:color w:val="auto"/>
          <w:sz w:val="24"/>
          <w:szCs w:val="24"/>
          <w:highlight w:val="none"/>
        </w:rPr>
        <w:t>小时完成理赔事项服务，从索赔到赔款时间不得超</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7</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个工作日。 </w:t>
      </w:r>
    </w:p>
    <w:p w14:paraId="7A37730B">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5.甲方向乙方提供险种保期，如脱保则由乙方承担一切责任。 </w:t>
      </w:r>
    </w:p>
    <w:p w14:paraId="74D33BB1">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6.根据现行税法规定对乙方征收的、与本合同有关的一切税费，均由乙方承担。 </w:t>
      </w:r>
    </w:p>
    <w:p w14:paraId="01A16B44">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第六条 履约保证金</w:t>
      </w:r>
    </w:p>
    <w:p w14:paraId="043F94B1">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1.乙方交纳人民币</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作为本合同的履约保证金。</w:t>
      </w:r>
    </w:p>
    <w:p w14:paraId="0A47E60D">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2.履约保证金缴纳形式：乙方自主选择以支票、汇票、本票或者金融机构、担保机构出具的保函（保险）等非现金形式提交（根据苏财购</w:t>
      </w:r>
      <w:r>
        <w:rPr>
          <w:rFonts w:hint="eastAsia" w:ascii="宋体" w:hAnsi="宋体" w:eastAsia="宋体" w:cs="宋体"/>
          <w:bCs/>
          <w:color w:val="auto"/>
          <w:sz w:val="24"/>
          <w:szCs w:val="24"/>
          <w:highlight w:val="none"/>
          <w:lang w:eastAsia="zh-CN"/>
        </w:rPr>
        <w:t>〔2023〕150号</w:t>
      </w:r>
      <w:r>
        <w:rPr>
          <w:rFonts w:hint="eastAsia" w:ascii="宋体" w:hAnsi="宋体" w:eastAsia="宋体" w:cs="宋体"/>
          <w:bCs/>
          <w:color w:val="auto"/>
          <w:sz w:val="24"/>
          <w:szCs w:val="24"/>
          <w:highlight w:val="none"/>
        </w:rPr>
        <w:t>《关于在全省政府采购领域推行电子履约保函</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保险</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的通知》乙方可选择电子保函</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保险</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的形式），鼓励供应商自愿使用履约保函（保险）代替缴纳履约保证金。</w:t>
      </w:r>
    </w:p>
    <w:p w14:paraId="5D014E75">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3.按《关于在政府采购活动中应用第三方信用报告落实“信易购”应用场景的通知》（东财购</w:t>
      </w:r>
      <w:r>
        <w:rPr>
          <w:rFonts w:hint="eastAsia" w:ascii="宋体" w:hAnsi="宋体" w:eastAsia="宋体" w:cs="宋体"/>
          <w:bCs/>
          <w:color w:val="auto"/>
          <w:sz w:val="24"/>
          <w:szCs w:val="24"/>
          <w:highlight w:val="none"/>
          <w:lang w:eastAsia="zh-CN"/>
        </w:rPr>
        <w:t>〔2021〕15号</w:t>
      </w:r>
      <w:r>
        <w:rPr>
          <w:rFonts w:hint="eastAsia" w:ascii="宋体" w:hAnsi="宋体" w:eastAsia="宋体" w:cs="宋体"/>
          <w:bCs/>
          <w:color w:val="auto"/>
          <w:sz w:val="24"/>
          <w:szCs w:val="24"/>
          <w:highlight w:val="none"/>
        </w:rPr>
        <w:t>）要求，乙方在签订采购合同前提供信用管理部门备案的第三方信用报告，且信用报告通过“信用盐城网”可查实的，则免收履约保证金。</w:t>
      </w:r>
    </w:p>
    <w:p w14:paraId="63D27F4E">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4.合同履行结束后，甲方应及时退还交纳的履约保证金。</w:t>
      </w:r>
    </w:p>
    <w:p w14:paraId="1AFFAF10">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5.履约保证金的退还：</w:t>
      </w:r>
    </w:p>
    <w:p w14:paraId="7D2EC258">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5.1方式：无息退还至投标人缴纳履约保证金的账户。如为保函，在到期时自行失效。</w:t>
      </w:r>
    </w:p>
    <w:p w14:paraId="30B4A35D">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5.2时间：验收合格且采购人收到发票后30日内。</w:t>
      </w:r>
    </w:p>
    <w:p w14:paraId="4D172397">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5.3条件：按合同要求全部履约完成并经采购人验收合格，且采购人收到中标人出具的发票。</w:t>
      </w:r>
    </w:p>
    <w:p w14:paraId="2D018A35">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5.4不予退还情形：</w:t>
      </w:r>
    </w:p>
    <w:p w14:paraId="25A45EEC">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除不可抗力情况外，投标人出现下列情形之一的，其履约保证金，招标人将视情节决定不予退还或部分不予退还。</w:t>
      </w:r>
    </w:p>
    <w:p w14:paraId="1EE967D3">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（1）中标人无正当理由拒绝签订合同的，或者在签订合同时向采购人提出附加条件或者更改合同实质性内容要求的；</w:t>
      </w:r>
    </w:p>
    <w:p w14:paraId="1D3D90AB">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（2）中标人不履行与采购人订立的合同的；</w:t>
      </w:r>
    </w:p>
    <w:p w14:paraId="19140028">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（3）中标人所供货物或服务不符合招标文件规定要求的；</w:t>
      </w:r>
    </w:p>
    <w:p w14:paraId="2527A3DB">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（4）中标人采取欺骗、弄虚作假方式投标的或与</w:t>
      </w:r>
      <w:r>
        <w:rPr>
          <w:rFonts w:hint="eastAsia" w:ascii="宋体" w:hAnsi="宋体" w:eastAsia="宋体" w:cs="宋体"/>
          <w:bCs/>
          <w:color w:val="auto"/>
          <w:sz w:val="24"/>
          <w:szCs w:val="24"/>
          <w:highlight w:val="none"/>
          <w:lang w:eastAsia="zh-CN"/>
        </w:rPr>
        <w:t>其他</w:t>
      </w:r>
      <w:r>
        <w:rPr>
          <w:rFonts w:hint="eastAsia" w:ascii="宋体" w:hAnsi="宋体" w:eastAsia="宋体" w:cs="宋体"/>
          <w:bCs/>
          <w:color w:val="auto"/>
          <w:sz w:val="24"/>
          <w:szCs w:val="24"/>
          <w:highlight w:val="none"/>
        </w:rPr>
        <w:t>投标人串通投标的；</w:t>
      </w:r>
    </w:p>
    <w:p w14:paraId="2A59FD8B">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（5）中标人将合同内容转包、违法分包的；</w:t>
      </w:r>
    </w:p>
    <w:p w14:paraId="7EEBFD7D">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（6）中标人故意捏造事实或伪造证明材料，进行虚假恶意投诉或反映的。</w:t>
      </w:r>
    </w:p>
    <w:p w14:paraId="2E9685F7">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5.5逾期退还的违约责任：采购人逾期无故未退还履约保证金的，按中国人民银行同期贷款基准利率上浮20%后的利率支付超期资金占用费，但因供应商自身原因导致无法及时退还的除外。</w:t>
      </w:r>
    </w:p>
    <w:p w14:paraId="766D5946">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第七条 由于每辆车保险到期时间不同，在签订本合同后，根据每辆车实际到期时间，单独</w:t>
      </w:r>
      <w:r>
        <w:rPr>
          <w:rFonts w:hint="eastAsia" w:ascii="宋体" w:hAnsi="宋体" w:eastAsia="宋体" w:cs="宋体"/>
          <w:bCs/>
          <w:color w:val="auto"/>
          <w:sz w:val="24"/>
          <w:szCs w:val="24"/>
          <w:highlight w:val="none"/>
          <w:lang w:eastAsia="zh-CN"/>
        </w:rPr>
        <w:t>签订</w:t>
      </w:r>
      <w:r>
        <w:rPr>
          <w:rFonts w:hint="eastAsia" w:ascii="宋体" w:hAnsi="宋体" w:eastAsia="宋体" w:cs="宋体"/>
          <w:bCs/>
          <w:color w:val="auto"/>
          <w:sz w:val="24"/>
          <w:szCs w:val="24"/>
          <w:highlight w:val="none"/>
        </w:rPr>
        <w:t xml:space="preserve">保险合同。合同未尽事宜，双方另行协商解决。本合同在执行中发生的争议应及时协商解决，协商不成，可提交 </w:t>
      </w:r>
      <w:r>
        <w:rPr>
          <w:rFonts w:hint="eastAsia" w:ascii="宋体" w:hAnsi="宋体" w:eastAsia="宋体" w:cs="宋体"/>
          <w:bCs/>
          <w:color w:val="auto"/>
          <w:sz w:val="24"/>
          <w:szCs w:val="24"/>
          <w:highlight w:val="none"/>
          <w:u w:val="single"/>
          <w:lang w:val="en-US" w:eastAsia="zh-CN"/>
        </w:rPr>
        <w:t xml:space="preserve">  响水县      </w:t>
      </w:r>
      <w:r>
        <w:rPr>
          <w:rFonts w:hint="eastAsia" w:ascii="宋体" w:hAnsi="宋体" w:eastAsia="宋体" w:cs="宋体"/>
          <w:bCs/>
          <w:color w:val="auto"/>
          <w:sz w:val="24"/>
          <w:szCs w:val="24"/>
          <w:highlight w:val="none"/>
        </w:rPr>
        <w:t>人民法院审理。  </w:t>
      </w:r>
    </w:p>
    <w:p w14:paraId="31EADEAE">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第八条 违约终止合同</w:t>
      </w:r>
    </w:p>
    <w:p w14:paraId="6779719C">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1.在本合同执行过程中，甲方将定期对乙方执行合同的情况进行检查，如有下列情况出现，甲方可向乙方发出终止合同的书面通知书：</w:t>
      </w:r>
    </w:p>
    <w:p w14:paraId="45E59A1F">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（1）接到甲方通知后，乙方未及时上门签订机动车辆保险单，给甲方造成重大损失的；</w:t>
      </w:r>
    </w:p>
    <w:p w14:paraId="0A24B313">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（2）未经甲方同意，乙方擅自增加保险险种签订机动车辆保险单的；</w:t>
      </w:r>
    </w:p>
    <w:p w14:paraId="4F4CCC64">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（3）如果手续齐全的赔案在乙方承诺的支付赔款时限内未能支付完毕，情节严重的；</w:t>
      </w:r>
    </w:p>
    <w:p w14:paraId="7D9093B3">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（4）严重违反本合同条款的情况。</w:t>
      </w:r>
    </w:p>
    <w:p w14:paraId="71981049">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2.乙方在任何情况下都不得向甲方经办人提供任何形式的回扣，一经发现，甲方可立即全面终止合同的执行，并没收履约保证金，同时提请有关部门追究有关当事人的责任。</w:t>
      </w:r>
    </w:p>
    <w:p w14:paraId="1A611A8F">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3.在甲方根据上述规定，终止了全部或部分合同后，甲方可以依其认为适当的条件和方法与其他保险机构签订保险合同，乙方应对甲方签订新的保险合同所超出的那部分费用负责。</w:t>
      </w:r>
    </w:p>
    <w:p w14:paraId="32365B8C">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4.乙方签订的机动车辆保险单的保险期限违反合同所约定的有效期限规定的，一经发现，甲方可立即全面终止合同的执行，并没收履约保证金。</w:t>
      </w:r>
    </w:p>
    <w:p w14:paraId="4950FCA6">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第九条 转让</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除甲方事先书面同意外，乙方不得部分转让或全部转让其应履行的合同义务。</w:t>
      </w:r>
    </w:p>
    <w:p w14:paraId="358A5E40">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第十条 变动约定</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在合同有效期内，如因国家保险政策变化而引起保险费用发生较大幅度变动的，由甲、乙双方协商解决。</w:t>
      </w:r>
    </w:p>
    <w:p w14:paraId="79BDE98E">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第十一条 </w:t>
      </w:r>
      <w:r>
        <w:rPr>
          <w:rFonts w:hint="eastAsia" w:ascii="宋体" w:hAnsi="宋体" w:eastAsia="宋体" w:cs="宋体"/>
          <w:bCs/>
          <w:color w:val="auto"/>
          <w:sz w:val="24"/>
          <w:szCs w:val="24"/>
          <w:highlight w:val="none"/>
          <w:lang w:eastAsia="zh-CN"/>
        </w:rPr>
        <w:t>其他</w:t>
      </w:r>
      <w:r>
        <w:rPr>
          <w:rFonts w:hint="eastAsia" w:ascii="宋体" w:hAnsi="宋体" w:eastAsia="宋体" w:cs="宋体"/>
          <w:bCs/>
          <w:color w:val="auto"/>
          <w:sz w:val="24"/>
          <w:szCs w:val="24"/>
          <w:highlight w:val="none"/>
        </w:rPr>
        <w:t>事项 </w:t>
      </w:r>
    </w:p>
    <w:p w14:paraId="796A0AAE">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1.根据省、市有关规定，本合同保险项目严禁转包及分包，否则，由此造成的一切后果概由乙方负责。 </w:t>
      </w:r>
    </w:p>
    <w:p w14:paraId="1B19358A">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2.本保险采购文件为本合同附件，与本合同具有同等效力。</w:t>
      </w:r>
    </w:p>
    <w:p w14:paraId="5CB2B53E">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第十二条 本合同未尽事宜，由甲、乙双方依据采购文件、中标人的投标文件另行协商解决。</w:t>
      </w:r>
    </w:p>
    <w:p w14:paraId="3F600738">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第十三条 本合同由下列文件共同构成：</w:t>
      </w:r>
    </w:p>
    <w:p w14:paraId="4B03D17A">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1.本合同书；</w:t>
      </w:r>
    </w:p>
    <w:p w14:paraId="2AB9A294">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2.中标通知书；</w:t>
      </w:r>
    </w:p>
    <w:p w14:paraId="606BE075">
      <w:pPr>
        <w:pStyle w:val="14"/>
        <w:keepNext w:val="0"/>
        <w:keepLines w:val="0"/>
        <w:pageBreakBefore w:val="0"/>
        <w:widowControl w:val="0"/>
        <w:numPr>
          <w:ilvl w:val="0"/>
          <w:numId w:val="0"/>
        </w:numPr>
        <w:tabs>
          <w:tab w:val="center" w:pos="4873"/>
        </w:tabs>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3.招标人的招标文件及其补充（答疑）资料；</w:t>
      </w:r>
      <w:r>
        <w:rPr>
          <w:rFonts w:hint="eastAsia" w:ascii="宋体" w:hAnsi="宋体" w:eastAsia="宋体" w:cs="宋体"/>
          <w:bCs/>
          <w:color w:val="auto"/>
          <w:sz w:val="24"/>
          <w:szCs w:val="24"/>
          <w:highlight w:val="none"/>
          <w:lang w:eastAsia="zh-CN"/>
        </w:rPr>
        <w:tab/>
      </w:r>
    </w:p>
    <w:p w14:paraId="180B7159">
      <w:pPr>
        <w:pStyle w:val="14"/>
        <w:keepNext w:val="0"/>
        <w:keepLines w:val="0"/>
        <w:pageBreakBefore w:val="0"/>
        <w:widowControl w:val="0"/>
        <w:numPr>
          <w:ilvl w:val="0"/>
          <w:numId w:val="0"/>
        </w:numPr>
        <w:tabs>
          <w:tab w:val="center" w:pos="4873"/>
        </w:tabs>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4.中标人的投标文件及其补充（澄清）资料。</w:t>
      </w:r>
    </w:p>
    <w:p w14:paraId="2FE15CC6">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十四、解决争议的方法</w:t>
      </w:r>
    </w:p>
    <w:p w14:paraId="3643380D">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双方在签订、履行合同中所发生的一切争议，应通过友好协商解决。如协商不成，由甲方住所地人民法院管辖。</w:t>
      </w:r>
    </w:p>
    <w:p w14:paraId="3698C2EA">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十五、合同生效及其</w:t>
      </w:r>
      <w:r>
        <w:rPr>
          <w:rFonts w:hint="eastAsia" w:ascii="宋体" w:hAnsi="宋体" w:eastAsia="宋体" w:cs="宋体"/>
          <w:bCs/>
          <w:color w:val="auto"/>
          <w:sz w:val="24"/>
          <w:szCs w:val="24"/>
          <w:highlight w:val="none"/>
          <w:lang w:eastAsia="zh-CN"/>
        </w:rPr>
        <w:t>他</w:t>
      </w:r>
    </w:p>
    <w:p w14:paraId="52CE8E85">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1.合同经双方法定代表人或授权委托代表人签字并加盖单位公章后生效。</w:t>
      </w:r>
    </w:p>
    <w:p w14:paraId="41703321">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2.本合同未尽事宜，遵照《</w:t>
      </w:r>
      <w:r>
        <w:rPr>
          <w:rFonts w:hint="eastAsia" w:ascii="宋体" w:hAnsi="宋体" w:eastAsia="宋体" w:cs="宋体"/>
          <w:bCs/>
          <w:color w:val="auto"/>
          <w:sz w:val="24"/>
          <w:szCs w:val="24"/>
          <w:highlight w:val="none"/>
          <w:lang w:eastAsia="zh-CN"/>
        </w:rPr>
        <w:t>中华人民共和国民法典</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eastAsia="zh-CN"/>
        </w:rPr>
        <w:t>中华人民共和国政府采购法</w:t>
      </w:r>
      <w:r>
        <w:rPr>
          <w:rFonts w:hint="eastAsia" w:ascii="宋体" w:hAnsi="宋体" w:eastAsia="宋体" w:cs="宋体"/>
          <w:bCs/>
          <w:color w:val="auto"/>
          <w:sz w:val="24"/>
          <w:szCs w:val="24"/>
          <w:highlight w:val="none"/>
        </w:rPr>
        <w:t>》有关条文执行。</w:t>
      </w:r>
    </w:p>
    <w:p w14:paraId="75DC45B8">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3.本合同一式</w:t>
      </w:r>
      <w:r>
        <w:rPr>
          <w:rFonts w:hint="eastAsia" w:ascii="宋体" w:hAnsi="宋体" w:eastAsia="宋体" w:cs="宋体"/>
          <w:bCs/>
          <w:color w:val="auto"/>
          <w:sz w:val="24"/>
          <w:szCs w:val="24"/>
          <w:highlight w:val="none"/>
          <w:u w:val="single"/>
        </w:rPr>
        <w:t xml:space="preserve"> 六 </w:t>
      </w:r>
      <w:r>
        <w:rPr>
          <w:rFonts w:hint="eastAsia" w:ascii="宋体" w:hAnsi="宋体" w:eastAsia="宋体" w:cs="宋体"/>
          <w:bCs/>
          <w:color w:val="auto"/>
          <w:sz w:val="24"/>
          <w:szCs w:val="24"/>
          <w:highlight w:val="none"/>
        </w:rPr>
        <w:t>份，甲乙双方各执两份，其余用于相关单位存档。</w:t>
      </w:r>
    </w:p>
    <w:p w14:paraId="51A2520D">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63465FB5">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甲方：                乙方： </w:t>
      </w:r>
    </w:p>
    <w:p w14:paraId="131886D6">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地址：                地址： </w:t>
      </w:r>
    </w:p>
    <w:p w14:paraId="180571E0">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法定代表人或授权代表：        法定代表人或授权代表：</w:t>
      </w:r>
    </w:p>
    <w:p w14:paraId="52FB12F6">
      <w:pPr>
        <w:pStyle w:val="14"/>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联系电话：                 联系电话：          </w:t>
      </w:r>
    </w:p>
    <w:p w14:paraId="1F2B03F5">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p>
    <w:p w14:paraId="48ABA1C0">
      <w:pPr>
        <w:pStyle w:val="14"/>
        <w:keepNext w:val="0"/>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p>
    <w:p w14:paraId="1FDFB706">
      <w:pPr>
        <w:pStyle w:val="14"/>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500" w:lineRule="exact"/>
        <w:ind w:left="0" w:leftChars="0" w:right="0" w:firstLine="480" w:firstLineChars="200"/>
        <w:jc w:val="center"/>
        <w:textAlignment w:val="auto"/>
        <w:outlineLvl w:val="9"/>
        <w:rPr>
          <w:color w:val="auto"/>
          <w:highlight w:val="none"/>
        </w:rPr>
      </w:pPr>
      <w:r>
        <w:rPr>
          <w:rFonts w:hint="eastAsia" w:ascii="宋体" w:hAnsi="宋体" w:eastAsia="宋体" w:cs="宋体"/>
          <w:color w:val="auto"/>
          <w:sz w:val="24"/>
          <w:szCs w:val="24"/>
          <w:highlight w:val="none"/>
        </w:rPr>
        <w:t>签订日期：      年    月   日</w:t>
      </w:r>
      <w:r>
        <w:rPr>
          <w:rFonts w:hint="eastAsia" w:ascii="宋体" w:hAnsi="宋体" w:eastAsia="宋体" w:cs="宋体"/>
          <w:color w:val="auto"/>
          <w:sz w:val="24"/>
          <w:szCs w:val="24"/>
          <w:highlight w:val="none"/>
        </w:rPr>
        <w:br w:type="page" w:clear="all"/>
      </w:r>
      <w:r>
        <w:rPr>
          <w:rFonts w:hint="eastAsia" w:ascii="黑体" w:hAnsi="宋体" w:eastAsia="黑体" w:cs="黑体"/>
          <w:color w:val="auto"/>
          <w:sz w:val="44"/>
          <w:szCs w:val="44"/>
          <w:highlight w:val="none"/>
        </w:rPr>
        <w:t>第四章 采购需求</w:t>
      </w:r>
      <w:bookmarkStart w:id="165" w:name="_Toc26554093"/>
      <w:bookmarkEnd w:id="165"/>
      <w:bookmarkStart w:id="166" w:name="_Toc49090575"/>
      <w:bookmarkEnd w:id="166"/>
    </w:p>
    <w:p w14:paraId="2FA4A397">
      <w:pPr>
        <w:pStyle w:val="14"/>
        <w:keepLines w:val="0"/>
        <w:pageBreakBefore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宋体" w:hAnsi="宋体" w:eastAsia="宋体" w:cs="宋体"/>
          <w:i w:val="0"/>
          <w:iCs w:val="0"/>
          <w:caps w:val="0"/>
          <w:color w:val="auto"/>
          <w:spacing w:val="0"/>
          <w:sz w:val="24"/>
          <w:szCs w:val="24"/>
          <w:highlight w:val="none"/>
          <w:shd w:val="clear" w:color="auto" w:fill="auto"/>
        </w:rPr>
      </w:pPr>
      <w:r>
        <w:rPr>
          <w:rFonts w:hint="eastAsia" w:ascii="宋体" w:hAnsi="宋体" w:eastAsia="宋体" w:cs="宋体"/>
          <w:color w:val="auto"/>
          <w:sz w:val="24"/>
          <w:szCs w:val="24"/>
          <w:highlight w:val="none"/>
          <w:lang w:val="en-US" w:eastAsia="zh-CN"/>
        </w:rPr>
        <w:t xml:space="preserve"> 一、</w:t>
      </w:r>
      <w:r>
        <w:rPr>
          <w:rFonts w:hint="eastAsia" w:ascii="宋体" w:hAnsi="宋体" w:eastAsia="宋体" w:cs="宋体"/>
          <w:i w:val="0"/>
          <w:iCs w:val="0"/>
          <w:caps w:val="0"/>
          <w:color w:val="auto"/>
          <w:spacing w:val="0"/>
          <w:sz w:val="24"/>
          <w:szCs w:val="24"/>
          <w:highlight w:val="none"/>
          <w:shd w:val="clear" w:color="auto" w:fill="auto"/>
        </w:rPr>
        <w:t>采购需求：</w:t>
      </w:r>
    </w:p>
    <w:p w14:paraId="15CA249A">
      <w:pPr>
        <w:pStyle w:val="14"/>
        <w:pageBreakBefore w:val="0"/>
        <w:kinsoku/>
        <w:wordWrap/>
        <w:overflowPunct/>
        <w:topLinePunct w:val="0"/>
        <w:autoSpaceDE/>
        <w:autoSpaceDN/>
        <w:bidi w:val="0"/>
        <w:adjustRightInd w:val="0"/>
        <w:snapToGrid w:val="0"/>
        <w:spacing w:before="0" w:beforeAutospacing="0" w:after="0" w:afterAutospacing="0" w:line="400" w:lineRule="exact"/>
        <w:ind w:right="0" w:firstLine="480" w:firstLineChars="200"/>
        <w:jc w:val="left"/>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shd w:val="clear" w:color="auto" w:fill="auto"/>
          <w:lang w:val="en-US" w:eastAsia="zh-CN"/>
        </w:rPr>
        <w:t>1.1对本公司92辆</w:t>
      </w:r>
      <w:r>
        <w:rPr>
          <w:rFonts w:hint="eastAsia" w:ascii="宋体" w:hAnsi="宋体" w:eastAsia="宋体" w:cs="宋体"/>
          <w:b w:val="0"/>
          <w:bCs w:val="0"/>
          <w:color w:val="auto"/>
          <w:sz w:val="24"/>
          <w:szCs w:val="24"/>
          <w:highlight w:val="none"/>
          <w:u w:val="none"/>
          <w:lang w:val="en-US" w:eastAsia="zh-CN"/>
        </w:rPr>
        <w:t>柴油车</w:t>
      </w:r>
      <w:r>
        <w:rPr>
          <w:rFonts w:hint="eastAsia" w:ascii="宋体" w:hAnsi="宋体" w:eastAsia="宋体" w:cs="宋体"/>
          <w:b w:val="0"/>
          <w:bCs w:val="0"/>
          <w:color w:val="auto"/>
          <w:sz w:val="24"/>
          <w:szCs w:val="24"/>
          <w:highlight w:val="none"/>
          <w:u w:val="none"/>
          <w:shd w:val="clear" w:color="auto" w:fill="auto"/>
          <w:lang w:val="en-US" w:eastAsia="zh-CN"/>
        </w:rPr>
        <w:t>汽车进行车辆保险服务进行</w:t>
      </w:r>
      <w:r>
        <w:rPr>
          <w:rFonts w:hint="eastAsia" w:ascii="宋体" w:hAnsi="宋体" w:eastAsia="宋体" w:cs="宋体"/>
          <w:b w:val="0"/>
          <w:bCs w:val="0"/>
          <w:color w:val="auto"/>
          <w:sz w:val="24"/>
          <w:szCs w:val="24"/>
          <w:highlight w:val="none"/>
          <w:u w:val="none"/>
          <w:lang w:val="en-US" w:eastAsia="zh-CN"/>
        </w:rPr>
        <w:t>采购；</w:t>
      </w:r>
    </w:p>
    <w:p w14:paraId="79D0A0CD">
      <w:pPr>
        <w:pStyle w:val="14"/>
        <w:pageBreakBefore w:val="0"/>
        <w:kinsoku/>
        <w:wordWrap/>
        <w:overflowPunct/>
        <w:topLinePunct w:val="0"/>
        <w:autoSpaceDE/>
        <w:autoSpaceDN/>
        <w:bidi w:val="0"/>
        <w:adjustRightInd w:val="0"/>
        <w:snapToGrid w:val="0"/>
        <w:spacing w:before="0" w:beforeAutospacing="0" w:after="0" w:afterAutospacing="0" w:line="400" w:lineRule="exact"/>
        <w:ind w:right="0" w:firstLine="480" w:firstLineChars="200"/>
        <w:jc w:val="left"/>
        <w:textAlignment w:val="auto"/>
        <w:outlineLvl w:val="9"/>
        <w:rPr>
          <w:rFonts w:hint="eastAsia" w:ascii="宋体" w:hAnsi="宋体" w:eastAsia="宋体" w:cs="宋体"/>
          <w:b/>
          <w:bCs/>
          <w:color w:val="auto"/>
          <w:sz w:val="24"/>
          <w:szCs w:val="24"/>
          <w:highlight w:val="none"/>
          <w:u w:val="single"/>
          <w:lang w:val="en-US" w:eastAsia="zh-CN"/>
        </w:rPr>
      </w:pPr>
      <w:r>
        <w:rPr>
          <w:rFonts w:hint="eastAsia" w:ascii="宋体" w:hAnsi="宋体" w:cs="宋体"/>
          <w:color w:val="auto"/>
          <w:sz w:val="24"/>
          <w:szCs w:val="24"/>
          <w:highlight w:val="none"/>
          <w:lang w:val="en-US" w:eastAsia="zh-CN"/>
        </w:rPr>
        <w:t>1.2车险</w:t>
      </w:r>
      <w:r>
        <w:rPr>
          <w:rFonts w:hint="eastAsia" w:ascii="宋体" w:hAnsi="宋体" w:cs="宋体"/>
          <w:color w:val="auto"/>
          <w:sz w:val="24"/>
          <w:szCs w:val="24"/>
          <w:highlight w:val="none"/>
        </w:rPr>
        <w:t>含</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交通事故责任强制保险（不含车船使用税）</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第三者责任保险</w:t>
      </w:r>
      <w:r>
        <w:rPr>
          <w:rFonts w:hint="eastAsia" w:ascii="宋体" w:hAnsi="宋体" w:cs="宋体"/>
          <w:color w:val="auto"/>
          <w:sz w:val="24"/>
          <w:szCs w:val="24"/>
          <w:highlight w:val="none"/>
          <w:lang w:val="en-US" w:eastAsia="zh-CN"/>
        </w:rPr>
        <w:t>300万</w:t>
      </w:r>
      <w:r>
        <w:rPr>
          <w:rFonts w:hint="eastAsia" w:ascii="宋体" w:hAnsi="宋体" w:cs="宋体"/>
          <w:color w:val="auto"/>
          <w:sz w:val="24"/>
          <w:szCs w:val="24"/>
          <w:highlight w:val="none"/>
        </w:rPr>
        <w:t>（不计免赔）</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车辆损失险（不计免赔）、</w:t>
      </w:r>
      <w:r>
        <w:rPr>
          <w:rFonts w:hint="eastAsia" w:ascii="宋体" w:hAnsi="宋体" w:cs="宋体"/>
          <w:color w:val="auto"/>
          <w:sz w:val="24"/>
          <w:szCs w:val="24"/>
          <w:highlight w:val="none"/>
          <w:lang w:val="en-US" w:eastAsia="zh-CN"/>
        </w:rPr>
        <w:t>承运人责任险</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150</w:t>
      </w:r>
      <w:r>
        <w:rPr>
          <w:rFonts w:hint="eastAsia" w:ascii="宋体" w:hAnsi="宋体" w:cs="宋体"/>
          <w:color w:val="auto"/>
          <w:sz w:val="24"/>
          <w:szCs w:val="24"/>
          <w:highlight w:val="none"/>
        </w:rPr>
        <w:t>万</w:t>
      </w:r>
      <w:r>
        <w:rPr>
          <w:rFonts w:hint="eastAsia" w:ascii="宋体" w:hAnsi="宋体" w:cs="宋体"/>
          <w:color w:val="auto"/>
          <w:sz w:val="24"/>
          <w:szCs w:val="24"/>
          <w:highlight w:val="none"/>
          <w:lang w:val="en-US" w:eastAsia="zh-CN"/>
        </w:rPr>
        <w:t>/座；</w:t>
      </w:r>
      <w:r>
        <w:rPr>
          <w:rFonts w:hint="eastAsia" w:ascii="宋体" w:hAnsi="宋体" w:cs="宋体"/>
          <w:color w:val="auto"/>
          <w:sz w:val="24"/>
          <w:szCs w:val="24"/>
          <w:highlight w:val="none"/>
        </w:rPr>
        <w:t>含不计免赔）</w:t>
      </w:r>
    </w:p>
    <w:p w14:paraId="2BB5113B">
      <w:pPr>
        <w:pStyle w:val="14"/>
        <w:pageBreakBefore w:val="0"/>
        <w:kinsoku/>
        <w:wordWrap/>
        <w:overflowPunct/>
        <w:topLinePunct w:val="0"/>
        <w:autoSpaceDE/>
        <w:autoSpaceDN/>
        <w:bidi w:val="0"/>
        <w:adjustRightInd w:val="0"/>
        <w:snapToGrid w:val="0"/>
        <w:spacing w:before="0" w:beforeAutospacing="0" w:after="0" w:afterAutospacing="0" w:line="400" w:lineRule="exact"/>
        <w:ind w:right="0" w:firstLine="480" w:firstLineChars="200"/>
        <w:jc w:val="left"/>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b w:val="0"/>
          <w:bCs w:val="0"/>
          <w:color w:val="auto"/>
          <w:sz w:val="24"/>
          <w:szCs w:val="24"/>
          <w:highlight w:val="none"/>
          <w:u w:val="none"/>
          <w:lang w:val="en-US" w:eastAsia="zh-CN"/>
        </w:rPr>
        <w:t>1.3车辆续保期限1年；</w:t>
      </w:r>
    </w:p>
    <w:p w14:paraId="3B1E888B">
      <w:pPr>
        <w:pStyle w:val="14"/>
        <w:pageBreakBefore w:val="0"/>
        <w:kinsoku/>
        <w:wordWrap/>
        <w:overflowPunct/>
        <w:topLinePunct w:val="0"/>
        <w:autoSpaceDE/>
        <w:autoSpaceDN/>
        <w:bidi w:val="0"/>
        <w:adjustRightInd w:val="0"/>
        <w:snapToGrid w:val="0"/>
        <w:spacing w:before="0" w:beforeAutospacing="0" w:after="0" w:afterAutospacing="0" w:line="400" w:lineRule="exact"/>
        <w:ind w:right="0" w:firstLine="480" w:firstLineChars="200"/>
        <w:jc w:val="left"/>
        <w:textAlignment w:val="auto"/>
        <w:outlineLvl w:val="9"/>
        <w:rPr>
          <w:rFonts w:hint="eastAsia" w:ascii="宋体" w:hAnsi="宋体" w:eastAsia="宋体" w:cs="宋体"/>
          <w:b w:val="0"/>
          <w:bCs w:val="0"/>
          <w:color w:val="auto"/>
          <w:sz w:val="24"/>
          <w:szCs w:val="24"/>
          <w:highlight w:val="none"/>
          <w:u w:val="none"/>
          <w:lang w:val="en-US" w:eastAsia="zh-CN"/>
        </w:rPr>
      </w:pPr>
      <w:r>
        <w:rPr>
          <w:rFonts w:hint="eastAsia" w:ascii="宋体" w:hAnsi="宋体" w:eastAsia="宋体" w:cs="宋体"/>
          <w:i w:val="0"/>
          <w:iCs w:val="0"/>
          <w:caps w:val="0"/>
          <w:color w:val="auto"/>
          <w:spacing w:val="0"/>
          <w:sz w:val="24"/>
          <w:szCs w:val="24"/>
          <w:highlight w:val="none"/>
          <w:shd w:val="clear" w:color="auto" w:fill="auto"/>
          <w:lang w:val="en-US" w:eastAsia="zh-CN"/>
        </w:rPr>
        <w:t>1.4所有投保车辆须满足自主定价系数低于1.35，取费标准根据中国银保监会《关于印发实施车险综合改革指导意见的通知》</w:t>
      </w:r>
    </w:p>
    <w:p w14:paraId="1FBE6137">
      <w:pPr>
        <w:pStyle w:val="14"/>
        <w:pageBreakBefore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最终以实际保险车辆为准。</w:t>
      </w:r>
    </w:p>
    <w:p w14:paraId="60CAC9CE">
      <w:pPr>
        <w:pStyle w:val="14"/>
        <w:keepLines w:val="0"/>
        <w:pageBreakBefore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default" w:ascii="宋体" w:hAnsi="宋体" w:eastAsia="宋体" w:cs="宋体"/>
          <w:i w:val="0"/>
          <w:iCs w:val="0"/>
          <w:caps w:val="0"/>
          <w:color w:val="auto"/>
          <w:spacing w:val="0"/>
          <w:sz w:val="24"/>
          <w:szCs w:val="24"/>
          <w:highlight w:val="none"/>
          <w:shd w:val="clear" w:color="auto" w:fill="auto"/>
          <w:lang w:val="en-US" w:eastAsia="zh-CN"/>
        </w:rPr>
      </w:pPr>
      <w:r>
        <w:rPr>
          <w:rFonts w:hint="eastAsia" w:ascii="宋体" w:hAnsi="宋体" w:eastAsia="宋体" w:cs="宋体"/>
          <w:i w:val="0"/>
          <w:iCs w:val="0"/>
          <w:caps w:val="0"/>
          <w:color w:val="auto"/>
          <w:spacing w:val="0"/>
          <w:sz w:val="24"/>
          <w:szCs w:val="24"/>
          <w:highlight w:val="none"/>
          <w:shd w:val="clear" w:color="auto" w:fill="auto"/>
          <w:lang w:val="en-US" w:eastAsia="zh-CN"/>
        </w:rPr>
        <w:t>2</w:t>
      </w:r>
      <w:r>
        <w:rPr>
          <w:rFonts w:hint="eastAsia" w:ascii="宋体" w:hAnsi="宋体" w:eastAsia="宋体" w:cs="宋体"/>
          <w:i w:val="0"/>
          <w:iCs w:val="0"/>
          <w:caps w:val="0"/>
          <w:color w:val="auto"/>
          <w:spacing w:val="0"/>
          <w:sz w:val="24"/>
          <w:szCs w:val="24"/>
          <w:highlight w:val="none"/>
          <w:shd w:val="clear" w:color="auto" w:fill="auto"/>
        </w:rPr>
        <w:t>.合同履行期限：</w:t>
      </w:r>
      <w:r>
        <w:rPr>
          <w:rFonts w:hint="eastAsia" w:ascii="宋体" w:hAnsi="宋体" w:eastAsia="宋体" w:cs="宋体"/>
          <w:i w:val="0"/>
          <w:iCs w:val="0"/>
          <w:caps w:val="0"/>
          <w:color w:val="auto"/>
          <w:spacing w:val="0"/>
          <w:sz w:val="24"/>
          <w:szCs w:val="24"/>
          <w:highlight w:val="none"/>
          <w:shd w:val="clear" w:color="auto" w:fill="auto"/>
          <w:lang w:val="en-US" w:eastAsia="zh-CN"/>
        </w:rPr>
        <w:t>1年</w:t>
      </w:r>
    </w:p>
    <w:p w14:paraId="13F08BD5">
      <w:pPr>
        <w:keepNext w:val="0"/>
        <w:keepLines w:val="0"/>
        <w:pageBreakBefore w:val="0"/>
        <w:widowControl w:val="0"/>
        <w:kinsoku/>
        <w:wordWrap/>
        <w:overflowPunct/>
        <w:topLinePunct w:val="0"/>
        <w:autoSpaceDE/>
        <w:autoSpaceDN/>
        <w:bidi w:val="0"/>
        <w:adjustRightInd w:val="0"/>
        <w:snapToGrid w:val="0"/>
        <w:spacing w:line="500" w:lineRule="exact"/>
        <w:ind w:left="0" w:right="0" w:firstLine="482" w:firstLineChars="200"/>
        <w:jc w:val="left"/>
        <w:textAlignment w:val="auto"/>
        <w:outlineLvl w:val="9"/>
        <w:rPr>
          <w:rFonts w:hint="eastAsia" w:ascii="宋体" w:hAnsi="宋体" w:cs="宋体"/>
          <w:b/>
          <w:bCs/>
          <w:color w:val="auto"/>
          <w:sz w:val="24"/>
          <w:szCs w:val="24"/>
          <w:highlight w:val="none"/>
        </w:rPr>
      </w:pPr>
      <w:r>
        <w:rPr>
          <w:rFonts w:hint="eastAsia" w:ascii="宋体" w:hAnsi="宋体" w:cs="宋体"/>
          <w:b/>
          <w:bCs/>
          <w:color w:val="auto"/>
          <w:sz w:val="24"/>
          <w:szCs w:val="24"/>
          <w:highlight w:val="none"/>
          <w:lang w:val="en-US" w:eastAsia="zh-CN"/>
        </w:rPr>
        <w:t>三</w:t>
      </w:r>
      <w:r>
        <w:rPr>
          <w:rFonts w:hint="eastAsia" w:ascii="宋体" w:hAnsi="宋体" w:cs="宋体"/>
          <w:b/>
          <w:bCs/>
          <w:color w:val="auto"/>
          <w:sz w:val="24"/>
          <w:szCs w:val="24"/>
          <w:highlight w:val="none"/>
        </w:rPr>
        <w:t>、技术要求及相关说明</w:t>
      </w:r>
    </w:p>
    <w:p w14:paraId="043B03AC">
      <w:pPr>
        <w:keepNext w:val="0"/>
        <w:keepLines w:val="0"/>
        <w:pageBreakBefore w:val="0"/>
        <w:widowControl w:val="0"/>
        <w:kinsoku/>
        <w:wordWrap/>
        <w:overflowPunct/>
        <w:topLinePunct w:val="0"/>
        <w:autoSpaceDE/>
        <w:autoSpaceDN/>
        <w:bidi w:val="0"/>
        <w:adjustRightInd w:val="0"/>
        <w:snapToGrid w:val="0"/>
        <w:spacing w:line="500" w:lineRule="exact"/>
        <w:ind w:left="0" w:right="0" w:firstLine="482" w:firstLineChars="200"/>
        <w:jc w:val="left"/>
        <w:textAlignment w:val="auto"/>
        <w:outlineLvl w:val="9"/>
        <w:rPr>
          <w:rFonts w:hint="eastAsia" w:ascii="新宋体" w:hAnsi="新宋体" w:eastAsia="新宋体" w:cs="新宋体"/>
          <w:b/>
          <w:bCs/>
          <w:color w:val="auto"/>
          <w:sz w:val="24"/>
          <w:highlight w:val="none"/>
        </w:rPr>
      </w:pPr>
      <w:bookmarkStart w:id="167" w:name="_Toc15140"/>
      <w:r>
        <w:rPr>
          <w:rFonts w:hint="eastAsia" w:ascii="新宋体" w:hAnsi="新宋体" w:eastAsia="新宋体" w:cs="新宋体"/>
          <w:b/>
          <w:bCs/>
          <w:color w:val="auto"/>
          <w:sz w:val="24"/>
          <w:highlight w:val="none"/>
        </w:rPr>
        <w:t>（一）基本服务要求</w:t>
      </w:r>
      <w:bookmarkEnd w:id="167"/>
    </w:p>
    <w:p w14:paraId="1C2B6B50">
      <w:pPr>
        <w:pStyle w:val="2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（1）保险机构应主动上门联系与服务，并派专人与各被保险车辆签订机动车辆保险单。</w:t>
      </w:r>
    </w:p>
    <w:p w14:paraId="1EA9DBE6">
      <w:pPr>
        <w:pStyle w:val="2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（2）乙方应按</w:t>
      </w:r>
      <w:r>
        <w:rPr>
          <w:rFonts w:hint="eastAsia" w:ascii="宋体" w:hAnsi="宋体" w:eastAsia="宋体" w:cs="宋体"/>
          <w:color w:val="auto"/>
          <w:sz w:val="24"/>
          <w:szCs w:val="24"/>
          <w:highlight w:val="none"/>
          <w:lang w:eastAsia="zh-CN"/>
        </w:rPr>
        <w:t>中国银行保险监督管理委员会</w:t>
      </w:r>
      <w:r>
        <w:rPr>
          <w:rFonts w:hint="eastAsia" w:ascii="宋体" w:hAnsi="宋体" w:eastAsia="宋体" w:cs="宋体"/>
          <w:color w:val="auto"/>
          <w:sz w:val="24"/>
          <w:szCs w:val="24"/>
          <w:highlight w:val="none"/>
        </w:rPr>
        <w:t>批准的《机动车辆保险条款》及中标报价收取保险费用。</w:t>
      </w:r>
    </w:p>
    <w:p w14:paraId="138A2C9A">
      <w:pPr>
        <w:pStyle w:val="2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）理赔服务措施：实行365天×24小时报案受理、咨询服务，接到报案后30分钟内</w:t>
      </w:r>
      <w:r>
        <w:rPr>
          <w:rFonts w:hint="eastAsia" w:ascii="宋体" w:hAnsi="宋体" w:eastAsia="宋体" w:cs="宋体"/>
          <w:color w:val="auto"/>
          <w:sz w:val="24"/>
          <w:szCs w:val="24"/>
          <w:highlight w:val="none"/>
          <w:lang w:eastAsia="zh-CN"/>
        </w:rPr>
        <w:t>到达</w:t>
      </w:r>
      <w:r>
        <w:rPr>
          <w:rFonts w:hint="eastAsia" w:ascii="宋体" w:hAnsi="宋体" w:eastAsia="宋体" w:cs="宋体"/>
          <w:color w:val="auto"/>
          <w:sz w:val="24"/>
          <w:szCs w:val="24"/>
          <w:highlight w:val="none"/>
        </w:rPr>
        <w:t>现场处理，报案后24小时内提供主动上门理赔服务。建立理赔绿色通道，并限时结案，材料齐全3天内。</w:t>
      </w:r>
    </w:p>
    <w:p w14:paraId="51A74E69">
      <w:pPr>
        <w:pStyle w:val="2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rPr>
        <w:t>）被保车辆出厂原配置必须包含在理赔范围内。</w:t>
      </w:r>
    </w:p>
    <w:p w14:paraId="0E2D645C">
      <w:pPr>
        <w:pStyle w:val="2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）保费按年缴纳，以车辆各自的实际年度保险到期时间和实际要求为准，每</w:t>
      </w:r>
      <w:r>
        <w:rPr>
          <w:rFonts w:hint="eastAsia" w:ascii="宋体" w:hAnsi="宋体" w:eastAsia="宋体" w:cs="宋体"/>
          <w:color w:val="auto"/>
          <w:sz w:val="24"/>
          <w:szCs w:val="24"/>
          <w:highlight w:val="none"/>
          <w:lang w:eastAsia="zh-CN"/>
        </w:rPr>
        <w:t>一辆车</w:t>
      </w:r>
      <w:r>
        <w:rPr>
          <w:rFonts w:hint="eastAsia" w:ascii="宋体" w:hAnsi="宋体" w:eastAsia="宋体" w:cs="宋体"/>
          <w:color w:val="auto"/>
          <w:sz w:val="24"/>
          <w:szCs w:val="24"/>
          <w:highlight w:val="none"/>
        </w:rPr>
        <w:t>提供一份相应的保险。如理赔服务处理过程中发生违反保险合同约定的情况，采购人有权扣除履约保证金。</w:t>
      </w:r>
    </w:p>
    <w:p w14:paraId="0D7A47C5">
      <w:pPr>
        <w:pStyle w:val="2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）所有车辆的险种在到期之前仍维持现状；到期后，由原承保公司转为车辆相应的中标</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续保。在此期间，由</w:t>
      </w:r>
      <w:r>
        <w:rPr>
          <w:rFonts w:hint="eastAsia" w:ascii="宋体" w:hAnsi="宋体" w:cs="宋体"/>
          <w:color w:val="auto"/>
          <w:sz w:val="24"/>
          <w:szCs w:val="24"/>
          <w:highlight w:val="none"/>
          <w:lang w:val="en-US" w:eastAsia="zh-CN"/>
        </w:rPr>
        <w:t>采购人</w:t>
      </w:r>
      <w:r>
        <w:rPr>
          <w:rFonts w:hint="eastAsia" w:ascii="宋体" w:hAnsi="宋体" w:eastAsia="宋体" w:cs="宋体"/>
          <w:color w:val="auto"/>
          <w:sz w:val="24"/>
          <w:szCs w:val="24"/>
          <w:highlight w:val="none"/>
        </w:rPr>
        <w:t>提供目前各车辆保险缴纳的现状单位和期限，到期后，由中标</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主动续保，因中标</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未书面提醒或按期送保上门，导致脱保、漏保并造成采购人因事故未能获得保险理赔等损失的，中标</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应予以全额赔偿。</w:t>
      </w:r>
    </w:p>
    <w:p w14:paraId="07784CA8">
      <w:pPr>
        <w:pStyle w:val="2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）车辆因报废或政府指令性停运，须按相关规定办理退保等相关手续。</w:t>
      </w:r>
    </w:p>
    <w:p w14:paraId="62F82035">
      <w:pPr>
        <w:pStyle w:val="2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w:t>
      </w:r>
      <w:r>
        <w:rPr>
          <w:rFonts w:hint="eastAsia" w:ascii="宋体" w:hAnsi="宋体" w:cs="宋体"/>
          <w:color w:val="auto"/>
          <w:sz w:val="24"/>
          <w:szCs w:val="24"/>
          <w:highlight w:val="none"/>
          <w:lang w:val="en-US" w:eastAsia="zh-CN"/>
        </w:rPr>
        <w:t>采购人</w:t>
      </w:r>
      <w:r>
        <w:rPr>
          <w:rFonts w:hint="eastAsia" w:ascii="宋体" w:hAnsi="宋体" w:eastAsia="宋体" w:cs="宋体"/>
          <w:color w:val="auto"/>
          <w:sz w:val="24"/>
          <w:szCs w:val="24"/>
          <w:highlight w:val="none"/>
        </w:rPr>
        <w:t>在任何作业线路内发生事故均须免费拖车施救</w:t>
      </w:r>
      <w:r>
        <w:rPr>
          <w:rFonts w:hint="eastAsia" w:ascii="宋体" w:hAnsi="宋体" w:eastAsia="宋体" w:cs="宋体"/>
          <w:color w:val="auto"/>
          <w:sz w:val="24"/>
          <w:szCs w:val="24"/>
          <w:highlight w:val="none"/>
          <w:lang w:eastAsia="zh-CN"/>
        </w:rPr>
        <w:t>。</w:t>
      </w:r>
    </w:p>
    <w:p w14:paraId="0D721951">
      <w:pPr>
        <w:pStyle w:val="2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9</w:t>
      </w:r>
      <w:r>
        <w:rPr>
          <w:rFonts w:hint="eastAsia" w:ascii="宋体" w:hAnsi="宋体" w:eastAsia="宋体" w:cs="宋体"/>
          <w:color w:val="auto"/>
          <w:sz w:val="24"/>
          <w:szCs w:val="24"/>
          <w:highlight w:val="none"/>
        </w:rPr>
        <w:t>）投标</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针对本项目提供的增值服务内容或优惠承诺内容，中标后必须如实履行。否则采购人将按虚假应标处理，对此造成的一切责任和后果由中标</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承担。</w:t>
      </w:r>
    </w:p>
    <w:p w14:paraId="1E0FC8C7">
      <w:pPr>
        <w:pStyle w:val="2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00" w:lineRule="exact"/>
        <w:ind w:left="0" w:right="0" w:firstLine="482" w:firstLineChars="200"/>
        <w:jc w:val="left"/>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理赔服务</w:t>
      </w:r>
    </w:p>
    <w:p w14:paraId="1E1A465F">
      <w:pPr>
        <w:pStyle w:val="2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（1）设有24小时报案、理赔服务电话</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并设专人受理索赔接待、报案。有充足的现场勘查人员和车辆。</w:t>
      </w:r>
    </w:p>
    <w:p w14:paraId="00069C9D">
      <w:pPr>
        <w:pStyle w:val="2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应对投保车辆建立用户档案、包括不限于每月向采购人报送《车辆保险情况统计表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车辆出险理赔情况统计表》，并承诺统计填报数据</w:t>
      </w:r>
      <w:r>
        <w:rPr>
          <w:rFonts w:hint="eastAsia" w:ascii="宋体" w:hAnsi="宋体" w:eastAsia="宋体" w:cs="宋体"/>
          <w:color w:val="auto"/>
          <w:sz w:val="24"/>
          <w:szCs w:val="24"/>
          <w:highlight w:val="none"/>
          <w:lang w:eastAsia="zh-CN"/>
        </w:rPr>
        <w:t>的</w:t>
      </w:r>
      <w:r>
        <w:rPr>
          <w:rFonts w:hint="eastAsia" w:ascii="宋体" w:hAnsi="宋体" w:eastAsia="宋体" w:cs="宋体"/>
          <w:color w:val="auto"/>
          <w:sz w:val="24"/>
          <w:szCs w:val="24"/>
          <w:highlight w:val="none"/>
        </w:rPr>
        <w:t>正确性、完整性。</w:t>
      </w:r>
    </w:p>
    <w:p w14:paraId="527C4D03">
      <w:pPr>
        <w:pStyle w:val="2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（3）人伤费用垫付：人伤事故中，伤员进行救治时，经采购人现场确认后，中标</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应按规定先行垫付医疗费用（或开通医院绿色通道的形式）。</w:t>
      </w:r>
    </w:p>
    <w:p w14:paraId="129814DF">
      <w:pPr>
        <w:pStyle w:val="22"/>
        <w:keepNext w:val="0"/>
        <w:keepLines w:val="0"/>
        <w:pageBreakBefore w:val="0"/>
        <w:widowControl w:val="0"/>
        <w:kinsoku/>
        <w:wordWrap/>
        <w:overflowPunct/>
        <w:topLinePunct w:val="0"/>
        <w:autoSpaceDE/>
        <w:autoSpaceDN/>
        <w:bidi w:val="0"/>
        <w:adjustRightInd w:val="0"/>
        <w:snapToGrid w:val="0"/>
        <w:spacing w:before="0" w:beforeAutospacing="0" w:after="0" w:afterAutospacing="0" w:line="500" w:lineRule="exact"/>
        <w:ind w:left="0" w:right="0"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（4）因第三方对被保险机动车的损害而造成保险事故，采购人向第三方索赔的，中标</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应积极协助；采购人也可以直接向中标</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索赔，中标</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rPr>
        <w:t>在保险金额内先行赔付采购人，并在赔偿金额内代位行使采购人对第三方请求赔偿的权利。</w:t>
      </w:r>
    </w:p>
    <w:p w14:paraId="6D50E455">
      <w:pPr>
        <w:pStyle w:val="14"/>
        <w:keepNext/>
        <w:keepLines w:val="0"/>
        <w:pageBreakBefore w:val="0"/>
        <w:widowControl w:val="0"/>
        <w:kinsoku/>
        <w:wordWrap/>
        <w:overflowPunct/>
        <w:topLinePunct w:val="0"/>
        <w:autoSpaceDE/>
        <w:autoSpaceDN/>
        <w:bidi w:val="0"/>
        <w:adjustRightInd w:val="0"/>
        <w:snapToGrid w:val="0"/>
        <w:spacing w:beforeAutospacing="0" w:afterAutospacing="0" w:line="500" w:lineRule="exact"/>
        <w:ind w:left="0" w:right="0" w:firstLine="480" w:firstLineChars="200"/>
        <w:jc w:val="left"/>
        <w:textAlignment w:val="auto"/>
        <w:outlineLvl w:val="9"/>
        <w:rPr>
          <w:rFonts w:hint="eastAsia" w:ascii="黑体" w:eastAsia="黑体" w:cs="黑体"/>
          <w:color w:val="auto"/>
          <w:sz w:val="44"/>
          <w:szCs w:val="44"/>
          <w:highlight w:val="none"/>
          <w:shd w:val="clear" w:color="auto" w:fill="auto"/>
        </w:rPr>
      </w:pPr>
      <w:r>
        <w:rPr>
          <w:rFonts w:hint="eastAsia" w:ascii="宋体" w:hAnsi="宋体" w:eastAsia="宋体" w:cs="宋体"/>
          <w:color w:val="auto"/>
          <w:sz w:val="24"/>
          <w:szCs w:val="24"/>
          <w:highlight w:val="none"/>
        </w:rPr>
        <w:t>（5）如期间遇保险费政策性调整，项目合同价款</w:t>
      </w:r>
      <w:r>
        <w:rPr>
          <w:rFonts w:hint="eastAsia" w:ascii="宋体" w:hAnsi="宋体" w:eastAsia="宋体" w:cs="宋体"/>
          <w:color w:val="auto"/>
          <w:sz w:val="24"/>
          <w:szCs w:val="24"/>
          <w:highlight w:val="none"/>
          <w:lang w:val="en-US" w:eastAsia="zh-CN"/>
        </w:rPr>
        <w:t>需</w:t>
      </w:r>
      <w:r>
        <w:rPr>
          <w:rFonts w:hint="eastAsia" w:ascii="宋体" w:hAnsi="宋体" w:eastAsia="宋体" w:cs="宋体"/>
          <w:color w:val="auto"/>
          <w:sz w:val="24"/>
          <w:szCs w:val="24"/>
          <w:highlight w:val="none"/>
        </w:rPr>
        <w:t>同时调整</w:t>
      </w:r>
    </w:p>
    <w:p w14:paraId="773D5223">
      <w:pPr>
        <w:pStyle w:val="22"/>
        <w:keepNext w:val="0"/>
        <w:keepLines w:val="0"/>
        <w:pageBreakBefore w:val="0"/>
        <w:widowControl w:val="0"/>
        <w:kinsoku/>
        <w:wordWrap/>
        <w:overflowPunct/>
        <w:topLinePunct w:val="0"/>
        <w:autoSpaceDE/>
        <w:autoSpaceDN/>
        <w:bidi w:val="0"/>
        <w:spacing w:before="0" w:beforeAutospacing="0" w:after="0" w:afterAutospacing="0" w:line="440" w:lineRule="exact"/>
        <w:ind w:firstLine="480" w:firstLineChars="200"/>
        <w:jc w:val="left"/>
        <w:textAlignment w:val="auto"/>
        <w:outlineLvl w:val="9"/>
        <w:rPr>
          <w:rFonts w:hint="eastAsia" w:ascii="宋体" w:hAnsi="宋体" w:eastAsia="宋体" w:cs="宋体"/>
          <w:color w:val="auto"/>
          <w:sz w:val="24"/>
          <w:szCs w:val="24"/>
          <w:highlight w:val="none"/>
        </w:rPr>
      </w:pPr>
    </w:p>
    <w:p w14:paraId="49286429">
      <w:pPr>
        <w:pStyle w:val="22"/>
        <w:keepNext w:val="0"/>
        <w:keepLines w:val="0"/>
        <w:pageBreakBefore w:val="0"/>
        <w:widowControl w:val="0"/>
        <w:kinsoku/>
        <w:wordWrap/>
        <w:overflowPunct/>
        <w:topLinePunct w:val="0"/>
        <w:autoSpaceDE/>
        <w:autoSpaceDN/>
        <w:bidi w:val="0"/>
        <w:spacing w:before="0" w:beforeAutospacing="0" w:after="0" w:afterAutospacing="0" w:line="440" w:lineRule="exact"/>
        <w:ind w:firstLine="480" w:firstLineChars="200"/>
        <w:jc w:val="left"/>
        <w:textAlignment w:val="auto"/>
        <w:outlineLvl w:val="9"/>
        <w:rPr>
          <w:rFonts w:hint="eastAsia" w:ascii="宋体" w:hAnsi="宋体" w:eastAsia="宋体" w:cs="宋体"/>
          <w:color w:val="auto"/>
          <w:sz w:val="24"/>
          <w:szCs w:val="24"/>
          <w:highlight w:val="none"/>
        </w:rPr>
      </w:pPr>
    </w:p>
    <w:p w14:paraId="39BEC902">
      <w:pPr>
        <w:pStyle w:val="22"/>
        <w:keepNext w:val="0"/>
        <w:keepLines w:val="0"/>
        <w:pageBreakBefore w:val="0"/>
        <w:widowControl w:val="0"/>
        <w:kinsoku/>
        <w:wordWrap/>
        <w:overflowPunct/>
        <w:topLinePunct w:val="0"/>
        <w:autoSpaceDE/>
        <w:autoSpaceDN/>
        <w:bidi w:val="0"/>
        <w:spacing w:before="0" w:beforeAutospacing="0" w:after="0" w:afterAutospacing="0" w:line="440" w:lineRule="exact"/>
        <w:ind w:firstLine="480" w:firstLineChars="200"/>
        <w:jc w:val="left"/>
        <w:textAlignment w:val="auto"/>
        <w:outlineLvl w:val="9"/>
        <w:rPr>
          <w:rFonts w:hint="eastAsia" w:ascii="宋体" w:hAnsi="宋体" w:eastAsia="宋体" w:cs="宋体"/>
          <w:color w:val="auto"/>
          <w:sz w:val="24"/>
          <w:szCs w:val="24"/>
          <w:highlight w:val="none"/>
        </w:rPr>
      </w:pPr>
    </w:p>
    <w:p w14:paraId="5915BDA7">
      <w:pPr>
        <w:pStyle w:val="22"/>
        <w:keepNext w:val="0"/>
        <w:keepLines w:val="0"/>
        <w:pageBreakBefore w:val="0"/>
        <w:widowControl w:val="0"/>
        <w:kinsoku/>
        <w:wordWrap/>
        <w:overflowPunct/>
        <w:topLinePunct w:val="0"/>
        <w:autoSpaceDE/>
        <w:autoSpaceDN/>
        <w:bidi w:val="0"/>
        <w:spacing w:before="0" w:beforeAutospacing="0" w:after="0" w:afterAutospacing="0" w:line="440" w:lineRule="exact"/>
        <w:ind w:firstLine="480" w:firstLineChars="200"/>
        <w:jc w:val="left"/>
        <w:textAlignment w:val="auto"/>
        <w:outlineLvl w:val="9"/>
        <w:rPr>
          <w:rFonts w:hint="eastAsia" w:ascii="宋体" w:hAnsi="宋体" w:eastAsia="宋体" w:cs="宋体"/>
          <w:color w:val="auto"/>
          <w:sz w:val="24"/>
          <w:szCs w:val="24"/>
          <w:highlight w:val="none"/>
        </w:rPr>
      </w:pPr>
    </w:p>
    <w:p w14:paraId="0A30C595">
      <w:pPr>
        <w:pStyle w:val="22"/>
        <w:keepNext w:val="0"/>
        <w:keepLines w:val="0"/>
        <w:pageBreakBefore w:val="0"/>
        <w:widowControl w:val="0"/>
        <w:kinsoku/>
        <w:wordWrap/>
        <w:overflowPunct/>
        <w:topLinePunct w:val="0"/>
        <w:autoSpaceDE/>
        <w:autoSpaceDN/>
        <w:bidi w:val="0"/>
        <w:spacing w:before="0" w:beforeAutospacing="0" w:after="0" w:afterAutospacing="0" w:line="440" w:lineRule="exact"/>
        <w:ind w:firstLine="480" w:firstLineChars="200"/>
        <w:jc w:val="left"/>
        <w:textAlignment w:val="auto"/>
        <w:outlineLvl w:val="9"/>
        <w:rPr>
          <w:rFonts w:hint="eastAsia" w:ascii="宋体" w:hAnsi="宋体" w:eastAsia="宋体" w:cs="宋体"/>
          <w:color w:val="auto"/>
          <w:sz w:val="24"/>
          <w:szCs w:val="24"/>
          <w:highlight w:val="none"/>
        </w:rPr>
      </w:pPr>
    </w:p>
    <w:p w14:paraId="6150DC6C">
      <w:pPr>
        <w:pStyle w:val="22"/>
        <w:keepNext w:val="0"/>
        <w:keepLines w:val="0"/>
        <w:pageBreakBefore w:val="0"/>
        <w:widowControl w:val="0"/>
        <w:kinsoku/>
        <w:wordWrap/>
        <w:overflowPunct/>
        <w:topLinePunct w:val="0"/>
        <w:autoSpaceDE/>
        <w:autoSpaceDN/>
        <w:bidi w:val="0"/>
        <w:spacing w:before="0" w:beforeAutospacing="0" w:after="0" w:afterAutospacing="0" w:line="440" w:lineRule="exact"/>
        <w:ind w:firstLine="480" w:firstLineChars="200"/>
        <w:jc w:val="left"/>
        <w:textAlignment w:val="auto"/>
        <w:outlineLvl w:val="9"/>
        <w:rPr>
          <w:rFonts w:hint="eastAsia" w:ascii="宋体" w:hAnsi="宋体" w:eastAsia="宋体" w:cs="宋体"/>
          <w:color w:val="auto"/>
          <w:sz w:val="24"/>
          <w:szCs w:val="24"/>
          <w:highlight w:val="none"/>
        </w:rPr>
      </w:pPr>
    </w:p>
    <w:p w14:paraId="1D6E3A79">
      <w:pPr>
        <w:pStyle w:val="22"/>
        <w:keepNext w:val="0"/>
        <w:keepLines w:val="0"/>
        <w:pageBreakBefore w:val="0"/>
        <w:widowControl w:val="0"/>
        <w:kinsoku/>
        <w:wordWrap/>
        <w:overflowPunct/>
        <w:topLinePunct w:val="0"/>
        <w:autoSpaceDE/>
        <w:autoSpaceDN/>
        <w:bidi w:val="0"/>
        <w:spacing w:before="0" w:beforeAutospacing="0" w:after="0" w:afterAutospacing="0" w:line="440" w:lineRule="exact"/>
        <w:ind w:firstLine="480" w:firstLineChars="200"/>
        <w:jc w:val="left"/>
        <w:textAlignment w:val="auto"/>
        <w:outlineLvl w:val="9"/>
        <w:rPr>
          <w:rFonts w:hint="eastAsia" w:ascii="宋体" w:hAnsi="宋体" w:eastAsia="宋体" w:cs="宋体"/>
          <w:color w:val="auto"/>
          <w:sz w:val="24"/>
          <w:szCs w:val="24"/>
          <w:highlight w:val="none"/>
        </w:rPr>
      </w:pPr>
    </w:p>
    <w:p w14:paraId="4B24108C">
      <w:pPr>
        <w:pStyle w:val="22"/>
        <w:keepNext w:val="0"/>
        <w:keepLines w:val="0"/>
        <w:pageBreakBefore w:val="0"/>
        <w:widowControl w:val="0"/>
        <w:kinsoku/>
        <w:wordWrap/>
        <w:overflowPunct/>
        <w:topLinePunct w:val="0"/>
        <w:autoSpaceDE/>
        <w:autoSpaceDN/>
        <w:bidi w:val="0"/>
        <w:spacing w:before="0" w:beforeAutospacing="0" w:after="0" w:afterAutospacing="0" w:line="440" w:lineRule="exact"/>
        <w:ind w:firstLine="480" w:firstLineChars="200"/>
        <w:jc w:val="left"/>
        <w:textAlignment w:val="auto"/>
        <w:outlineLvl w:val="9"/>
        <w:rPr>
          <w:rFonts w:hint="eastAsia" w:ascii="宋体" w:hAnsi="宋体" w:eastAsia="宋体" w:cs="宋体"/>
          <w:color w:val="auto"/>
          <w:sz w:val="24"/>
          <w:szCs w:val="24"/>
          <w:highlight w:val="none"/>
        </w:rPr>
      </w:pPr>
    </w:p>
    <w:p w14:paraId="46C6E927">
      <w:pPr>
        <w:pStyle w:val="22"/>
        <w:keepNext w:val="0"/>
        <w:keepLines w:val="0"/>
        <w:pageBreakBefore w:val="0"/>
        <w:widowControl w:val="0"/>
        <w:kinsoku/>
        <w:wordWrap/>
        <w:overflowPunct/>
        <w:topLinePunct w:val="0"/>
        <w:autoSpaceDE/>
        <w:autoSpaceDN/>
        <w:bidi w:val="0"/>
        <w:spacing w:before="0" w:beforeAutospacing="0" w:after="0" w:afterAutospacing="0" w:line="440" w:lineRule="exact"/>
        <w:ind w:firstLine="480" w:firstLineChars="200"/>
        <w:jc w:val="left"/>
        <w:textAlignment w:val="auto"/>
        <w:outlineLvl w:val="9"/>
        <w:rPr>
          <w:rFonts w:hint="eastAsia" w:ascii="宋体" w:hAnsi="宋体" w:eastAsia="宋体" w:cs="宋体"/>
          <w:color w:val="auto"/>
          <w:sz w:val="24"/>
          <w:szCs w:val="24"/>
          <w:highlight w:val="none"/>
        </w:rPr>
      </w:pPr>
    </w:p>
    <w:p w14:paraId="2C63ACE4">
      <w:pPr>
        <w:pStyle w:val="14"/>
        <w:keepNext/>
        <w:spacing w:beforeAutospacing="0" w:afterAutospacing="0"/>
        <w:jc w:val="center"/>
        <w:rPr>
          <w:color w:val="auto"/>
          <w:highlight w:val="none"/>
        </w:rPr>
      </w:pPr>
      <w:r>
        <w:rPr>
          <w:color w:val="auto"/>
          <w:highlight w:val="none"/>
        </w:rPr>
        <w:t> </w:t>
      </w:r>
    </w:p>
    <w:p w14:paraId="3880A673">
      <w:pPr>
        <w:pStyle w:val="14"/>
        <w:keepNext/>
        <w:spacing w:beforeAutospacing="0" w:afterAutospacing="0"/>
        <w:jc w:val="center"/>
        <w:rPr>
          <w:color w:val="auto"/>
          <w:highlight w:val="none"/>
        </w:rPr>
      </w:pPr>
      <w:r>
        <w:rPr>
          <w:rFonts w:hint="eastAsia" w:ascii="黑体" w:hAnsi="宋体" w:eastAsia="黑体" w:cs="黑体"/>
          <w:color w:val="auto"/>
          <w:sz w:val="44"/>
          <w:szCs w:val="44"/>
          <w:highlight w:val="none"/>
        </w:rPr>
        <w:t xml:space="preserve">第五章  </w:t>
      </w:r>
      <w:r>
        <w:rPr>
          <w:rFonts w:hint="eastAsia" w:ascii="黑体" w:hAnsi="宋体" w:eastAsia="黑体" w:cs="黑体"/>
          <w:b/>
          <w:color w:val="auto"/>
          <w:sz w:val="44"/>
          <w:szCs w:val="44"/>
          <w:highlight w:val="none"/>
        </w:rPr>
        <w:t>评标方法与评标标准</w:t>
      </w:r>
    </w:p>
    <w:p w14:paraId="423C8189">
      <w:pPr>
        <w:pStyle w:val="14"/>
        <w:spacing w:beforeAutospacing="0" w:afterAutospacing="0"/>
        <w:jc w:val="both"/>
        <w:rPr>
          <w:color w:val="auto"/>
          <w:highlight w:val="none"/>
        </w:rPr>
      </w:pPr>
      <w:r>
        <w:rPr>
          <w:color w:val="auto"/>
          <w:highlight w:val="none"/>
        </w:rPr>
        <w:t> </w:t>
      </w:r>
    </w:p>
    <w:p w14:paraId="707C13F0">
      <w:pPr>
        <w:pStyle w:val="14"/>
        <w:spacing w:beforeAutospacing="0" w:afterAutospacing="0"/>
        <w:jc w:val="both"/>
        <w:rPr>
          <w:rFonts w:hint="eastAsia" w:ascii="宋体" w:hAnsi="宋体" w:eastAsia="宋体" w:cs="宋体"/>
          <w:color w:val="auto"/>
          <w:sz w:val="24"/>
          <w:szCs w:val="24"/>
          <w:highlight w:val="none"/>
        </w:rPr>
      </w:pPr>
    </w:p>
    <w:p w14:paraId="55AA3206">
      <w:pPr>
        <w:snapToGrid w:val="0"/>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一、定标原则</w:t>
      </w:r>
    </w:p>
    <w:p w14:paraId="1FF68F9D">
      <w:pPr>
        <w:snapToGrid w:val="0"/>
        <w:spacing w:line="360" w:lineRule="auto"/>
        <w:ind w:firstLine="480" w:firstLineChars="200"/>
        <w:rPr>
          <w:color w:val="auto"/>
          <w:highlight w:val="none"/>
        </w:rPr>
      </w:pPr>
      <w:r>
        <w:rPr>
          <w:rFonts w:hint="eastAsia" w:ascii="宋体" w:hAnsi="宋体" w:eastAsia="宋体" w:cs="宋体"/>
          <w:bCs/>
          <w:color w:val="auto"/>
          <w:sz w:val="24"/>
          <w:szCs w:val="24"/>
          <w:highlight w:val="none"/>
        </w:rPr>
        <w:t>本项目采用</w:t>
      </w:r>
      <w:r>
        <w:rPr>
          <w:rFonts w:hint="eastAsia" w:ascii="宋体" w:hAnsi="宋体" w:eastAsia="宋体" w:cs="宋体"/>
          <w:bCs/>
          <w:color w:val="auto"/>
          <w:sz w:val="24"/>
          <w:szCs w:val="24"/>
          <w:highlight w:val="none"/>
          <w:u w:val="single"/>
        </w:rPr>
        <w:t xml:space="preserve"> 综合评分 </w:t>
      </w:r>
      <w:r>
        <w:rPr>
          <w:rFonts w:hint="eastAsia" w:ascii="宋体" w:hAnsi="宋体" w:eastAsia="宋体" w:cs="宋体"/>
          <w:bCs/>
          <w:color w:val="auto"/>
          <w:sz w:val="24"/>
          <w:szCs w:val="24"/>
          <w:highlight w:val="none"/>
        </w:rPr>
        <w:t>法</w:t>
      </w:r>
      <w:r>
        <w:rPr>
          <w:rFonts w:hint="eastAsia" w:ascii="宋体" w:hAnsi="宋体" w:eastAsia="宋体" w:cs="宋体"/>
          <w:bCs/>
          <w:color w:val="auto"/>
          <w:sz w:val="24"/>
          <w:szCs w:val="24"/>
          <w:highlight w:val="none"/>
          <w:lang w:eastAsia="zh-CN"/>
        </w:rPr>
        <w:t>，</w:t>
      </w:r>
      <w:r>
        <w:rPr>
          <w:rFonts w:hint="eastAsia" w:ascii="宋体" w:hAnsi="宋体" w:eastAsia="宋体" w:cs="宋体"/>
          <w:color w:val="auto"/>
          <w:kern w:val="0"/>
          <w:sz w:val="24"/>
          <w:szCs w:val="24"/>
          <w:highlight w:val="none"/>
        </w:rPr>
        <w:t>评标结果按评审后得分由高到低顺序排列。得分相同的，按投标报价由低到高顺序排列。得分且投标报价相同的并列，采取随机抽签方式确定排列顺序。投标文件满足招标文件全部实质性要求，且按照评审因素的量化指标评审得分最高的投标人为排名第一的中标候选人</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以此类推</w:t>
      </w:r>
      <w:r>
        <w:rPr>
          <w:rFonts w:hint="eastAsia" w:ascii="宋体" w:hAnsi="宋体" w:eastAsia="宋体" w:cs="宋体"/>
          <w:color w:val="auto"/>
          <w:kern w:val="0"/>
          <w:sz w:val="24"/>
          <w:szCs w:val="24"/>
          <w:highlight w:val="none"/>
        </w:rPr>
        <w:t>，本项目选取</w:t>
      </w: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名中标候选人</w:t>
      </w:r>
      <w:r>
        <w:rPr>
          <w:rFonts w:hint="eastAsia" w:ascii="宋体" w:hAnsi="宋体" w:eastAsia="宋体" w:cs="宋体"/>
          <w:color w:val="auto"/>
          <w:kern w:val="0"/>
          <w:sz w:val="24"/>
          <w:szCs w:val="24"/>
          <w:highlight w:val="none"/>
          <w:lang w:eastAsia="zh-CN"/>
        </w:rPr>
        <w:t>（</w:t>
      </w:r>
      <w:r>
        <w:rPr>
          <w:rFonts w:hint="eastAsia" w:ascii="宋体" w:hAnsi="宋体" w:eastAsia="宋体" w:cs="宋体"/>
          <w:bCs/>
          <w:color w:val="auto"/>
          <w:sz w:val="24"/>
          <w:szCs w:val="24"/>
          <w:highlight w:val="none"/>
          <w:lang w:val="en-US" w:eastAsia="zh-CN"/>
        </w:rPr>
        <w:t>第一名分配比例50%；第二名分配比例30%；第三名分配比例20%）。</w:t>
      </w:r>
    </w:p>
    <w:p w14:paraId="7186E854">
      <w:pPr>
        <w:keepNext w:val="0"/>
        <w:keepLines w:val="0"/>
        <w:pageBreakBefore w:val="0"/>
        <w:spacing w:line="400" w:lineRule="exact"/>
        <w:ind w:firstLine="482"/>
        <w:rPr>
          <w:rFonts w:hint="eastAsia" w:ascii="宋体" w:hAnsi="宋体" w:eastAsia="宋体" w:cs="宋体"/>
          <w:color w:val="auto"/>
          <w:sz w:val="24"/>
          <w:szCs w:val="24"/>
          <w:highlight w:val="none"/>
        </w:rPr>
      </w:pPr>
      <w:r>
        <w:rPr>
          <w:color w:val="auto"/>
          <w:highlight w:val="none"/>
        </w:rPr>
        <w:t> </w:t>
      </w:r>
      <w:r>
        <w:rPr>
          <w:rFonts w:hint="eastAsia" w:ascii="宋体" w:hAnsi="宋体" w:eastAsia="宋体" w:cs="宋体"/>
          <w:b/>
          <w:color w:val="auto"/>
          <w:sz w:val="21"/>
          <w:szCs w:val="21"/>
          <w:highlight w:val="none"/>
        </w:rPr>
        <w:t>二、评标方法与评标标准</w:t>
      </w:r>
      <w:r>
        <w:rPr>
          <w:rFonts w:hint="eastAsia" w:ascii="宋体" w:hAnsi="宋体" w:cs="宋体"/>
          <w:b/>
          <w:color w:val="auto"/>
          <w:sz w:val="24"/>
          <w:highlight w:val="none"/>
        </w:rPr>
        <w:t>（总分值为100分）</w:t>
      </w:r>
    </w:p>
    <w:p w14:paraId="3440BD12">
      <w:pPr>
        <w:pStyle w:val="14"/>
        <w:spacing w:beforeAutospacing="0" w:afterAutospacing="0"/>
        <w:jc w:val="both"/>
        <w:rPr>
          <w:rFonts w:hint="eastAsia" w:ascii="宋体" w:hAnsi="宋体" w:eastAsia="宋体" w:cs="宋体"/>
          <w:color w:val="auto"/>
          <w:sz w:val="24"/>
          <w:szCs w:val="24"/>
          <w:highlight w:val="none"/>
        </w:rPr>
      </w:pPr>
    </w:p>
    <w:tbl>
      <w:tblPr>
        <w:tblStyle w:val="15"/>
        <w:tblW w:w="93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17"/>
        <w:gridCol w:w="738"/>
        <w:gridCol w:w="900"/>
        <w:gridCol w:w="735"/>
        <w:gridCol w:w="5261"/>
        <w:gridCol w:w="971"/>
      </w:tblGrid>
      <w:tr w14:paraId="417E40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6" w:hRule="atLeast"/>
          <w:jc w:val="center"/>
        </w:trPr>
        <w:tc>
          <w:tcPr>
            <w:tcW w:w="717" w:type="dxa"/>
            <w:noWrap w:val="0"/>
            <w:vAlign w:val="center"/>
          </w:tcPr>
          <w:p w14:paraId="45041888">
            <w:pPr>
              <w:jc w:val="center"/>
              <w:rPr>
                <w:rFonts w:ascii="宋体" w:hAnsi="宋体"/>
                <w:color w:val="auto"/>
                <w:sz w:val="24"/>
                <w:highlight w:val="none"/>
              </w:rPr>
            </w:pPr>
            <w:r>
              <w:rPr>
                <w:rFonts w:hint="eastAsia" w:ascii="宋体" w:hAnsi="宋体"/>
                <w:color w:val="auto"/>
                <w:sz w:val="24"/>
                <w:highlight w:val="none"/>
              </w:rPr>
              <w:t>序号</w:t>
            </w:r>
          </w:p>
        </w:tc>
        <w:tc>
          <w:tcPr>
            <w:tcW w:w="7634" w:type="dxa"/>
            <w:gridSpan w:val="4"/>
            <w:noWrap w:val="0"/>
            <w:vAlign w:val="center"/>
          </w:tcPr>
          <w:p w14:paraId="0C812BA5">
            <w:pPr>
              <w:jc w:val="center"/>
              <w:rPr>
                <w:rFonts w:ascii="宋体" w:hAnsi="宋体"/>
                <w:color w:val="auto"/>
                <w:sz w:val="24"/>
                <w:highlight w:val="none"/>
              </w:rPr>
            </w:pPr>
            <w:r>
              <w:rPr>
                <w:rFonts w:hint="eastAsia" w:ascii="宋体" w:hAnsi="宋体"/>
                <w:color w:val="auto"/>
                <w:sz w:val="24"/>
                <w:highlight w:val="none"/>
              </w:rPr>
              <w:t>评分项</w:t>
            </w:r>
          </w:p>
        </w:tc>
        <w:tc>
          <w:tcPr>
            <w:tcW w:w="971" w:type="dxa"/>
            <w:noWrap w:val="0"/>
            <w:vAlign w:val="center"/>
          </w:tcPr>
          <w:p w14:paraId="6B396231">
            <w:pPr>
              <w:jc w:val="center"/>
              <w:rPr>
                <w:rFonts w:ascii="宋体" w:hAnsi="宋体"/>
                <w:color w:val="auto"/>
                <w:sz w:val="24"/>
                <w:highlight w:val="none"/>
              </w:rPr>
            </w:pPr>
            <w:r>
              <w:rPr>
                <w:rFonts w:hint="eastAsia" w:ascii="宋体" w:hAnsi="宋体"/>
                <w:color w:val="auto"/>
                <w:sz w:val="24"/>
                <w:highlight w:val="none"/>
              </w:rPr>
              <w:t>分值</w:t>
            </w:r>
          </w:p>
        </w:tc>
      </w:tr>
      <w:tr w14:paraId="04EC9E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7" w:hRule="atLeast"/>
          <w:jc w:val="center"/>
        </w:trPr>
        <w:tc>
          <w:tcPr>
            <w:tcW w:w="717" w:type="dxa"/>
            <w:noWrap w:val="0"/>
            <w:vAlign w:val="center"/>
          </w:tcPr>
          <w:p w14:paraId="4F03D2BB">
            <w:p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1</w:t>
            </w:r>
          </w:p>
        </w:tc>
        <w:tc>
          <w:tcPr>
            <w:tcW w:w="8605" w:type="dxa"/>
            <w:gridSpan w:val="5"/>
            <w:noWrap w:val="0"/>
            <w:vAlign w:val="center"/>
          </w:tcPr>
          <w:p w14:paraId="017B86D5">
            <w:p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投标报价（20分）</w:t>
            </w:r>
          </w:p>
        </w:tc>
      </w:tr>
      <w:tr w14:paraId="3C0FF2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69" w:hRule="atLeast"/>
          <w:jc w:val="center"/>
        </w:trPr>
        <w:tc>
          <w:tcPr>
            <w:tcW w:w="717" w:type="dxa"/>
            <w:noWrap w:val="0"/>
            <w:vAlign w:val="center"/>
          </w:tcPr>
          <w:p w14:paraId="5BA6E1DA">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商业险自主定价系</w:t>
            </w:r>
          </w:p>
          <w:p w14:paraId="48E267BC">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数</w:t>
            </w:r>
          </w:p>
          <w:p w14:paraId="2252B1D1">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cs="宋体"/>
                <w:bCs/>
                <w:color w:val="auto"/>
                <w:sz w:val="18"/>
                <w:szCs w:val="18"/>
                <w:highlight w:val="none"/>
                <w:lang w:val="en-US" w:eastAsia="zh-CN" w:bidi="ar"/>
              </w:rPr>
            </w:pPr>
          </w:p>
        </w:tc>
        <w:tc>
          <w:tcPr>
            <w:tcW w:w="7634" w:type="dxa"/>
            <w:gridSpan w:val="4"/>
            <w:noWrap w:val="0"/>
            <w:vAlign w:val="center"/>
          </w:tcPr>
          <w:p w14:paraId="7ADDEF45">
            <w:pPr>
              <w:rPr>
                <w:rFonts w:hint="eastAsia"/>
                <w:color w:val="auto"/>
                <w:highlight w:val="none"/>
              </w:rPr>
            </w:pPr>
            <w:r>
              <w:rPr>
                <w:rFonts w:hint="eastAsia"/>
                <w:color w:val="auto"/>
                <w:highlight w:val="none"/>
              </w:rPr>
              <w:t>满足招标文件要求且自主定价系数最低</w:t>
            </w:r>
            <w:r>
              <w:rPr>
                <w:rFonts w:hint="eastAsia"/>
                <w:color w:val="auto"/>
                <w:highlight w:val="none"/>
                <w:lang w:val="en-US" w:eastAsia="zh-CN"/>
              </w:rPr>
              <w:t>投标折扣率</w:t>
            </w:r>
            <w:r>
              <w:rPr>
                <w:rFonts w:hint="eastAsia"/>
                <w:color w:val="auto"/>
                <w:highlight w:val="none"/>
              </w:rPr>
              <w:t>为评标基</w:t>
            </w:r>
            <w:r>
              <w:rPr>
                <w:rFonts w:hint="eastAsia"/>
                <w:color w:val="auto"/>
                <w:highlight w:val="none"/>
                <w:lang w:val="en-US" w:eastAsia="zh-CN"/>
              </w:rPr>
              <w:t>准</w:t>
            </w:r>
            <w:r>
              <w:rPr>
                <w:rFonts w:hint="eastAsia"/>
                <w:color w:val="auto"/>
                <w:highlight w:val="none"/>
              </w:rPr>
              <w:t>价，其价格分为满分</w:t>
            </w:r>
            <w:r>
              <w:rPr>
                <w:rFonts w:hint="eastAsia"/>
                <w:color w:val="auto"/>
                <w:highlight w:val="none"/>
                <w:lang w:val="en-US" w:eastAsia="zh-CN"/>
              </w:rPr>
              <w:t>10</w:t>
            </w:r>
            <w:r>
              <w:rPr>
                <w:rFonts w:hint="eastAsia"/>
                <w:color w:val="auto"/>
                <w:highlight w:val="none"/>
              </w:rPr>
              <w:t>分。其他投标人的价格分统一按照下列公式计算：投标</w:t>
            </w:r>
            <w:r>
              <w:rPr>
                <w:rFonts w:hint="eastAsia"/>
                <w:color w:val="auto"/>
                <w:highlight w:val="none"/>
                <w:lang w:val="en-US" w:eastAsia="zh-CN"/>
              </w:rPr>
              <w:t>折扣率</w:t>
            </w:r>
            <w:r>
              <w:rPr>
                <w:rFonts w:hint="eastAsia"/>
                <w:color w:val="auto"/>
                <w:highlight w:val="none"/>
              </w:rPr>
              <w:t>得分=（评标基准价/投标</w:t>
            </w:r>
            <w:r>
              <w:rPr>
                <w:rFonts w:hint="eastAsia"/>
                <w:color w:val="auto"/>
                <w:highlight w:val="none"/>
                <w:lang w:val="en-US" w:eastAsia="zh-CN"/>
              </w:rPr>
              <w:t>折扣率</w:t>
            </w:r>
            <w:r>
              <w:rPr>
                <w:rFonts w:hint="eastAsia"/>
                <w:color w:val="auto"/>
                <w:highlight w:val="none"/>
              </w:rPr>
              <w:t>）*</w:t>
            </w:r>
            <w:r>
              <w:rPr>
                <w:rFonts w:hint="eastAsia"/>
                <w:color w:val="auto"/>
                <w:highlight w:val="none"/>
                <w:lang w:val="en-US" w:eastAsia="zh-CN"/>
              </w:rPr>
              <w:t>10</w:t>
            </w:r>
            <w:r>
              <w:rPr>
                <w:rFonts w:hint="eastAsia"/>
                <w:color w:val="auto"/>
                <w:highlight w:val="none"/>
              </w:rPr>
              <w:t>，结果保留两位小数。</w:t>
            </w:r>
          </w:p>
          <w:p w14:paraId="709C1027">
            <w:pPr>
              <w:rPr>
                <w:rFonts w:hint="default"/>
                <w:color w:val="auto"/>
                <w:highlight w:val="none"/>
                <w:lang w:val="en-US" w:eastAsia="zh-CN"/>
              </w:rPr>
            </w:pPr>
            <w:r>
              <w:rPr>
                <w:rFonts w:hint="default"/>
                <w:color w:val="auto"/>
                <w:highlight w:val="none"/>
                <w:lang w:val="en-US" w:eastAsia="zh-CN"/>
              </w:rPr>
              <w:t>注：1.所有报价均按银保监会相关规定进行报价。</w:t>
            </w:r>
          </w:p>
          <w:p w14:paraId="738F30E1">
            <w:pPr>
              <w:rPr>
                <w:rFonts w:hint="default"/>
                <w:color w:val="auto"/>
                <w:highlight w:val="none"/>
                <w:lang w:val="en-US" w:eastAsia="zh-CN"/>
              </w:rPr>
            </w:pPr>
          </w:p>
        </w:tc>
        <w:tc>
          <w:tcPr>
            <w:tcW w:w="971" w:type="dxa"/>
            <w:noWrap w:val="0"/>
            <w:vAlign w:val="center"/>
          </w:tcPr>
          <w:p w14:paraId="0D34CAB0">
            <w:pPr>
              <w:jc w:val="center"/>
              <w:rPr>
                <w:rFonts w:hint="eastAsia" w:ascii="宋体" w:hAnsi="宋体" w:eastAsia="宋体"/>
                <w:color w:val="auto"/>
                <w:sz w:val="24"/>
                <w:highlight w:val="none"/>
                <w:lang w:eastAsia="zh-CN"/>
              </w:rPr>
            </w:pPr>
            <w:r>
              <w:rPr>
                <w:rFonts w:hint="eastAsia" w:ascii="宋体" w:hAnsi="宋体"/>
                <w:color w:val="auto"/>
                <w:sz w:val="24"/>
                <w:highlight w:val="none"/>
                <w:lang w:val="en-US" w:eastAsia="zh-CN"/>
              </w:rPr>
              <w:t>1</w:t>
            </w:r>
            <w:r>
              <w:rPr>
                <w:rFonts w:hint="eastAsia" w:ascii="宋体" w:hAnsi="宋体"/>
                <w:color w:val="auto"/>
                <w:sz w:val="24"/>
                <w:highlight w:val="none"/>
              </w:rPr>
              <w:t>0</w:t>
            </w:r>
            <w:r>
              <w:rPr>
                <w:rFonts w:hint="eastAsia" w:ascii="宋体" w:hAnsi="宋体"/>
                <w:color w:val="auto"/>
                <w:sz w:val="24"/>
                <w:highlight w:val="none"/>
                <w:lang w:eastAsia="zh-CN"/>
              </w:rPr>
              <w:t>分</w:t>
            </w:r>
          </w:p>
        </w:tc>
      </w:tr>
      <w:tr w14:paraId="3A03EE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36" w:hRule="atLeast"/>
          <w:jc w:val="center"/>
        </w:trPr>
        <w:tc>
          <w:tcPr>
            <w:tcW w:w="717" w:type="dxa"/>
            <w:noWrap w:val="0"/>
            <w:vAlign w:val="center"/>
          </w:tcPr>
          <w:p w14:paraId="2E0FF9BF">
            <w:p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承运人责任</w:t>
            </w:r>
          </w:p>
          <w:p w14:paraId="6F4B4280">
            <w:p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险</w:t>
            </w:r>
          </w:p>
        </w:tc>
        <w:tc>
          <w:tcPr>
            <w:tcW w:w="7634" w:type="dxa"/>
            <w:gridSpan w:val="4"/>
            <w:noWrap w:val="0"/>
            <w:vAlign w:val="center"/>
          </w:tcPr>
          <w:p w14:paraId="32326345">
            <w:pPr>
              <w:rPr>
                <w:rFonts w:hint="eastAsia"/>
                <w:color w:val="auto"/>
                <w:highlight w:val="none"/>
                <w:lang w:val="en-US" w:eastAsia="zh-CN"/>
              </w:rPr>
            </w:pPr>
            <w:r>
              <w:rPr>
                <w:rFonts w:hint="eastAsia"/>
                <w:color w:val="auto"/>
                <w:highlight w:val="none"/>
                <w:lang w:val="en-US" w:eastAsia="zh-CN"/>
              </w:rPr>
              <w:t>满足招标文件要求且投标价格最低报价为评标基准价，其价格分为满分10分。其他投标人的价格分统一按照下列公式计算：投标报价得分=（评标基准价/投标报价）*10，结果保留两位小数。</w:t>
            </w:r>
          </w:p>
        </w:tc>
        <w:tc>
          <w:tcPr>
            <w:tcW w:w="971" w:type="dxa"/>
            <w:noWrap w:val="0"/>
            <w:vAlign w:val="center"/>
          </w:tcPr>
          <w:p w14:paraId="7E847137">
            <w:pPr>
              <w:jc w:val="center"/>
              <w:rPr>
                <w:rFonts w:hint="default" w:ascii="宋体" w:hAnsi="宋体"/>
                <w:color w:val="auto"/>
                <w:sz w:val="24"/>
                <w:highlight w:val="none"/>
                <w:lang w:val="en-US" w:eastAsia="zh-CN"/>
              </w:rPr>
            </w:pPr>
            <w:r>
              <w:rPr>
                <w:rFonts w:hint="eastAsia" w:ascii="宋体" w:hAnsi="宋体"/>
                <w:color w:val="auto"/>
                <w:sz w:val="24"/>
                <w:highlight w:val="none"/>
                <w:lang w:val="en-US" w:eastAsia="zh-CN"/>
              </w:rPr>
              <w:t>10分</w:t>
            </w:r>
          </w:p>
        </w:tc>
      </w:tr>
      <w:tr w14:paraId="663D1E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1" w:hRule="atLeast"/>
          <w:jc w:val="center"/>
        </w:trPr>
        <w:tc>
          <w:tcPr>
            <w:tcW w:w="717" w:type="dxa"/>
            <w:noWrap w:val="0"/>
            <w:vAlign w:val="center"/>
          </w:tcPr>
          <w:p w14:paraId="078029D0">
            <w:pPr>
              <w:jc w:val="center"/>
              <w:rPr>
                <w:rFonts w:ascii="宋体" w:hAnsi="宋体"/>
                <w:color w:val="auto"/>
                <w:sz w:val="24"/>
                <w:highlight w:val="none"/>
              </w:rPr>
            </w:pPr>
            <w:r>
              <w:rPr>
                <w:rFonts w:ascii="宋体" w:hAnsi="宋体"/>
                <w:color w:val="auto"/>
                <w:sz w:val="24"/>
                <w:highlight w:val="none"/>
              </w:rPr>
              <w:t>2</w:t>
            </w:r>
          </w:p>
        </w:tc>
        <w:tc>
          <w:tcPr>
            <w:tcW w:w="8605" w:type="dxa"/>
            <w:gridSpan w:val="5"/>
            <w:noWrap w:val="0"/>
            <w:vAlign w:val="center"/>
          </w:tcPr>
          <w:p w14:paraId="5A9585EE">
            <w:pPr>
              <w:rPr>
                <w:rFonts w:ascii="宋体" w:hAnsi="宋体"/>
                <w:color w:val="auto"/>
                <w:sz w:val="24"/>
                <w:highlight w:val="none"/>
              </w:rPr>
            </w:pPr>
            <w:r>
              <w:rPr>
                <w:rFonts w:hint="eastAsia" w:ascii="宋体" w:hAnsi="宋体" w:cs="宋体"/>
                <w:bCs/>
                <w:color w:val="auto"/>
                <w:sz w:val="18"/>
                <w:szCs w:val="18"/>
                <w:highlight w:val="none"/>
                <w:lang w:val="en-US" w:eastAsia="zh-CN" w:bidi="ar"/>
              </w:rPr>
              <w:t>商务部分（33分）</w:t>
            </w:r>
          </w:p>
        </w:tc>
      </w:tr>
      <w:tr w14:paraId="525B05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13" w:hRule="atLeast"/>
          <w:jc w:val="center"/>
        </w:trPr>
        <w:tc>
          <w:tcPr>
            <w:tcW w:w="717" w:type="dxa"/>
            <w:vMerge w:val="restart"/>
            <w:noWrap w:val="0"/>
            <w:vAlign w:val="center"/>
          </w:tcPr>
          <w:p w14:paraId="1F349053">
            <w:pPr>
              <w:jc w:val="center"/>
              <w:rPr>
                <w:rFonts w:ascii="宋体" w:hAnsi="宋体"/>
                <w:color w:val="auto"/>
                <w:sz w:val="24"/>
                <w:highlight w:val="none"/>
              </w:rPr>
            </w:pPr>
            <w:r>
              <w:rPr>
                <w:rFonts w:hint="eastAsia" w:ascii="宋体" w:hAnsi="宋体"/>
                <w:color w:val="auto"/>
                <w:sz w:val="24"/>
                <w:highlight w:val="none"/>
              </w:rPr>
              <w:t>综</w:t>
            </w:r>
          </w:p>
          <w:p w14:paraId="08671B95">
            <w:pPr>
              <w:jc w:val="center"/>
              <w:rPr>
                <w:rFonts w:ascii="宋体" w:hAnsi="宋体"/>
                <w:color w:val="auto"/>
                <w:sz w:val="24"/>
                <w:highlight w:val="none"/>
              </w:rPr>
            </w:pPr>
            <w:r>
              <w:rPr>
                <w:rFonts w:hint="eastAsia" w:ascii="宋体" w:hAnsi="宋体"/>
                <w:color w:val="auto"/>
                <w:sz w:val="24"/>
                <w:highlight w:val="none"/>
              </w:rPr>
              <w:t>合</w:t>
            </w:r>
          </w:p>
          <w:p w14:paraId="01CF256A">
            <w:pPr>
              <w:jc w:val="center"/>
              <w:rPr>
                <w:rFonts w:ascii="宋体" w:hAnsi="宋体"/>
                <w:color w:val="auto"/>
                <w:sz w:val="24"/>
                <w:highlight w:val="none"/>
              </w:rPr>
            </w:pPr>
            <w:r>
              <w:rPr>
                <w:rFonts w:hint="eastAsia" w:ascii="宋体" w:hAnsi="宋体"/>
                <w:color w:val="auto"/>
                <w:sz w:val="24"/>
                <w:highlight w:val="none"/>
              </w:rPr>
              <w:t>评</w:t>
            </w:r>
          </w:p>
          <w:p w14:paraId="318C5CDD">
            <w:pPr>
              <w:jc w:val="center"/>
              <w:rPr>
                <w:rFonts w:ascii="宋体" w:hAnsi="宋体"/>
                <w:color w:val="auto"/>
                <w:sz w:val="24"/>
                <w:highlight w:val="none"/>
              </w:rPr>
            </w:pPr>
            <w:r>
              <w:rPr>
                <w:rFonts w:hint="eastAsia" w:ascii="宋体" w:hAnsi="宋体"/>
                <w:color w:val="auto"/>
                <w:sz w:val="24"/>
                <w:highlight w:val="none"/>
              </w:rPr>
              <w:t>价</w:t>
            </w:r>
          </w:p>
        </w:tc>
        <w:tc>
          <w:tcPr>
            <w:tcW w:w="738" w:type="dxa"/>
            <w:noWrap w:val="0"/>
            <w:vAlign w:val="center"/>
          </w:tcPr>
          <w:p w14:paraId="51C0E7A8">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 1 \* GB3 </w:instrText>
            </w:r>
            <w:r>
              <w:rPr>
                <w:rFonts w:hint="eastAsia" w:ascii="宋体" w:hAnsi="宋体" w:cs="宋体"/>
                <w:color w:val="auto"/>
                <w:sz w:val="24"/>
                <w:szCs w:val="24"/>
                <w:highlight w:val="none"/>
              </w:rPr>
              <w:fldChar w:fldCharType="separate"/>
            </w:r>
            <w:r>
              <w:rPr>
                <w:rFonts w:hint="eastAsia" w:ascii="宋体" w:hAnsi="宋体" w:cs="宋体"/>
                <w:color w:val="auto"/>
                <w:sz w:val="24"/>
                <w:szCs w:val="24"/>
                <w:highlight w:val="none"/>
              </w:rPr>
              <w:t>①</w:t>
            </w:r>
            <w:r>
              <w:rPr>
                <w:rFonts w:hint="eastAsia" w:ascii="宋体" w:hAnsi="宋体" w:cs="宋体"/>
                <w:color w:val="auto"/>
                <w:sz w:val="24"/>
                <w:szCs w:val="24"/>
                <w:highlight w:val="none"/>
              </w:rPr>
              <w:fldChar w:fldCharType="end"/>
            </w:r>
          </w:p>
        </w:tc>
        <w:tc>
          <w:tcPr>
            <w:tcW w:w="900" w:type="dxa"/>
            <w:noWrap w:val="0"/>
            <w:vAlign w:val="center"/>
          </w:tcPr>
          <w:p w14:paraId="1D962078">
            <w:p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业绩合同</w:t>
            </w:r>
          </w:p>
        </w:tc>
        <w:tc>
          <w:tcPr>
            <w:tcW w:w="735" w:type="dxa"/>
            <w:noWrap w:val="0"/>
            <w:vAlign w:val="center"/>
          </w:tcPr>
          <w:p w14:paraId="42B7DB83">
            <w:pPr>
              <w:keepNext w:val="0"/>
              <w:keepLines w:val="0"/>
              <w:widowControl/>
              <w:suppressLineNumbers w:val="0"/>
              <w:spacing w:line="240" w:lineRule="auto"/>
              <w:jc w:val="center"/>
              <w:rPr>
                <w:rFonts w:ascii="宋体" w:hAnsi="宋体" w:eastAsia="宋体"/>
                <w:color w:val="auto"/>
                <w:sz w:val="24"/>
                <w:highlight w:val="none"/>
                <w:lang w:val="en-US" w:eastAsia="zh-CN"/>
              </w:rPr>
            </w:pPr>
            <w:r>
              <w:rPr>
                <w:rFonts w:hint="eastAsia" w:ascii="宋体" w:hAnsi="宋体" w:eastAsia="宋体" w:cs="宋体"/>
                <w:i w:val="0"/>
                <w:iCs w:val="0"/>
                <w:color w:val="auto"/>
                <w:sz w:val="21"/>
                <w:szCs w:val="21"/>
                <w:highlight w:val="none"/>
                <w:u w:val="none"/>
                <w:lang w:val="en-US" w:eastAsia="zh-CN" w:bidi="ar"/>
              </w:rPr>
              <w:t>12分</w:t>
            </w:r>
          </w:p>
        </w:tc>
        <w:tc>
          <w:tcPr>
            <w:tcW w:w="6232" w:type="dxa"/>
            <w:gridSpan w:val="2"/>
            <w:noWrap w:val="0"/>
            <w:vAlign w:val="center"/>
          </w:tcPr>
          <w:p w14:paraId="44B8469F">
            <w:pPr>
              <w:numPr>
                <w:ilvl w:val="0"/>
                <w:numId w:val="0"/>
              </w:num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投标供应商或其总公司具有类似项目业绩合同（2022年1月1日以后所签合同），每提供一个业绩合同得2分，此项最高得12分（须提供业绩合同及中标通知书的</w:t>
            </w:r>
            <w:r>
              <w:rPr>
                <w:rFonts w:hint="eastAsia" w:ascii="宋体" w:hAnsi="宋体" w:cs="宋体"/>
                <w:b/>
                <w:bCs w:val="0"/>
                <w:color w:val="auto"/>
                <w:sz w:val="18"/>
                <w:szCs w:val="18"/>
                <w:highlight w:val="none"/>
                <w:lang w:val="en-US" w:eastAsia="zh-CN" w:bidi="ar"/>
              </w:rPr>
              <w:t>原件彩色扫描件</w:t>
            </w:r>
            <w:r>
              <w:rPr>
                <w:rFonts w:hint="eastAsia" w:ascii="宋体" w:hAnsi="宋体" w:cs="宋体"/>
                <w:bCs/>
                <w:color w:val="auto"/>
                <w:sz w:val="18"/>
                <w:szCs w:val="18"/>
                <w:highlight w:val="none"/>
                <w:lang w:val="en-US" w:eastAsia="zh-CN" w:bidi="ar"/>
              </w:rPr>
              <w:t>，未提供的或提供不全的不得分）；</w:t>
            </w:r>
          </w:p>
          <w:p w14:paraId="7EE39455">
            <w:pPr>
              <w:numPr>
                <w:ilvl w:val="0"/>
                <w:numId w:val="0"/>
              </w:num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注：上述类似项目业绩是指投标人所提供的业绩需与本项目采购内容类似。</w:t>
            </w:r>
          </w:p>
        </w:tc>
      </w:tr>
      <w:tr w14:paraId="1D300A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22" w:hRule="atLeast"/>
          <w:jc w:val="center"/>
        </w:trPr>
        <w:tc>
          <w:tcPr>
            <w:tcW w:w="717" w:type="dxa"/>
            <w:vMerge w:val="continue"/>
            <w:noWrap w:val="0"/>
            <w:vAlign w:val="center"/>
          </w:tcPr>
          <w:p w14:paraId="0866010E">
            <w:pPr>
              <w:jc w:val="center"/>
              <w:rPr>
                <w:rFonts w:ascii="宋体" w:hAnsi="宋体"/>
                <w:color w:val="auto"/>
                <w:sz w:val="24"/>
                <w:highlight w:val="none"/>
              </w:rPr>
            </w:pPr>
          </w:p>
        </w:tc>
        <w:tc>
          <w:tcPr>
            <w:tcW w:w="738" w:type="dxa"/>
            <w:vMerge w:val="restart"/>
            <w:noWrap w:val="0"/>
            <w:vAlign w:val="center"/>
          </w:tcPr>
          <w:p w14:paraId="10EFC73A">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 2 \* GB3 </w:instrText>
            </w:r>
            <w:r>
              <w:rPr>
                <w:rFonts w:hint="eastAsia" w:ascii="宋体" w:hAnsi="宋体" w:cs="宋体"/>
                <w:color w:val="auto"/>
                <w:sz w:val="24"/>
                <w:szCs w:val="24"/>
                <w:highlight w:val="none"/>
              </w:rPr>
              <w:fldChar w:fldCharType="separate"/>
            </w:r>
            <w:r>
              <w:rPr>
                <w:rFonts w:hint="eastAsia" w:ascii="宋体" w:hAnsi="宋体" w:cs="宋体"/>
                <w:color w:val="auto"/>
                <w:sz w:val="24"/>
                <w:szCs w:val="24"/>
                <w:highlight w:val="none"/>
              </w:rPr>
              <w:t>②</w:t>
            </w:r>
            <w:r>
              <w:rPr>
                <w:rFonts w:hint="eastAsia" w:ascii="宋体" w:hAnsi="宋体" w:cs="宋体"/>
                <w:color w:val="auto"/>
                <w:sz w:val="24"/>
                <w:szCs w:val="24"/>
                <w:highlight w:val="none"/>
              </w:rPr>
              <w:fldChar w:fldCharType="end"/>
            </w:r>
          </w:p>
        </w:tc>
        <w:tc>
          <w:tcPr>
            <w:tcW w:w="900" w:type="dxa"/>
            <w:vMerge w:val="restart"/>
            <w:noWrap w:val="0"/>
            <w:vAlign w:val="center"/>
          </w:tcPr>
          <w:p w14:paraId="167A5040">
            <w:p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偿付能力状况</w:t>
            </w:r>
          </w:p>
        </w:tc>
        <w:tc>
          <w:tcPr>
            <w:tcW w:w="735" w:type="dxa"/>
            <w:noWrap w:val="0"/>
            <w:vAlign w:val="center"/>
          </w:tcPr>
          <w:p w14:paraId="50E934D0">
            <w:pPr>
              <w:keepNext w:val="0"/>
              <w:keepLines w:val="0"/>
              <w:widowControl/>
              <w:suppressLineNumbers w:val="0"/>
              <w:spacing w:line="240" w:lineRule="auto"/>
              <w:jc w:val="center"/>
              <w:rPr>
                <w:rFonts w:hint="eastAsia" w:ascii="宋体" w:hAnsi="宋体" w:eastAsia="宋体" w:cs="宋体"/>
                <w:i w:val="0"/>
                <w:iCs w:val="0"/>
                <w:color w:val="auto"/>
                <w:sz w:val="21"/>
                <w:szCs w:val="21"/>
                <w:highlight w:val="none"/>
                <w:u w:val="none"/>
                <w:lang w:val="en-US" w:eastAsia="zh-CN" w:bidi="ar"/>
              </w:rPr>
            </w:pPr>
            <w:r>
              <w:rPr>
                <w:rFonts w:hint="eastAsia" w:ascii="宋体" w:hAnsi="宋体" w:eastAsia="宋体" w:cs="宋体"/>
                <w:i w:val="0"/>
                <w:iCs w:val="0"/>
                <w:color w:val="auto"/>
                <w:sz w:val="21"/>
                <w:szCs w:val="21"/>
                <w:highlight w:val="none"/>
                <w:u w:val="none"/>
                <w:lang w:val="en-US" w:eastAsia="zh-CN" w:bidi="ar"/>
              </w:rPr>
              <w:t>4分</w:t>
            </w:r>
          </w:p>
        </w:tc>
        <w:tc>
          <w:tcPr>
            <w:tcW w:w="6232" w:type="dxa"/>
            <w:gridSpan w:val="2"/>
            <w:noWrap w:val="0"/>
            <w:vAlign w:val="center"/>
          </w:tcPr>
          <w:p w14:paraId="4F1224CD">
            <w:pPr>
              <w:numPr>
                <w:ilvl w:val="0"/>
                <w:numId w:val="0"/>
              </w:num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2025年第二季度投标人或其总公司核心偿付能力充足率在190%以上（含190%）的得4分；核心偿付能力充足率在100%（含100%）～190%（不含）之间的得2分；核心偿付能力充足率在50%（含50%）～100%（不含）之间的得1分；核心偿付能力充足率在50%（不含）以下不得分。</w:t>
            </w:r>
          </w:p>
          <w:p w14:paraId="14A8AD99">
            <w:pPr>
              <w:numPr>
                <w:ilvl w:val="0"/>
                <w:numId w:val="0"/>
              </w:num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注：提供2025年第二季度偿付能力报告或证明材料的</w:t>
            </w:r>
            <w:r>
              <w:rPr>
                <w:rFonts w:hint="eastAsia" w:ascii="宋体" w:hAnsi="宋体" w:cs="宋体"/>
                <w:b/>
                <w:bCs w:val="0"/>
                <w:color w:val="auto"/>
                <w:sz w:val="18"/>
                <w:szCs w:val="18"/>
                <w:highlight w:val="none"/>
                <w:lang w:val="en-US" w:eastAsia="zh-CN" w:bidi="ar"/>
              </w:rPr>
              <w:t>原件彩色扫描件</w:t>
            </w:r>
          </w:p>
        </w:tc>
      </w:tr>
      <w:tr w14:paraId="333F5A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08" w:hRule="atLeast"/>
          <w:jc w:val="center"/>
        </w:trPr>
        <w:tc>
          <w:tcPr>
            <w:tcW w:w="717" w:type="dxa"/>
            <w:vMerge w:val="continue"/>
            <w:noWrap w:val="0"/>
            <w:vAlign w:val="center"/>
          </w:tcPr>
          <w:p w14:paraId="14B3E63E">
            <w:pPr>
              <w:spacing w:line="280" w:lineRule="exact"/>
              <w:rPr>
                <w:rFonts w:ascii="Times New Roman" w:hAnsi="Times New Roman"/>
                <w:color w:val="auto"/>
                <w:highlight w:val="none"/>
              </w:rPr>
            </w:pPr>
          </w:p>
        </w:tc>
        <w:tc>
          <w:tcPr>
            <w:tcW w:w="738" w:type="dxa"/>
            <w:vMerge w:val="continue"/>
            <w:noWrap w:val="0"/>
            <w:vAlign w:val="center"/>
          </w:tcPr>
          <w:p w14:paraId="244C8EAD">
            <w:pPr>
              <w:spacing w:line="280" w:lineRule="exact"/>
              <w:rPr>
                <w:rFonts w:hint="eastAsia" w:ascii="宋体" w:hAnsi="宋体" w:cs="宋体"/>
                <w:color w:val="auto"/>
                <w:sz w:val="24"/>
                <w:szCs w:val="24"/>
                <w:highlight w:val="none"/>
              </w:rPr>
            </w:pPr>
          </w:p>
        </w:tc>
        <w:tc>
          <w:tcPr>
            <w:tcW w:w="900" w:type="dxa"/>
            <w:vMerge w:val="continue"/>
            <w:noWrap w:val="0"/>
            <w:vAlign w:val="center"/>
          </w:tcPr>
          <w:p w14:paraId="3D47B895">
            <w:pPr>
              <w:rPr>
                <w:rFonts w:hint="eastAsia" w:ascii="宋体" w:hAnsi="宋体" w:cs="宋体"/>
                <w:bCs/>
                <w:color w:val="auto"/>
                <w:sz w:val="18"/>
                <w:szCs w:val="18"/>
                <w:highlight w:val="none"/>
                <w:lang w:val="en-US" w:eastAsia="zh-CN" w:bidi="ar"/>
              </w:rPr>
            </w:pPr>
          </w:p>
        </w:tc>
        <w:tc>
          <w:tcPr>
            <w:tcW w:w="735" w:type="dxa"/>
            <w:noWrap w:val="0"/>
            <w:vAlign w:val="center"/>
          </w:tcPr>
          <w:p w14:paraId="01A3B402">
            <w:pPr>
              <w:keepNext w:val="0"/>
              <w:keepLines w:val="0"/>
              <w:widowControl/>
              <w:suppressLineNumbers w:val="0"/>
              <w:spacing w:line="240" w:lineRule="auto"/>
              <w:jc w:val="center"/>
              <w:rPr>
                <w:rFonts w:hint="eastAsia" w:ascii="宋体" w:hAnsi="宋体" w:eastAsia="宋体" w:cs="宋体"/>
                <w:i w:val="0"/>
                <w:iCs w:val="0"/>
                <w:color w:val="auto"/>
                <w:sz w:val="21"/>
                <w:szCs w:val="21"/>
                <w:highlight w:val="none"/>
                <w:u w:val="none"/>
                <w:lang w:val="en-US" w:eastAsia="zh-CN" w:bidi="ar"/>
              </w:rPr>
            </w:pPr>
            <w:r>
              <w:rPr>
                <w:rFonts w:hint="eastAsia" w:ascii="宋体" w:hAnsi="宋体" w:eastAsia="宋体" w:cs="宋体"/>
                <w:i w:val="0"/>
                <w:iCs w:val="0"/>
                <w:color w:val="auto"/>
                <w:sz w:val="21"/>
                <w:szCs w:val="21"/>
                <w:highlight w:val="none"/>
                <w:u w:val="none"/>
                <w:lang w:val="en-US" w:eastAsia="zh-CN" w:bidi="ar"/>
              </w:rPr>
              <w:t>4分</w:t>
            </w:r>
          </w:p>
        </w:tc>
        <w:tc>
          <w:tcPr>
            <w:tcW w:w="6232" w:type="dxa"/>
            <w:gridSpan w:val="2"/>
            <w:noWrap w:val="0"/>
            <w:vAlign w:val="center"/>
          </w:tcPr>
          <w:p w14:paraId="42418BB4">
            <w:pPr>
              <w:numPr>
                <w:ilvl w:val="0"/>
                <w:numId w:val="0"/>
              </w:num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2025年第二季度投标供应商或其总公司综合偿付能力充足率在200%以上（不含200%）的得4分；综合偿付能力充足率在150%（不含150%）～200%（含）之间的得2分；综合偿付能力充足率在100%（含100%）～150%（含）之间的得1分；综合偿付能力充足率在100%（不含）以下不得分。</w:t>
            </w:r>
          </w:p>
          <w:p w14:paraId="1957F568">
            <w:pPr>
              <w:numPr>
                <w:ilvl w:val="0"/>
                <w:numId w:val="0"/>
              </w:num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注：提供2025年第二季度偿付能力报告</w:t>
            </w:r>
            <w:r>
              <w:rPr>
                <w:rFonts w:hint="eastAsia" w:ascii="宋体" w:hAnsi="宋体" w:cs="宋体"/>
                <w:b/>
                <w:bCs w:val="0"/>
                <w:color w:val="auto"/>
                <w:sz w:val="18"/>
                <w:szCs w:val="18"/>
                <w:highlight w:val="none"/>
                <w:lang w:val="en-US" w:eastAsia="zh-CN" w:bidi="ar"/>
              </w:rPr>
              <w:t>原件彩色扫描件</w:t>
            </w:r>
          </w:p>
        </w:tc>
      </w:tr>
      <w:tr w14:paraId="78AA65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7" w:hRule="atLeast"/>
          <w:jc w:val="center"/>
        </w:trPr>
        <w:tc>
          <w:tcPr>
            <w:tcW w:w="717" w:type="dxa"/>
            <w:vMerge w:val="continue"/>
            <w:noWrap w:val="0"/>
            <w:vAlign w:val="center"/>
          </w:tcPr>
          <w:p w14:paraId="1726B882">
            <w:pPr>
              <w:jc w:val="center"/>
              <w:rPr>
                <w:rFonts w:ascii="宋体" w:hAnsi="宋体"/>
                <w:color w:val="auto"/>
                <w:sz w:val="24"/>
                <w:highlight w:val="none"/>
              </w:rPr>
            </w:pPr>
          </w:p>
        </w:tc>
        <w:tc>
          <w:tcPr>
            <w:tcW w:w="738" w:type="dxa"/>
            <w:noWrap w:val="0"/>
            <w:vAlign w:val="center"/>
          </w:tcPr>
          <w:p w14:paraId="446F9E26">
            <w:pPr>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fldChar w:fldCharType="begin"/>
            </w:r>
            <w:r>
              <w:rPr>
                <w:rFonts w:hint="eastAsia" w:ascii="宋体" w:hAnsi="宋体" w:cs="宋体"/>
                <w:color w:val="auto"/>
                <w:sz w:val="24"/>
                <w:szCs w:val="24"/>
                <w:highlight w:val="none"/>
              </w:rPr>
              <w:instrText xml:space="preserve"> = 3 \* GB3 \* MERGEFORMAT </w:instrText>
            </w:r>
            <w:r>
              <w:rPr>
                <w:rFonts w:hint="eastAsia" w:ascii="宋体" w:hAnsi="宋体" w:cs="宋体"/>
                <w:color w:val="auto"/>
                <w:sz w:val="24"/>
                <w:szCs w:val="24"/>
                <w:highlight w:val="none"/>
              </w:rPr>
              <w:fldChar w:fldCharType="separate"/>
            </w:r>
            <w:r>
              <w:rPr>
                <w:rFonts w:hint="eastAsia" w:ascii="宋体" w:hAnsi="宋体" w:cs="宋体"/>
                <w:color w:val="auto"/>
                <w:sz w:val="24"/>
                <w:szCs w:val="24"/>
                <w:highlight w:val="none"/>
              </w:rPr>
              <w:t>③</w:t>
            </w:r>
            <w:r>
              <w:rPr>
                <w:rFonts w:hint="eastAsia" w:ascii="宋体" w:hAnsi="宋体" w:cs="宋体"/>
                <w:color w:val="auto"/>
                <w:sz w:val="24"/>
                <w:szCs w:val="24"/>
                <w:highlight w:val="none"/>
              </w:rPr>
              <w:fldChar w:fldCharType="end"/>
            </w:r>
          </w:p>
        </w:tc>
        <w:tc>
          <w:tcPr>
            <w:tcW w:w="900" w:type="dxa"/>
            <w:noWrap w:val="0"/>
            <w:vAlign w:val="center"/>
          </w:tcPr>
          <w:p w14:paraId="5696EE51">
            <w:p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风险评级</w:t>
            </w:r>
          </w:p>
        </w:tc>
        <w:tc>
          <w:tcPr>
            <w:tcW w:w="735" w:type="dxa"/>
            <w:noWrap w:val="0"/>
            <w:vAlign w:val="center"/>
          </w:tcPr>
          <w:p w14:paraId="4F2371D9">
            <w:pPr>
              <w:keepNext w:val="0"/>
              <w:keepLines w:val="0"/>
              <w:widowControl/>
              <w:suppressLineNumbers w:val="0"/>
              <w:spacing w:line="240" w:lineRule="auto"/>
              <w:jc w:val="center"/>
              <w:rPr>
                <w:rFonts w:hint="eastAsia" w:ascii="宋体" w:hAnsi="宋体" w:eastAsia="宋体" w:cs="宋体"/>
                <w:i w:val="0"/>
                <w:iCs w:val="0"/>
                <w:color w:val="auto"/>
                <w:sz w:val="21"/>
                <w:szCs w:val="21"/>
                <w:highlight w:val="none"/>
                <w:u w:val="none"/>
                <w:lang w:val="en-US" w:eastAsia="zh-CN" w:bidi="ar"/>
              </w:rPr>
            </w:pPr>
            <w:r>
              <w:rPr>
                <w:rFonts w:hint="eastAsia" w:ascii="宋体" w:hAnsi="宋体" w:eastAsia="宋体" w:cs="宋体"/>
                <w:i w:val="0"/>
                <w:iCs w:val="0"/>
                <w:color w:val="auto"/>
                <w:sz w:val="21"/>
                <w:szCs w:val="21"/>
                <w:highlight w:val="none"/>
                <w:u w:val="none"/>
                <w:lang w:val="en-US" w:eastAsia="zh-CN" w:bidi="ar"/>
              </w:rPr>
              <w:t>4分</w:t>
            </w:r>
          </w:p>
        </w:tc>
        <w:tc>
          <w:tcPr>
            <w:tcW w:w="6232" w:type="dxa"/>
            <w:gridSpan w:val="2"/>
            <w:noWrap w:val="0"/>
            <w:vAlign w:val="center"/>
          </w:tcPr>
          <w:p w14:paraId="0A2DE744">
            <w:pPr>
              <w:numPr>
                <w:ilvl w:val="0"/>
                <w:numId w:val="0"/>
              </w:num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供应商总公司在</w:t>
            </w:r>
            <w:r>
              <w:rPr>
                <w:rFonts w:hint="eastAsia" w:ascii="宋体" w:hAnsi="宋体" w:cs="宋体"/>
                <w:bCs/>
                <w:color w:val="FF0000"/>
                <w:sz w:val="18"/>
                <w:szCs w:val="18"/>
                <w:highlight w:val="none"/>
                <w:lang w:val="en-US" w:eastAsia="zh-CN" w:bidi="ar"/>
              </w:rPr>
              <w:t>202</w:t>
            </w:r>
            <w:bookmarkStart w:id="194" w:name="_GoBack"/>
            <w:bookmarkEnd w:id="194"/>
            <w:r>
              <w:rPr>
                <w:rFonts w:hint="eastAsia" w:ascii="宋体" w:hAnsi="宋体" w:cs="宋体"/>
                <w:bCs/>
                <w:color w:val="FF0000"/>
                <w:sz w:val="18"/>
                <w:szCs w:val="18"/>
                <w:highlight w:val="none"/>
                <w:lang w:val="en-US" w:eastAsia="zh-CN" w:bidi="ar"/>
              </w:rPr>
              <w:t>4年第四季度风险综合评级中</w:t>
            </w:r>
            <w:r>
              <w:rPr>
                <w:rFonts w:hint="eastAsia" w:ascii="宋体" w:hAnsi="宋体" w:cs="宋体"/>
                <w:bCs/>
                <w:color w:val="auto"/>
                <w:sz w:val="18"/>
                <w:szCs w:val="18"/>
                <w:highlight w:val="none"/>
                <w:lang w:val="en-US" w:eastAsia="zh-CN" w:bidi="ar"/>
              </w:rPr>
              <w:t>，获得AA级及以上评级的得4分，A级评级的得2分; A级(不含)评级以下的得1分。</w:t>
            </w:r>
          </w:p>
          <w:p w14:paraId="714A35BE">
            <w:pPr>
              <w:numPr>
                <w:ilvl w:val="0"/>
                <w:numId w:val="0"/>
              </w:num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注：投标文件中须提</w:t>
            </w:r>
            <w:r>
              <w:rPr>
                <w:rFonts w:hint="eastAsia" w:ascii="宋体" w:hAnsi="宋体" w:cs="宋体"/>
                <w:bCs/>
                <w:color w:val="FF0000"/>
                <w:sz w:val="18"/>
                <w:szCs w:val="18"/>
                <w:highlight w:val="none"/>
                <w:lang w:val="en-US" w:eastAsia="zh-CN" w:bidi="ar"/>
              </w:rPr>
              <w:t>供2024年第四季度的《</w:t>
            </w:r>
            <w:r>
              <w:rPr>
                <w:rFonts w:hint="eastAsia" w:ascii="宋体" w:hAnsi="宋体" w:cs="宋体"/>
                <w:bCs/>
                <w:color w:val="auto"/>
                <w:sz w:val="18"/>
                <w:szCs w:val="18"/>
                <w:highlight w:val="none"/>
                <w:lang w:val="en-US" w:eastAsia="zh-CN" w:bidi="ar"/>
              </w:rPr>
              <w:t>国家金融监督管理总局偿付能力监管信息系统》中分类监管评级信息的截图</w:t>
            </w:r>
            <w:r>
              <w:rPr>
                <w:rFonts w:hint="eastAsia" w:ascii="宋体" w:hAnsi="宋体" w:cs="宋体"/>
                <w:b/>
                <w:bCs w:val="0"/>
                <w:color w:val="auto"/>
                <w:sz w:val="18"/>
                <w:szCs w:val="18"/>
                <w:highlight w:val="none"/>
                <w:lang w:val="en-US" w:eastAsia="zh-CN" w:bidi="ar"/>
              </w:rPr>
              <w:t>原件彩色扫描件</w:t>
            </w:r>
            <w:r>
              <w:rPr>
                <w:rFonts w:hint="eastAsia" w:ascii="宋体" w:hAnsi="宋体" w:cs="宋体"/>
                <w:bCs/>
                <w:color w:val="auto"/>
                <w:sz w:val="18"/>
                <w:szCs w:val="18"/>
                <w:highlight w:val="none"/>
                <w:lang w:val="en-US" w:eastAsia="zh-CN" w:bidi="ar"/>
              </w:rPr>
              <w:t>，未提供不得分。</w:t>
            </w:r>
          </w:p>
        </w:tc>
      </w:tr>
      <w:tr w14:paraId="77230D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2" w:hRule="atLeast"/>
          <w:jc w:val="center"/>
        </w:trPr>
        <w:tc>
          <w:tcPr>
            <w:tcW w:w="717" w:type="dxa"/>
            <w:vMerge w:val="continue"/>
            <w:noWrap w:val="0"/>
            <w:vAlign w:val="center"/>
          </w:tcPr>
          <w:p w14:paraId="7577BF8E">
            <w:pPr>
              <w:jc w:val="center"/>
              <w:rPr>
                <w:rFonts w:ascii="宋体" w:hAnsi="宋体"/>
                <w:color w:val="auto"/>
                <w:sz w:val="24"/>
                <w:highlight w:val="none"/>
              </w:rPr>
            </w:pPr>
          </w:p>
        </w:tc>
        <w:tc>
          <w:tcPr>
            <w:tcW w:w="738" w:type="dxa"/>
            <w:noWrap w:val="0"/>
            <w:vAlign w:val="center"/>
          </w:tcPr>
          <w:p w14:paraId="72C44E5B">
            <w:pPr>
              <w:jc w:val="center"/>
              <w:rPr>
                <w:rFonts w:hint="eastAsia" w:ascii="宋体" w:hAnsi="宋体" w:cs="宋体"/>
                <w:color w:val="auto"/>
                <w:sz w:val="24"/>
                <w:szCs w:val="24"/>
                <w:highlight w:val="none"/>
              </w:rPr>
            </w:pPr>
            <w:r>
              <w:rPr>
                <w:rFonts w:ascii="宋体" w:hAnsi="宋体" w:cs="宋体"/>
                <w:color w:val="auto"/>
                <w:sz w:val="24"/>
                <w:szCs w:val="24"/>
                <w:highlight w:val="none"/>
              </w:rPr>
              <w:fldChar w:fldCharType="begin"/>
            </w:r>
            <w:r>
              <w:rPr>
                <w:rFonts w:ascii="宋体" w:hAnsi="宋体" w:cs="宋体"/>
                <w:color w:val="auto"/>
                <w:sz w:val="24"/>
                <w:szCs w:val="24"/>
                <w:highlight w:val="none"/>
              </w:rPr>
              <w:instrText xml:space="preserve"> </w:instrText>
            </w:r>
            <w:r>
              <w:rPr>
                <w:rFonts w:hint="eastAsia" w:ascii="宋体" w:hAnsi="宋体" w:cs="宋体"/>
                <w:color w:val="auto"/>
                <w:sz w:val="24"/>
                <w:szCs w:val="24"/>
                <w:highlight w:val="none"/>
              </w:rPr>
              <w:instrText xml:space="preserve">= 4 \* GB3</w:instrText>
            </w:r>
            <w:r>
              <w:rPr>
                <w:rFonts w:ascii="宋体" w:hAnsi="宋体" w:cs="宋体"/>
                <w:color w:val="auto"/>
                <w:sz w:val="24"/>
                <w:szCs w:val="24"/>
                <w:highlight w:val="none"/>
              </w:rPr>
              <w:instrText xml:space="preserve"> </w:instrText>
            </w:r>
            <w:r>
              <w:rPr>
                <w:rFonts w:ascii="宋体" w:hAnsi="宋体" w:cs="宋体"/>
                <w:color w:val="auto"/>
                <w:sz w:val="24"/>
                <w:szCs w:val="24"/>
                <w:highlight w:val="none"/>
              </w:rPr>
              <w:fldChar w:fldCharType="separate"/>
            </w:r>
            <w:r>
              <w:rPr>
                <w:rFonts w:hint="eastAsia" w:ascii="宋体" w:hAnsi="宋体" w:cs="宋体"/>
                <w:color w:val="auto"/>
                <w:sz w:val="24"/>
                <w:szCs w:val="24"/>
                <w:highlight w:val="none"/>
              </w:rPr>
              <w:t>④</w:t>
            </w:r>
            <w:r>
              <w:rPr>
                <w:rFonts w:ascii="宋体" w:hAnsi="宋体" w:cs="宋体"/>
                <w:color w:val="auto"/>
                <w:sz w:val="24"/>
                <w:szCs w:val="24"/>
                <w:highlight w:val="none"/>
              </w:rPr>
              <w:fldChar w:fldCharType="end"/>
            </w:r>
          </w:p>
        </w:tc>
        <w:tc>
          <w:tcPr>
            <w:tcW w:w="900" w:type="dxa"/>
            <w:noWrap w:val="0"/>
            <w:vAlign w:val="center"/>
          </w:tcPr>
          <w:p w14:paraId="247FD47C">
            <w:p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企业荣誉</w:t>
            </w:r>
          </w:p>
        </w:tc>
        <w:tc>
          <w:tcPr>
            <w:tcW w:w="735" w:type="dxa"/>
            <w:noWrap w:val="0"/>
            <w:vAlign w:val="center"/>
          </w:tcPr>
          <w:p w14:paraId="74F82BF5">
            <w:pPr>
              <w:keepNext w:val="0"/>
              <w:keepLines w:val="0"/>
              <w:widowControl/>
              <w:suppressLineNumbers w:val="0"/>
              <w:spacing w:line="240" w:lineRule="auto"/>
              <w:jc w:val="center"/>
              <w:rPr>
                <w:rFonts w:hint="eastAsia" w:ascii="宋体" w:hAnsi="宋体" w:cs="宋体"/>
                <w:color w:val="auto"/>
                <w:sz w:val="24"/>
                <w:highlight w:val="none"/>
                <w:lang w:val="en-US" w:eastAsia="zh-CN" w:bidi="ar"/>
              </w:rPr>
            </w:pPr>
            <w:r>
              <w:rPr>
                <w:rFonts w:hint="eastAsia" w:ascii="宋体" w:hAnsi="宋体" w:eastAsia="宋体" w:cs="宋体"/>
                <w:i w:val="0"/>
                <w:iCs w:val="0"/>
                <w:color w:val="auto"/>
                <w:sz w:val="21"/>
                <w:szCs w:val="21"/>
                <w:highlight w:val="none"/>
                <w:u w:val="none"/>
                <w:lang w:val="en-US" w:eastAsia="zh-CN" w:bidi="ar"/>
              </w:rPr>
              <w:t>3分</w:t>
            </w:r>
          </w:p>
        </w:tc>
        <w:tc>
          <w:tcPr>
            <w:tcW w:w="6232" w:type="dxa"/>
            <w:gridSpan w:val="2"/>
            <w:noWrap w:val="0"/>
            <w:vAlign w:val="center"/>
          </w:tcPr>
          <w:p w14:paraId="70FE7A26">
            <w:pPr>
              <w:numPr>
                <w:ilvl w:val="0"/>
                <w:numId w:val="0"/>
              </w:num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供应商自2021年1月1日至开标之日止【不含开标当天】获得国家级荣誉表彰的，得3分；获省级荣誉表彰的，得1分；获市级荣誉表彰的，得0.5分，本小项不重复计分，只取单项奖励最高分。</w:t>
            </w:r>
          </w:p>
          <w:p w14:paraId="2D0FFCB9">
            <w:pPr>
              <w:numPr>
                <w:ilvl w:val="0"/>
                <w:numId w:val="0"/>
              </w:num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注：各项荣誉表彰必须是投标人或其上级公司取得的，投标文件中需提供获得荣誉表彰的证明材料原件彩色扫描件，未提供的不得分【时间以证书上面的时间为准】。</w:t>
            </w:r>
          </w:p>
        </w:tc>
      </w:tr>
      <w:tr w14:paraId="1D2032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2" w:hRule="atLeast"/>
          <w:jc w:val="center"/>
        </w:trPr>
        <w:tc>
          <w:tcPr>
            <w:tcW w:w="717" w:type="dxa"/>
            <w:vMerge w:val="continue"/>
            <w:noWrap w:val="0"/>
            <w:vAlign w:val="center"/>
          </w:tcPr>
          <w:p w14:paraId="24FC0607">
            <w:pPr>
              <w:jc w:val="center"/>
              <w:rPr>
                <w:rFonts w:ascii="宋体" w:hAnsi="宋体"/>
                <w:color w:val="auto"/>
                <w:sz w:val="24"/>
                <w:highlight w:val="none"/>
              </w:rPr>
            </w:pPr>
          </w:p>
        </w:tc>
        <w:tc>
          <w:tcPr>
            <w:tcW w:w="738" w:type="dxa"/>
            <w:noWrap w:val="0"/>
            <w:vAlign w:val="center"/>
          </w:tcPr>
          <w:p w14:paraId="68B11DCC">
            <w:pPr>
              <w:jc w:val="center"/>
              <w:rPr>
                <w:rFonts w:ascii="宋体" w:hAnsi="宋体" w:cs="宋体"/>
                <w:color w:val="auto"/>
                <w:sz w:val="24"/>
                <w:szCs w:val="24"/>
                <w:highlight w:val="none"/>
              </w:rPr>
            </w:pPr>
            <w:r>
              <w:rPr>
                <w:rFonts w:hint="default" w:ascii="宋体" w:hAnsi="宋体" w:cs="宋体"/>
                <w:color w:val="auto"/>
                <w:sz w:val="24"/>
                <w:szCs w:val="24"/>
                <w:highlight w:val="none"/>
              </w:rPr>
              <w:t>⑤</w:t>
            </w:r>
          </w:p>
        </w:tc>
        <w:tc>
          <w:tcPr>
            <w:tcW w:w="900" w:type="dxa"/>
            <w:noWrap w:val="0"/>
            <w:vAlign w:val="center"/>
          </w:tcPr>
          <w:p w14:paraId="3A9402C0">
            <w:pPr>
              <w:rPr>
                <w:rFonts w:hint="default"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保险服务质量指数</w:t>
            </w:r>
          </w:p>
        </w:tc>
        <w:tc>
          <w:tcPr>
            <w:tcW w:w="735" w:type="dxa"/>
            <w:noWrap w:val="0"/>
            <w:vAlign w:val="center"/>
          </w:tcPr>
          <w:p w14:paraId="329439AD">
            <w:pPr>
              <w:keepNext w:val="0"/>
              <w:keepLines w:val="0"/>
              <w:widowControl/>
              <w:suppressLineNumbers w:val="0"/>
              <w:spacing w:line="240" w:lineRule="auto"/>
              <w:jc w:val="center"/>
              <w:rPr>
                <w:rFonts w:hint="eastAsia" w:ascii="宋体" w:hAnsi="宋体" w:eastAsia="宋体" w:cs="宋体"/>
                <w:i w:val="0"/>
                <w:iCs w:val="0"/>
                <w:color w:val="auto"/>
                <w:sz w:val="21"/>
                <w:szCs w:val="21"/>
                <w:highlight w:val="none"/>
                <w:u w:val="none"/>
                <w:lang w:val="en-US" w:eastAsia="zh-CN" w:bidi="ar"/>
              </w:rPr>
            </w:pPr>
            <w:r>
              <w:rPr>
                <w:rFonts w:hint="eastAsia" w:ascii="宋体" w:hAnsi="宋体" w:eastAsia="宋体" w:cs="宋体"/>
                <w:i w:val="0"/>
                <w:iCs w:val="0"/>
                <w:color w:val="auto"/>
                <w:sz w:val="21"/>
                <w:szCs w:val="21"/>
                <w:highlight w:val="none"/>
                <w:u w:val="none"/>
                <w:lang w:val="en-US" w:eastAsia="zh-CN" w:bidi="ar"/>
              </w:rPr>
              <w:t>6分</w:t>
            </w:r>
          </w:p>
        </w:tc>
        <w:tc>
          <w:tcPr>
            <w:tcW w:w="6232" w:type="dxa"/>
            <w:gridSpan w:val="2"/>
            <w:noWrap w:val="0"/>
            <w:vAlign w:val="center"/>
          </w:tcPr>
          <w:p w14:paraId="377BBAAB">
            <w:pPr>
              <w:numPr>
                <w:ilvl w:val="0"/>
                <w:numId w:val="0"/>
              </w:num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供应商总公司在</w:t>
            </w:r>
            <w:r>
              <w:rPr>
                <w:rFonts w:hint="eastAsia" w:ascii="宋体" w:hAnsi="宋体" w:cs="宋体"/>
                <w:bCs/>
                <w:color w:val="FF0000"/>
                <w:sz w:val="18"/>
                <w:szCs w:val="18"/>
                <w:highlight w:val="none"/>
                <w:lang w:val="en-US" w:eastAsia="zh-CN" w:bidi="ar"/>
              </w:rPr>
              <w:t>2024年度参与财险公司保险</w:t>
            </w:r>
            <w:r>
              <w:rPr>
                <w:rFonts w:hint="eastAsia" w:ascii="宋体" w:hAnsi="宋体" w:cs="宋体"/>
                <w:bCs/>
                <w:color w:val="auto"/>
                <w:sz w:val="18"/>
                <w:szCs w:val="18"/>
                <w:highlight w:val="none"/>
                <w:lang w:val="en-US" w:eastAsia="zh-CN" w:bidi="ar"/>
              </w:rPr>
              <w:t>服务质量指数评价中，服务质量指数达到90%（含）及以上的6分，80%（含）～90%（不含）得3分；80%（不含）以下得1分。</w:t>
            </w:r>
          </w:p>
          <w:p w14:paraId="359B65B1">
            <w:pPr>
              <w:numPr>
                <w:ilvl w:val="0"/>
                <w:numId w:val="0"/>
              </w:numPr>
              <w:rPr>
                <w:rFonts w:hint="eastAsia"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注：1.投标文件中须提供中国银行保险信息技术管理有限公司官网公布内容查询</w:t>
            </w:r>
            <w:r>
              <w:rPr>
                <w:rFonts w:hint="eastAsia" w:ascii="宋体" w:hAnsi="宋体" w:cs="宋体"/>
                <w:b/>
                <w:bCs w:val="0"/>
                <w:color w:val="5B9BD5" w:themeColor="accent1"/>
                <w:sz w:val="18"/>
                <w:szCs w:val="18"/>
                <w:highlight w:val="none"/>
                <w:lang w:val="en-US" w:eastAsia="zh-CN" w:bidi="ar"/>
                <w14:textFill>
                  <w14:solidFill>
                    <w14:schemeClr w14:val="accent1"/>
                  </w14:solidFill>
                </w14:textFill>
              </w:rPr>
              <w:t>网页截图</w:t>
            </w:r>
            <w:r>
              <w:rPr>
                <w:rFonts w:hint="eastAsia" w:ascii="宋体" w:hAnsi="宋体" w:cs="宋体"/>
                <w:b/>
                <w:bCs w:val="0"/>
                <w:color w:val="auto"/>
                <w:sz w:val="18"/>
                <w:szCs w:val="18"/>
                <w:highlight w:val="none"/>
                <w:lang w:val="en-US" w:eastAsia="zh-CN" w:bidi="ar"/>
              </w:rPr>
              <w:t>原件彩色扫描件</w:t>
            </w:r>
            <w:r>
              <w:rPr>
                <w:rFonts w:hint="eastAsia" w:ascii="宋体" w:hAnsi="宋体" w:cs="宋体"/>
                <w:bCs/>
                <w:color w:val="auto"/>
                <w:sz w:val="18"/>
                <w:szCs w:val="18"/>
                <w:highlight w:val="none"/>
                <w:lang w:val="en-US" w:eastAsia="zh-CN" w:bidi="ar"/>
              </w:rPr>
              <w:t>，未提供不得分。</w:t>
            </w:r>
          </w:p>
          <w:p w14:paraId="6E6DB0AC">
            <w:pPr>
              <w:numPr>
                <w:ilvl w:val="0"/>
                <w:numId w:val="0"/>
              </w:numPr>
              <w:rPr>
                <w:rFonts w:hint="default" w:ascii="宋体" w:hAnsi="宋体" w:cs="宋体"/>
                <w:bCs/>
                <w:color w:val="auto"/>
                <w:sz w:val="18"/>
                <w:szCs w:val="18"/>
                <w:highlight w:val="none"/>
                <w:lang w:val="en-US" w:eastAsia="zh-CN" w:bidi="ar"/>
              </w:rPr>
            </w:pPr>
            <w:r>
              <w:rPr>
                <w:rFonts w:hint="eastAsia" w:ascii="宋体" w:hAnsi="宋体" w:cs="宋体"/>
                <w:bCs/>
                <w:color w:val="auto"/>
                <w:sz w:val="18"/>
                <w:szCs w:val="18"/>
                <w:highlight w:val="none"/>
                <w:lang w:val="en-US" w:eastAsia="zh-CN" w:bidi="ar"/>
              </w:rPr>
              <w:t>2.</w:t>
            </w:r>
            <w:r>
              <w:rPr>
                <w:rFonts w:hint="default" w:ascii="宋体" w:hAnsi="宋体" w:cs="宋体"/>
                <w:bCs/>
                <w:color w:val="auto"/>
                <w:sz w:val="18"/>
                <w:szCs w:val="18"/>
                <w:highlight w:val="none"/>
                <w:lang w:val="en-US" w:eastAsia="zh-CN" w:bidi="ar"/>
              </w:rPr>
              <w:t>各公司可通过专线</w:t>
            </w:r>
            <w:r>
              <w:rPr>
                <w:rFonts w:hint="eastAsia" w:ascii="宋体" w:hAnsi="宋体" w:cs="宋体"/>
                <w:bCs/>
                <w:color w:val="auto"/>
                <w:sz w:val="18"/>
                <w:szCs w:val="18"/>
                <w:highlight w:val="none"/>
                <w:lang w:val="en-US" w:eastAsia="zh-CN" w:bidi="ar"/>
              </w:rPr>
              <w:t>登录</w:t>
            </w:r>
            <w:r>
              <w:rPr>
                <w:rFonts w:hint="default" w:ascii="宋体" w:hAnsi="宋体" w:cs="宋体"/>
                <w:bCs/>
                <w:color w:val="auto"/>
                <w:sz w:val="18"/>
                <w:szCs w:val="18"/>
                <w:highlight w:val="none"/>
                <w:lang w:val="en-US" w:eastAsia="zh-CN" w:bidi="ar"/>
              </w:rPr>
              <w:t>网址</w:t>
            </w:r>
            <w:r>
              <w:rPr>
                <w:rFonts w:hint="eastAsia" w:ascii="宋体" w:hAnsi="宋体" w:cs="宋体"/>
                <w:bCs/>
                <w:color w:val="auto"/>
                <w:sz w:val="18"/>
                <w:szCs w:val="18"/>
                <w:highlight w:val="none"/>
                <w:lang w:val="en-US" w:eastAsia="zh-CN" w:bidi="ar"/>
              </w:rPr>
              <w:t>查询</w:t>
            </w:r>
          </w:p>
          <w:p w14:paraId="1B6BAA67">
            <w:pPr>
              <w:numPr>
                <w:ilvl w:val="0"/>
                <w:numId w:val="0"/>
              </w:numPr>
              <w:rPr>
                <w:rFonts w:hint="default" w:ascii="宋体" w:hAnsi="宋体" w:cs="宋体"/>
                <w:bCs/>
                <w:color w:val="auto"/>
                <w:sz w:val="18"/>
                <w:szCs w:val="18"/>
                <w:highlight w:val="none"/>
                <w:lang w:val="en-US" w:eastAsia="zh-CN" w:bidi="ar"/>
              </w:rPr>
            </w:pPr>
            <w:r>
              <w:rPr>
                <w:rFonts w:hint="default" w:ascii="宋体" w:hAnsi="宋体" w:cs="宋体"/>
                <w:bCs/>
                <w:color w:val="auto"/>
                <w:sz w:val="18"/>
                <w:szCs w:val="18"/>
                <w:highlight w:val="none"/>
                <w:lang w:val="en-US" w:eastAsia="zh-CN" w:bidi="ar"/>
              </w:rPr>
              <w:t xml:space="preserve"> http://88.88.55.1:6569/sqi，查询本公司当期保险服务质量</w:t>
            </w:r>
          </w:p>
          <w:p w14:paraId="631CECA9">
            <w:pPr>
              <w:numPr>
                <w:ilvl w:val="0"/>
                <w:numId w:val="0"/>
              </w:numPr>
              <w:rPr>
                <w:rFonts w:hint="default" w:ascii="宋体" w:hAnsi="宋体" w:cs="宋体"/>
                <w:bCs/>
                <w:color w:val="auto"/>
                <w:sz w:val="18"/>
                <w:szCs w:val="18"/>
                <w:highlight w:val="none"/>
                <w:lang w:val="en-US" w:eastAsia="zh-CN" w:bidi="ar"/>
              </w:rPr>
            </w:pPr>
            <w:r>
              <w:rPr>
                <w:rFonts w:hint="default" w:ascii="宋体" w:hAnsi="宋体" w:cs="宋体"/>
                <w:bCs/>
                <w:color w:val="auto"/>
                <w:sz w:val="18"/>
                <w:szCs w:val="18"/>
                <w:highlight w:val="none"/>
                <w:lang w:val="en-US" w:eastAsia="zh-CN" w:bidi="ar"/>
              </w:rPr>
              <w:t>指数的总指数、维度指数、指标得分及表征行业水平的服务质量</w:t>
            </w:r>
          </w:p>
          <w:p w14:paraId="7A053CA1">
            <w:pPr>
              <w:numPr>
                <w:ilvl w:val="0"/>
                <w:numId w:val="0"/>
              </w:numPr>
              <w:rPr>
                <w:rFonts w:hint="default" w:ascii="宋体" w:hAnsi="宋体" w:cs="宋体"/>
                <w:bCs/>
                <w:color w:val="auto"/>
                <w:sz w:val="18"/>
                <w:szCs w:val="18"/>
                <w:highlight w:val="none"/>
                <w:lang w:val="en-US" w:eastAsia="zh-CN" w:bidi="ar"/>
              </w:rPr>
            </w:pPr>
            <w:r>
              <w:rPr>
                <w:rFonts w:hint="default" w:ascii="宋体" w:hAnsi="宋体" w:cs="宋体"/>
                <w:bCs/>
                <w:color w:val="auto"/>
                <w:sz w:val="18"/>
                <w:szCs w:val="18"/>
                <w:highlight w:val="none"/>
                <w:lang w:val="en-US" w:eastAsia="zh-CN" w:bidi="ar"/>
              </w:rPr>
              <w:t>指数、维度指数与指标得分，也可查询往期指数相关信息。</w:t>
            </w:r>
          </w:p>
        </w:tc>
      </w:tr>
      <w:tr w14:paraId="330199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4" w:hRule="atLeast"/>
          <w:jc w:val="center"/>
        </w:trPr>
        <w:tc>
          <w:tcPr>
            <w:tcW w:w="717" w:type="dxa"/>
            <w:noWrap w:val="0"/>
            <w:vAlign w:val="center"/>
          </w:tcPr>
          <w:p w14:paraId="251D5ECE">
            <w:pPr>
              <w:widowControl/>
              <w:spacing w:line="360" w:lineRule="exact"/>
              <w:jc w:val="center"/>
              <w:rPr>
                <w:rFonts w:hint="eastAsia" w:ascii="宋体" w:hAnsi="宋体" w:cs="宋体" w:eastAsiaTheme="minorEastAsia"/>
                <w:color w:val="auto"/>
                <w:sz w:val="24"/>
                <w:highlight w:val="none"/>
                <w:lang w:val="en-US" w:eastAsia="zh-CN"/>
              </w:rPr>
            </w:pPr>
            <w:r>
              <w:rPr>
                <w:rFonts w:hint="eastAsia" w:ascii="宋体" w:hAnsi="宋体" w:cs="宋体"/>
                <w:color w:val="auto"/>
                <w:sz w:val="24"/>
                <w:highlight w:val="none"/>
                <w:lang w:val="en-US" w:eastAsia="zh-CN"/>
              </w:rPr>
              <w:t>3</w:t>
            </w:r>
          </w:p>
        </w:tc>
        <w:tc>
          <w:tcPr>
            <w:tcW w:w="8605" w:type="dxa"/>
            <w:gridSpan w:val="5"/>
            <w:noWrap w:val="0"/>
            <w:vAlign w:val="center"/>
          </w:tcPr>
          <w:p w14:paraId="37C8EA02">
            <w:pPr>
              <w:widowControl/>
              <w:spacing w:line="320" w:lineRule="exact"/>
              <w:jc w:val="left"/>
              <w:rPr>
                <w:rFonts w:hint="default" w:ascii="宋体" w:hAnsi="宋体" w:cs="宋体" w:eastAsiaTheme="minorEastAsia"/>
                <w:color w:val="auto"/>
                <w:sz w:val="24"/>
                <w:szCs w:val="24"/>
                <w:highlight w:val="none"/>
                <w:lang w:val="en-US" w:eastAsia="zh-CN" w:bidi="ar"/>
              </w:rPr>
            </w:pPr>
            <w:r>
              <w:rPr>
                <w:rFonts w:hint="eastAsia" w:ascii="宋体" w:hAnsi="宋体" w:cs="宋体"/>
                <w:color w:val="auto"/>
                <w:sz w:val="24"/>
                <w:szCs w:val="24"/>
                <w:highlight w:val="none"/>
                <w:lang w:val="en-US" w:eastAsia="zh-CN" w:bidi="ar"/>
              </w:rPr>
              <w:t>服务方案（47分）</w:t>
            </w:r>
          </w:p>
        </w:tc>
      </w:tr>
      <w:tr w14:paraId="685605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50" w:hRule="atLeast"/>
          <w:jc w:val="center"/>
        </w:trPr>
        <w:tc>
          <w:tcPr>
            <w:tcW w:w="717" w:type="dxa"/>
            <w:vMerge w:val="restart"/>
            <w:noWrap w:val="0"/>
            <w:vAlign w:val="center"/>
          </w:tcPr>
          <w:p w14:paraId="5F35945D">
            <w:pPr>
              <w:numPr>
                <w:ilvl w:val="0"/>
                <w:numId w:val="0"/>
              </w:numPr>
              <w:rPr>
                <w:rFonts w:ascii="Times New Roman" w:hAnsi="Times New Roman"/>
                <w:color w:val="auto"/>
                <w:highlight w:val="none"/>
              </w:rPr>
            </w:pPr>
            <w:r>
              <w:rPr>
                <w:rFonts w:hint="eastAsia" w:ascii="宋体" w:hAnsi="宋体" w:eastAsia="宋体" w:cs="宋体"/>
                <w:color w:val="auto"/>
                <w:kern w:val="0"/>
                <w:sz w:val="18"/>
                <w:szCs w:val="18"/>
                <w:highlight w:val="none"/>
                <w:lang w:val="en-US" w:eastAsia="zh-CN"/>
              </w:rPr>
              <w:t>服务承诺</w:t>
            </w:r>
          </w:p>
        </w:tc>
        <w:tc>
          <w:tcPr>
            <w:tcW w:w="738" w:type="dxa"/>
            <w:vMerge w:val="restart"/>
            <w:noWrap w:val="0"/>
            <w:vAlign w:val="center"/>
          </w:tcPr>
          <w:p w14:paraId="3CEA948C">
            <w:pPr>
              <w:widowControl/>
              <w:spacing w:line="360" w:lineRule="exact"/>
              <w:jc w:val="center"/>
              <w:rPr>
                <w:rFonts w:ascii="Times New Roman" w:hAnsi="Times New Roman"/>
                <w:color w:val="auto"/>
                <w:highlight w:val="none"/>
              </w:rPr>
            </w:pPr>
          </w:p>
        </w:tc>
        <w:tc>
          <w:tcPr>
            <w:tcW w:w="900" w:type="dxa"/>
            <w:noWrap w:val="0"/>
            <w:vAlign w:val="center"/>
          </w:tcPr>
          <w:p w14:paraId="0F8502B2">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理赔服务承诺</w:t>
            </w:r>
          </w:p>
        </w:tc>
        <w:tc>
          <w:tcPr>
            <w:tcW w:w="735" w:type="dxa"/>
            <w:noWrap w:val="0"/>
            <w:vAlign w:val="center"/>
          </w:tcPr>
          <w:p w14:paraId="18460520">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30分</w:t>
            </w:r>
          </w:p>
        </w:tc>
        <w:tc>
          <w:tcPr>
            <w:tcW w:w="6232" w:type="dxa"/>
            <w:gridSpan w:val="2"/>
            <w:noWrap w:val="0"/>
            <w:vAlign w:val="top"/>
          </w:tcPr>
          <w:p w14:paraId="5DD9467C">
            <w:pPr>
              <w:numPr>
                <w:ilvl w:val="0"/>
                <w:numId w:val="0"/>
              </w:numPr>
              <w:rPr>
                <w:rFonts w:hint="eastAsia" w:ascii="宋体" w:hAnsi="宋体" w:cs="宋体"/>
                <w:bCs/>
                <w:color w:val="auto"/>
                <w:sz w:val="18"/>
                <w:szCs w:val="18"/>
                <w:highlight w:val="none"/>
                <w:lang w:bidi="ar"/>
              </w:rPr>
            </w:pPr>
            <w:r>
              <w:rPr>
                <w:rFonts w:hint="eastAsia" w:ascii="宋体" w:hAnsi="宋体" w:cs="宋体"/>
                <w:bCs/>
                <w:color w:val="auto"/>
                <w:sz w:val="18"/>
                <w:szCs w:val="18"/>
                <w:highlight w:val="none"/>
                <w:lang w:val="en-US" w:eastAsia="zh-CN" w:bidi="ar"/>
              </w:rPr>
              <w:t>1、</w:t>
            </w:r>
            <w:r>
              <w:rPr>
                <w:rFonts w:hint="eastAsia" w:ascii="宋体" w:hAnsi="宋体" w:cs="宋体"/>
                <w:bCs/>
                <w:color w:val="auto"/>
                <w:sz w:val="18"/>
                <w:szCs w:val="18"/>
                <w:highlight w:val="none"/>
                <w:lang w:bidi="ar"/>
              </w:rPr>
              <w:t>评标委员会根据</w:t>
            </w:r>
            <w:r>
              <w:rPr>
                <w:rFonts w:hint="eastAsia" w:ascii="宋体" w:hAnsi="宋体" w:cs="宋体"/>
                <w:color w:val="auto"/>
                <w:sz w:val="18"/>
                <w:szCs w:val="18"/>
                <w:highlight w:val="none"/>
                <w:lang w:val="zh-CN" w:bidi="ar"/>
              </w:rPr>
              <w:t>投标人</w:t>
            </w:r>
            <w:r>
              <w:rPr>
                <w:rFonts w:hint="eastAsia" w:ascii="宋体" w:hAnsi="宋体" w:cs="宋体"/>
                <w:color w:val="auto"/>
                <w:sz w:val="18"/>
                <w:szCs w:val="18"/>
                <w:highlight w:val="none"/>
                <w:lang w:val="en-US" w:eastAsia="zh-CN" w:bidi="ar"/>
              </w:rPr>
              <w:t>的项目服务团队（须包括：1）</w:t>
            </w:r>
            <w:r>
              <w:rPr>
                <w:rFonts w:hint="eastAsia" w:ascii="宋体" w:hAnsi="宋体" w:cs="宋体"/>
                <w:color w:val="auto"/>
                <w:sz w:val="18"/>
                <w:szCs w:val="18"/>
                <w:highlight w:val="none"/>
                <w:lang w:val="zh-CN" w:bidi="ar"/>
              </w:rPr>
              <w:t>对本项目的报案受理及接报处置的快速高效性、</w:t>
            </w:r>
            <w:r>
              <w:rPr>
                <w:rFonts w:hint="eastAsia" w:ascii="宋体" w:hAnsi="宋体" w:cs="宋体"/>
                <w:color w:val="auto"/>
                <w:sz w:val="18"/>
                <w:szCs w:val="18"/>
                <w:highlight w:val="none"/>
                <w:lang w:val="en-US" w:eastAsia="zh-CN" w:bidi="ar"/>
              </w:rPr>
              <w:t>2）</w:t>
            </w:r>
            <w:r>
              <w:rPr>
                <w:rFonts w:hint="eastAsia" w:ascii="宋体" w:hAnsi="宋体" w:cs="宋体"/>
                <w:color w:val="auto"/>
                <w:sz w:val="18"/>
                <w:szCs w:val="18"/>
                <w:highlight w:val="none"/>
                <w:lang w:val="zh-CN" w:bidi="ar"/>
              </w:rPr>
              <w:t>是否配备专项服务团队、</w:t>
            </w:r>
            <w:r>
              <w:rPr>
                <w:rFonts w:hint="eastAsia" w:ascii="宋体" w:hAnsi="宋体" w:cs="宋体"/>
                <w:color w:val="auto"/>
                <w:sz w:val="18"/>
                <w:szCs w:val="18"/>
                <w:highlight w:val="none"/>
                <w:lang w:val="en-US" w:eastAsia="zh-CN" w:bidi="ar"/>
              </w:rPr>
              <w:t>3）</w:t>
            </w:r>
            <w:r>
              <w:rPr>
                <w:rFonts w:hint="eastAsia" w:ascii="宋体" w:hAnsi="宋体" w:cs="宋体"/>
                <w:color w:val="auto"/>
                <w:sz w:val="18"/>
                <w:szCs w:val="18"/>
                <w:highlight w:val="none"/>
                <w:lang w:val="zh-CN" w:bidi="ar"/>
              </w:rPr>
              <w:t>查勘车辆配置是否齐全、</w:t>
            </w:r>
            <w:r>
              <w:rPr>
                <w:rFonts w:hint="eastAsia" w:ascii="宋体" w:hAnsi="宋体" w:cs="宋体"/>
                <w:color w:val="auto"/>
                <w:sz w:val="18"/>
                <w:szCs w:val="18"/>
                <w:highlight w:val="none"/>
                <w:lang w:val="en-US" w:eastAsia="zh-CN" w:bidi="ar"/>
              </w:rPr>
              <w:t>4）</w:t>
            </w:r>
            <w:r>
              <w:rPr>
                <w:rFonts w:hint="eastAsia" w:ascii="宋体" w:hAnsi="宋体" w:cs="宋体"/>
                <w:color w:val="auto"/>
                <w:sz w:val="18"/>
                <w:szCs w:val="18"/>
                <w:highlight w:val="none"/>
                <w:lang w:val="zh-CN" w:bidi="ar"/>
              </w:rPr>
              <w:t>拥有专业的理赔专家队伍人数等方面</w:t>
            </w:r>
            <w:r>
              <w:rPr>
                <w:rFonts w:hint="eastAsia" w:ascii="宋体" w:hAnsi="宋体" w:cs="宋体"/>
                <w:bCs/>
                <w:color w:val="auto"/>
                <w:sz w:val="18"/>
                <w:szCs w:val="18"/>
                <w:highlight w:val="none"/>
              </w:rPr>
              <w:t>）</w:t>
            </w:r>
            <w:r>
              <w:rPr>
                <w:rFonts w:hint="eastAsia" w:ascii="宋体" w:hAnsi="宋体" w:cs="宋体"/>
                <w:bCs/>
                <w:color w:val="auto"/>
                <w:sz w:val="18"/>
                <w:szCs w:val="18"/>
                <w:highlight w:val="none"/>
                <w:lang w:bidi="ar"/>
              </w:rPr>
              <w:t>进行评定，</w:t>
            </w:r>
          </w:p>
          <w:p w14:paraId="3CCA079C">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（1）内容详实、需求贴合度高且条理清晰的该条得</w:t>
            </w:r>
            <w:r>
              <w:rPr>
                <w:rFonts w:hint="eastAsia" w:ascii="宋体" w:hAnsi="宋体" w:cs="宋体"/>
                <w:color w:val="auto"/>
                <w:kern w:val="0"/>
                <w:sz w:val="18"/>
                <w:szCs w:val="18"/>
                <w:highlight w:val="none"/>
                <w:lang w:val="en-US" w:eastAsia="zh-CN"/>
              </w:rPr>
              <w:t>10</w:t>
            </w:r>
            <w:r>
              <w:rPr>
                <w:rFonts w:hint="eastAsia" w:ascii="宋体" w:hAnsi="宋体" w:eastAsia="宋体" w:cs="宋体"/>
                <w:color w:val="auto"/>
                <w:kern w:val="0"/>
                <w:sz w:val="18"/>
                <w:szCs w:val="18"/>
                <w:highlight w:val="none"/>
                <w:lang w:val="en-US" w:eastAsia="zh-CN"/>
              </w:rPr>
              <w:t>分；</w:t>
            </w:r>
          </w:p>
          <w:p w14:paraId="27C6EE7D">
            <w:p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（2）内容较为简单、可行、细节待完善的该条得</w:t>
            </w:r>
            <w:r>
              <w:rPr>
                <w:rFonts w:hint="eastAsia" w:ascii="宋体" w:hAnsi="宋体" w:cs="宋体"/>
                <w:color w:val="auto"/>
                <w:kern w:val="0"/>
                <w:sz w:val="18"/>
                <w:szCs w:val="18"/>
                <w:highlight w:val="none"/>
                <w:lang w:val="en-US" w:eastAsia="zh-CN"/>
              </w:rPr>
              <w:t>8</w:t>
            </w:r>
            <w:r>
              <w:rPr>
                <w:rFonts w:hint="eastAsia" w:ascii="宋体" w:hAnsi="宋体" w:eastAsia="宋体" w:cs="宋体"/>
                <w:color w:val="auto"/>
                <w:kern w:val="0"/>
                <w:sz w:val="18"/>
                <w:szCs w:val="18"/>
                <w:highlight w:val="none"/>
                <w:lang w:val="en-US" w:eastAsia="zh-CN"/>
              </w:rPr>
              <w:t>分；</w:t>
            </w:r>
          </w:p>
          <w:p w14:paraId="75EDB008">
            <w:p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（3）内容较为一般的得6分；</w:t>
            </w:r>
          </w:p>
          <w:p w14:paraId="39E3C736">
            <w:pPr>
              <w:widowControl/>
              <w:spacing w:line="320" w:lineRule="exact"/>
              <w:jc w:val="left"/>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（4）不符合或未提供不得分。</w:t>
            </w:r>
          </w:p>
          <w:p w14:paraId="454075A8">
            <w:pPr>
              <w:numPr>
                <w:ilvl w:val="0"/>
                <w:numId w:val="0"/>
              </w:numPr>
              <w:rPr>
                <w:rFonts w:hint="eastAsia" w:ascii="宋体" w:hAnsi="宋体" w:cs="宋体"/>
                <w:color w:val="auto"/>
                <w:sz w:val="18"/>
                <w:szCs w:val="18"/>
                <w:highlight w:val="none"/>
                <w:lang w:val="zh-CN" w:bidi="ar"/>
              </w:rPr>
            </w:pPr>
            <w:r>
              <w:rPr>
                <w:rFonts w:hint="eastAsia" w:ascii="宋体" w:hAnsi="宋体" w:cs="宋体"/>
                <w:color w:val="auto"/>
                <w:sz w:val="18"/>
                <w:szCs w:val="18"/>
                <w:highlight w:val="none"/>
                <w:lang w:val="en-US" w:eastAsia="zh-CN" w:bidi="ar"/>
              </w:rPr>
              <w:t>2、</w:t>
            </w:r>
            <w:r>
              <w:rPr>
                <w:rFonts w:hint="eastAsia" w:ascii="宋体" w:hAnsi="宋体" w:cs="宋体"/>
                <w:bCs/>
                <w:color w:val="auto"/>
                <w:sz w:val="18"/>
                <w:szCs w:val="18"/>
                <w:highlight w:val="none"/>
                <w:lang w:bidi="ar"/>
              </w:rPr>
              <w:t>评标委员会根据</w:t>
            </w:r>
            <w:r>
              <w:rPr>
                <w:rFonts w:hint="eastAsia" w:ascii="宋体" w:hAnsi="宋体" w:cs="宋体"/>
                <w:color w:val="auto"/>
                <w:sz w:val="18"/>
                <w:szCs w:val="18"/>
                <w:highlight w:val="none"/>
                <w:lang w:val="zh-CN" w:bidi="ar"/>
              </w:rPr>
              <w:t>投标人</w:t>
            </w:r>
            <w:r>
              <w:rPr>
                <w:rFonts w:hint="eastAsia" w:ascii="宋体" w:hAnsi="宋体" w:cs="宋体"/>
                <w:color w:val="auto"/>
                <w:sz w:val="18"/>
                <w:szCs w:val="18"/>
                <w:highlight w:val="none"/>
                <w:lang w:val="en-US" w:eastAsia="zh-CN" w:bidi="ar"/>
              </w:rPr>
              <w:t>的现场服务方案（须包括：1）</w:t>
            </w:r>
            <w:r>
              <w:rPr>
                <w:rFonts w:hint="eastAsia" w:ascii="宋体" w:hAnsi="宋体" w:cs="宋体"/>
                <w:color w:val="auto"/>
                <w:sz w:val="18"/>
                <w:szCs w:val="18"/>
                <w:highlight w:val="none"/>
                <w:lang w:val="zh-CN" w:bidi="ar"/>
              </w:rPr>
              <w:t>对本项目的承诺到达现场时间、</w:t>
            </w:r>
            <w:r>
              <w:rPr>
                <w:rFonts w:hint="eastAsia" w:ascii="宋体" w:hAnsi="宋体" w:cs="宋体"/>
                <w:color w:val="auto"/>
                <w:sz w:val="18"/>
                <w:szCs w:val="18"/>
                <w:highlight w:val="none"/>
                <w:lang w:val="en-US" w:eastAsia="zh-CN" w:bidi="ar"/>
              </w:rPr>
              <w:t>2）</w:t>
            </w:r>
            <w:r>
              <w:rPr>
                <w:rFonts w:hint="eastAsia" w:ascii="宋体" w:hAnsi="宋体" w:cs="宋体"/>
                <w:color w:val="auto"/>
                <w:sz w:val="18"/>
                <w:szCs w:val="18"/>
                <w:highlight w:val="none"/>
                <w:lang w:val="zh-CN" w:bidi="ar"/>
              </w:rPr>
              <w:t>承保出单、</w:t>
            </w:r>
            <w:r>
              <w:rPr>
                <w:rFonts w:hint="eastAsia" w:ascii="宋体" w:hAnsi="宋体" w:cs="宋体"/>
                <w:color w:val="auto"/>
                <w:sz w:val="18"/>
                <w:szCs w:val="18"/>
                <w:highlight w:val="none"/>
                <w:lang w:val="en-US" w:eastAsia="zh-CN" w:bidi="ar"/>
              </w:rPr>
              <w:t>3）</w:t>
            </w:r>
            <w:r>
              <w:rPr>
                <w:rFonts w:hint="eastAsia" w:ascii="宋体" w:hAnsi="宋体" w:cs="宋体"/>
                <w:color w:val="auto"/>
                <w:sz w:val="18"/>
                <w:szCs w:val="18"/>
                <w:highlight w:val="none"/>
                <w:lang w:val="zh-CN" w:bidi="ar"/>
              </w:rPr>
              <w:t>赔款时效、</w:t>
            </w:r>
            <w:r>
              <w:rPr>
                <w:rFonts w:hint="eastAsia" w:ascii="宋体" w:hAnsi="宋体" w:cs="宋体"/>
                <w:color w:val="auto"/>
                <w:sz w:val="18"/>
                <w:szCs w:val="18"/>
                <w:highlight w:val="none"/>
                <w:lang w:val="en-US" w:eastAsia="zh-CN" w:bidi="ar"/>
              </w:rPr>
              <w:t>4）</w:t>
            </w:r>
            <w:r>
              <w:rPr>
                <w:rFonts w:hint="eastAsia" w:ascii="宋体" w:hAnsi="宋体" w:cs="宋体"/>
                <w:color w:val="auto"/>
                <w:sz w:val="18"/>
                <w:szCs w:val="18"/>
                <w:highlight w:val="none"/>
                <w:lang w:val="zh-CN" w:bidi="ar"/>
              </w:rPr>
              <w:t>理赔权限的合理性和可行性等方面</w:t>
            </w:r>
            <w:r>
              <w:rPr>
                <w:rFonts w:hint="eastAsia" w:ascii="宋体" w:hAnsi="宋体" w:cs="宋体"/>
                <w:bCs/>
                <w:color w:val="auto"/>
                <w:sz w:val="18"/>
                <w:szCs w:val="18"/>
                <w:highlight w:val="none"/>
                <w:lang w:bidi="ar"/>
              </w:rPr>
              <w:t>）</w:t>
            </w:r>
            <w:r>
              <w:rPr>
                <w:rFonts w:hint="eastAsia" w:ascii="宋体" w:hAnsi="宋体" w:cs="宋体"/>
                <w:color w:val="auto"/>
                <w:sz w:val="18"/>
                <w:szCs w:val="18"/>
                <w:highlight w:val="none"/>
                <w:lang w:bidi="ar"/>
              </w:rPr>
              <w:t>进行评定</w:t>
            </w:r>
            <w:r>
              <w:rPr>
                <w:rFonts w:hint="eastAsia" w:ascii="宋体" w:hAnsi="宋体" w:cs="宋体"/>
                <w:color w:val="auto"/>
                <w:sz w:val="18"/>
                <w:szCs w:val="18"/>
                <w:highlight w:val="none"/>
                <w:lang w:val="zh-CN" w:bidi="ar"/>
              </w:rPr>
              <w:t>，</w:t>
            </w:r>
          </w:p>
          <w:p w14:paraId="3AFB17EB">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（1）内容详实、需求贴合度高且条理清晰的该条得</w:t>
            </w:r>
            <w:r>
              <w:rPr>
                <w:rFonts w:hint="eastAsia" w:ascii="宋体" w:hAnsi="宋体" w:cs="宋体"/>
                <w:color w:val="auto"/>
                <w:kern w:val="0"/>
                <w:sz w:val="18"/>
                <w:szCs w:val="18"/>
                <w:highlight w:val="none"/>
                <w:lang w:val="en-US" w:eastAsia="zh-CN"/>
              </w:rPr>
              <w:t>10</w:t>
            </w:r>
            <w:r>
              <w:rPr>
                <w:rFonts w:hint="eastAsia" w:ascii="宋体" w:hAnsi="宋体" w:eastAsia="宋体" w:cs="宋体"/>
                <w:color w:val="auto"/>
                <w:kern w:val="0"/>
                <w:sz w:val="18"/>
                <w:szCs w:val="18"/>
                <w:highlight w:val="none"/>
                <w:lang w:val="en-US" w:eastAsia="zh-CN"/>
              </w:rPr>
              <w:t>分；</w:t>
            </w:r>
          </w:p>
          <w:p w14:paraId="12B994E4">
            <w:p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（2）内容较为简单、可行、细节待完善的该条得</w:t>
            </w:r>
            <w:r>
              <w:rPr>
                <w:rFonts w:hint="eastAsia" w:ascii="宋体" w:hAnsi="宋体" w:cs="宋体"/>
                <w:color w:val="auto"/>
                <w:kern w:val="0"/>
                <w:sz w:val="18"/>
                <w:szCs w:val="18"/>
                <w:highlight w:val="none"/>
                <w:lang w:val="en-US" w:eastAsia="zh-CN"/>
              </w:rPr>
              <w:t>8</w:t>
            </w:r>
            <w:r>
              <w:rPr>
                <w:rFonts w:hint="eastAsia" w:ascii="宋体" w:hAnsi="宋体" w:eastAsia="宋体" w:cs="宋体"/>
                <w:color w:val="auto"/>
                <w:kern w:val="0"/>
                <w:sz w:val="18"/>
                <w:szCs w:val="18"/>
                <w:highlight w:val="none"/>
                <w:lang w:val="en-US" w:eastAsia="zh-CN"/>
              </w:rPr>
              <w:t>分；</w:t>
            </w:r>
          </w:p>
          <w:p w14:paraId="4F20C926">
            <w:p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（3）内容较为一般的得6分；</w:t>
            </w:r>
          </w:p>
          <w:p w14:paraId="5FCB88C2">
            <w:pPr>
              <w:widowControl/>
              <w:spacing w:line="320" w:lineRule="exact"/>
              <w:jc w:val="left"/>
              <w:rPr>
                <w:rFonts w:hint="eastAsia" w:ascii="宋体" w:hAnsi="宋体" w:eastAsia="宋体"/>
                <w:color w:val="auto"/>
                <w:sz w:val="18"/>
                <w:szCs w:val="18"/>
                <w:highlight w:val="none"/>
                <w:lang w:eastAsia="zh-CN"/>
              </w:rPr>
            </w:pPr>
            <w:r>
              <w:rPr>
                <w:rFonts w:hint="eastAsia" w:ascii="宋体" w:hAnsi="宋体" w:eastAsia="宋体" w:cs="宋体"/>
                <w:color w:val="auto"/>
                <w:kern w:val="0"/>
                <w:sz w:val="18"/>
                <w:szCs w:val="18"/>
                <w:highlight w:val="none"/>
                <w:lang w:val="en-US" w:eastAsia="zh-CN"/>
              </w:rPr>
              <w:t>（4）不符合或未提供不得分</w:t>
            </w:r>
          </w:p>
          <w:p w14:paraId="72E200EE">
            <w:pPr>
              <w:pStyle w:val="6"/>
              <w:keepNext w:val="0"/>
              <w:keepLines w:val="0"/>
              <w:widowControl/>
              <w:suppressLineNumbers w:val="0"/>
              <w:spacing w:before="0" w:beforeAutospacing="0" w:after="24" w:afterAutospacing="0" w:line="360" w:lineRule="atLeast"/>
              <w:ind w:left="0" w:right="0" w:firstLine="0"/>
              <w:rPr>
                <w:rFonts w:hint="eastAsia" w:ascii="宋体" w:hAnsi="宋体" w:eastAsia="宋体" w:cs="宋体"/>
                <w:bCs/>
                <w:color w:val="auto"/>
                <w:sz w:val="18"/>
                <w:szCs w:val="18"/>
                <w:highlight w:val="none"/>
                <w:lang w:val="zh-CN" w:bidi="ar"/>
              </w:rPr>
            </w:pPr>
            <w:r>
              <w:rPr>
                <w:rFonts w:hint="eastAsia" w:ascii="宋体" w:hAnsi="宋体" w:cs="宋体"/>
                <w:color w:val="auto"/>
                <w:sz w:val="18"/>
                <w:szCs w:val="18"/>
                <w:highlight w:val="none"/>
                <w:lang w:val="en-US" w:eastAsia="zh-CN" w:bidi="ar"/>
              </w:rPr>
              <w:t>3、</w:t>
            </w:r>
            <w:r>
              <w:rPr>
                <w:rFonts w:hint="eastAsia" w:ascii="宋体" w:hAnsi="宋体" w:cs="宋体"/>
                <w:bCs/>
                <w:color w:val="auto"/>
                <w:sz w:val="18"/>
                <w:szCs w:val="18"/>
                <w:highlight w:val="none"/>
                <w:lang w:bidi="ar"/>
              </w:rPr>
              <w:t>评标委员会根据各投标人的应急预案</w:t>
            </w:r>
            <w:r>
              <w:rPr>
                <w:rFonts w:hint="eastAsia" w:ascii="宋体" w:hAnsi="宋体" w:cs="宋体"/>
                <w:bCs/>
                <w:color w:val="auto"/>
                <w:sz w:val="18"/>
                <w:szCs w:val="18"/>
                <w:highlight w:val="none"/>
                <w:lang w:val="en-US" w:eastAsia="zh-CN" w:bidi="ar"/>
              </w:rPr>
              <w:t>措施</w:t>
            </w:r>
            <w:r>
              <w:rPr>
                <w:rFonts w:hint="eastAsia" w:ascii="宋体" w:hAnsi="宋体" w:cs="宋体"/>
                <w:bCs/>
                <w:color w:val="auto"/>
                <w:sz w:val="18"/>
                <w:szCs w:val="18"/>
                <w:highlight w:val="none"/>
                <w:lang w:bidi="ar"/>
              </w:rPr>
              <w:t>（</w:t>
            </w:r>
            <w:r>
              <w:rPr>
                <w:rFonts w:hint="eastAsia" w:ascii="宋体" w:hAnsi="宋体" w:cs="宋体"/>
                <w:bCs/>
                <w:color w:val="auto"/>
                <w:sz w:val="18"/>
                <w:szCs w:val="18"/>
                <w:highlight w:val="none"/>
                <w:lang w:val="en-US" w:eastAsia="zh-CN" w:bidi="ar"/>
              </w:rPr>
              <w:t>须包含：1）</w:t>
            </w:r>
            <w:r>
              <w:rPr>
                <w:rFonts w:hint="eastAsia" w:ascii="宋体" w:hAnsi="宋体" w:cs="宋体"/>
                <w:bCs/>
                <w:color w:val="auto"/>
                <w:sz w:val="18"/>
                <w:szCs w:val="18"/>
                <w:highlight w:val="none"/>
                <w:lang w:val="zh-CN" w:bidi="ar"/>
              </w:rPr>
              <w:t>日常</w:t>
            </w:r>
            <w:r>
              <w:rPr>
                <w:rFonts w:hint="eastAsia" w:ascii="宋体" w:hAnsi="宋体" w:cs="宋体"/>
                <w:color w:val="auto"/>
                <w:sz w:val="18"/>
                <w:szCs w:val="18"/>
                <w:highlight w:val="none"/>
                <w:lang w:val="zh-CN" w:bidi="ar"/>
              </w:rPr>
              <w:t>风险管理</w:t>
            </w:r>
            <w:r>
              <w:rPr>
                <w:rFonts w:hint="eastAsia" w:ascii="宋体" w:hAnsi="宋体" w:cs="宋体"/>
                <w:color w:val="auto"/>
                <w:sz w:val="18"/>
                <w:szCs w:val="18"/>
                <w:highlight w:val="none"/>
                <w:lang w:val="en-US" w:eastAsia="zh-CN" w:bidi="ar"/>
              </w:rPr>
              <w:t>；2）</w:t>
            </w:r>
            <w:r>
              <w:rPr>
                <w:rFonts w:hint="eastAsia" w:ascii="宋体" w:hAnsi="宋体" w:cs="宋体"/>
                <w:color w:val="auto"/>
                <w:sz w:val="18"/>
                <w:szCs w:val="18"/>
                <w:highlight w:val="none"/>
                <w:lang w:val="zh-CN" w:bidi="ar"/>
              </w:rPr>
              <w:t>重大事故处理预案</w:t>
            </w:r>
            <w:r>
              <w:rPr>
                <w:rFonts w:hint="eastAsia" w:ascii="宋体" w:hAnsi="宋体" w:cs="宋体"/>
                <w:color w:val="auto"/>
                <w:sz w:val="18"/>
                <w:szCs w:val="18"/>
                <w:highlight w:val="none"/>
                <w:lang w:val="en-US" w:eastAsia="zh-CN" w:bidi="ar"/>
              </w:rPr>
              <w:t>；3）客户权益保障措施；</w:t>
            </w:r>
            <w:r>
              <w:rPr>
                <w:rFonts w:hint="eastAsia" w:ascii="宋体" w:hAnsi="宋体" w:eastAsia="宋体" w:cs="宋体"/>
                <w:bCs/>
                <w:color w:val="auto"/>
                <w:sz w:val="18"/>
                <w:szCs w:val="18"/>
                <w:highlight w:val="none"/>
                <w:lang w:val="en-US" w:eastAsia="zh-CN" w:bidi="ar"/>
              </w:rPr>
              <w:t>4）</w:t>
            </w:r>
            <w:r>
              <w:rPr>
                <w:rFonts w:hint="default" w:ascii="宋体" w:hAnsi="宋体" w:eastAsia="宋体" w:cs="宋体"/>
                <w:bCs/>
                <w:color w:val="auto"/>
                <w:sz w:val="18"/>
                <w:szCs w:val="18"/>
                <w:highlight w:val="none"/>
                <w:lang w:bidi="ar"/>
              </w:rPr>
              <w:t>突发事件绿色通道专项措施</w:t>
            </w:r>
            <w:r>
              <w:rPr>
                <w:rFonts w:hint="eastAsia" w:ascii="宋体" w:hAnsi="宋体" w:eastAsia="宋体" w:cs="宋体"/>
                <w:bCs/>
                <w:color w:val="auto"/>
                <w:sz w:val="18"/>
                <w:szCs w:val="18"/>
                <w:highlight w:val="none"/>
                <w:lang w:bidi="ar"/>
              </w:rPr>
              <w:t>）进行评定</w:t>
            </w:r>
            <w:r>
              <w:rPr>
                <w:rFonts w:hint="eastAsia" w:ascii="宋体" w:hAnsi="宋体" w:eastAsia="宋体" w:cs="宋体"/>
                <w:bCs/>
                <w:color w:val="auto"/>
                <w:sz w:val="18"/>
                <w:szCs w:val="18"/>
                <w:highlight w:val="none"/>
                <w:lang w:val="zh-CN" w:bidi="ar"/>
              </w:rPr>
              <w:t>，</w:t>
            </w:r>
          </w:p>
          <w:p w14:paraId="7D646DAF">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（1）内容详实、需求贴合度高且条理清晰的该条得</w:t>
            </w:r>
            <w:r>
              <w:rPr>
                <w:rFonts w:hint="eastAsia" w:ascii="宋体" w:hAnsi="宋体" w:cs="宋体"/>
                <w:color w:val="auto"/>
                <w:kern w:val="0"/>
                <w:sz w:val="18"/>
                <w:szCs w:val="18"/>
                <w:highlight w:val="none"/>
                <w:lang w:val="en-US" w:eastAsia="zh-CN"/>
              </w:rPr>
              <w:t>10</w:t>
            </w:r>
            <w:r>
              <w:rPr>
                <w:rFonts w:hint="eastAsia" w:ascii="宋体" w:hAnsi="宋体" w:eastAsia="宋体" w:cs="宋体"/>
                <w:color w:val="auto"/>
                <w:kern w:val="0"/>
                <w:sz w:val="18"/>
                <w:szCs w:val="18"/>
                <w:highlight w:val="none"/>
                <w:lang w:val="en-US" w:eastAsia="zh-CN"/>
              </w:rPr>
              <w:t>分；</w:t>
            </w:r>
          </w:p>
          <w:p w14:paraId="1B5ADF55">
            <w:p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（2）内容较为简单、可行、细节待完善的该条得</w:t>
            </w:r>
            <w:r>
              <w:rPr>
                <w:rFonts w:hint="eastAsia" w:ascii="宋体" w:hAnsi="宋体" w:cs="宋体"/>
                <w:color w:val="auto"/>
                <w:kern w:val="0"/>
                <w:sz w:val="18"/>
                <w:szCs w:val="18"/>
                <w:highlight w:val="none"/>
                <w:lang w:val="en-US" w:eastAsia="zh-CN"/>
              </w:rPr>
              <w:t>8</w:t>
            </w:r>
            <w:r>
              <w:rPr>
                <w:rFonts w:hint="eastAsia" w:ascii="宋体" w:hAnsi="宋体" w:eastAsia="宋体" w:cs="宋体"/>
                <w:color w:val="auto"/>
                <w:kern w:val="0"/>
                <w:sz w:val="18"/>
                <w:szCs w:val="18"/>
                <w:highlight w:val="none"/>
                <w:lang w:val="en-US" w:eastAsia="zh-CN"/>
              </w:rPr>
              <w:t>分；</w:t>
            </w:r>
          </w:p>
          <w:p w14:paraId="05841676">
            <w:p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（3）内容较为一般的得6分；</w:t>
            </w:r>
          </w:p>
          <w:p w14:paraId="750B6F08">
            <w:pPr>
              <w:widowControl/>
              <w:spacing w:line="320" w:lineRule="exact"/>
              <w:jc w:val="left"/>
              <w:rPr>
                <w:rFonts w:hint="eastAsia" w:ascii="宋体" w:hAnsi="宋体" w:cs="宋体"/>
                <w:color w:val="auto"/>
                <w:sz w:val="18"/>
                <w:szCs w:val="18"/>
                <w:highlight w:val="none"/>
                <w:lang w:val="zh-CN" w:bidi="ar"/>
              </w:rPr>
            </w:pPr>
            <w:r>
              <w:rPr>
                <w:rFonts w:hint="eastAsia" w:ascii="宋体" w:hAnsi="宋体" w:eastAsia="宋体" w:cs="宋体"/>
                <w:color w:val="auto"/>
                <w:kern w:val="0"/>
                <w:sz w:val="18"/>
                <w:szCs w:val="18"/>
                <w:highlight w:val="none"/>
                <w:lang w:val="en-US" w:eastAsia="zh-CN"/>
              </w:rPr>
              <w:t>（4）不符合或未提供不得分</w:t>
            </w:r>
          </w:p>
          <w:p w14:paraId="041F1CCF">
            <w:pPr>
              <w:widowControl/>
              <w:spacing w:line="320" w:lineRule="exact"/>
              <w:jc w:val="left"/>
              <w:rPr>
                <w:rFonts w:ascii="宋体" w:hAnsi="宋体"/>
                <w:color w:val="auto"/>
                <w:sz w:val="24"/>
                <w:szCs w:val="24"/>
                <w:highlight w:val="none"/>
              </w:rPr>
            </w:pPr>
            <w:r>
              <w:rPr>
                <w:rFonts w:hint="eastAsia" w:ascii="宋体" w:hAnsi="宋体" w:cs="宋体"/>
                <w:color w:val="auto"/>
                <w:sz w:val="18"/>
                <w:szCs w:val="18"/>
                <w:highlight w:val="none"/>
              </w:rPr>
              <w:t>注：评标委员会对各个评审因素进行量化时，应当将量化指标建立在同一基础或者同一标准上，使各投标文件具有可比性。</w:t>
            </w:r>
          </w:p>
        </w:tc>
      </w:tr>
      <w:tr w14:paraId="387758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2" w:hRule="atLeast"/>
          <w:jc w:val="center"/>
        </w:trPr>
        <w:tc>
          <w:tcPr>
            <w:tcW w:w="717" w:type="dxa"/>
            <w:vMerge w:val="continue"/>
            <w:noWrap w:val="0"/>
            <w:vAlign w:val="center"/>
          </w:tcPr>
          <w:p w14:paraId="3BF00FA3">
            <w:pPr>
              <w:widowControl/>
              <w:spacing w:line="360" w:lineRule="exact"/>
              <w:jc w:val="center"/>
              <w:rPr>
                <w:rFonts w:ascii="宋体" w:hAnsi="宋体"/>
                <w:color w:val="auto"/>
                <w:sz w:val="24"/>
                <w:highlight w:val="none"/>
              </w:rPr>
            </w:pPr>
          </w:p>
        </w:tc>
        <w:tc>
          <w:tcPr>
            <w:tcW w:w="738" w:type="dxa"/>
            <w:vMerge w:val="continue"/>
            <w:noWrap w:val="0"/>
            <w:vAlign w:val="center"/>
          </w:tcPr>
          <w:p w14:paraId="6F2D32A0">
            <w:pPr>
              <w:widowControl/>
              <w:spacing w:line="360" w:lineRule="exact"/>
              <w:jc w:val="center"/>
              <w:rPr>
                <w:rFonts w:ascii="宋体" w:hAnsi="宋体"/>
                <w:color w:val="auto"/>
                <w:sz w:val="24"/>
                <w:highlight w:val="none"/>
              </w:rPr>
            </w:pPr>
          </w:p>
        </w:tc>
        <w:tc>
          <w:tcPr>
            <w:tcW w:w="900" w:type="dxa"/>
            <w:noWrap w:val="0"/>
            <w:vAlign w:val="center"/>
          </w:tcPr>
          <w:p w14:paraId="0163B67C">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增值服务承诺</w:t>
            </w:r>
          </w:p>
        </w:tc>
        <w:tc>
          <w:tcPr>
            <w:tcW w:w="735" w:type="dxa"/>
            <w:noWrap w:val="0"/>
            <w:vAlign w:val="center"/>
          </w:tcPr>
          <w:p w14:paraId="19DCE894">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12分</w:t>
            </w:r>
          </w:p>
        </w:tc>
        <w:tc>
          <w:tcPr>
            <w:tcW w:w="6232" w:type="dxa"/>
            <w:gridSpan w:val="2"/>
            <w:noWrap w:val="0"/>
            <w:vAlign w:val="center"/>
          </w:tcPr>
          <w:p w14:paraId="6FFCB459">
            <w:pPr>
              <w:numPr>
                <w:ilvl w:val="0"/>
                <w:numId w:val="0"/>
              </w:numPr>
              <w:rPr>
                <w:rFonts w:hint="eastAsia" w:ascii="宋体" w:hAnsi="宋体" w:eastAsia="宋体" w:cs="宋体"/>
                <w:color w:val="auto"/>
                <w:kern w:val="0"/>
                <w:sz w:val="18"/>
                <w:szCs w:val="18"/>
                <w:highlight w:val="none"/>
                <w:lang w:val="zh-CN" w:eastAsia="zh-CN"/>
              </w:rPr>
            </w:pPr>
            <w:r>
              <w:rPr>
                <w:rFonts w:hint="eastAsia" w:ascii="宋体" w:hAnsi="宋体" w:eastAsia="宋体" w:cs="宋体"/>
                <w:color w:val="auto"/>
                <w:kern w:val="0"/>
                <w:sz w:val="18"/>
                <w:szCs w:val="18"/>
                <w:highlight w:val="none"/>
                <w:lang w:val="en-US" w:eastAsia="zh-CN"/>
              </w:rPr>
              <w:t>评标委员会根据各投标人的增值服务方案（须包含：1）道路救援服务、2）紧急送油服务、3）接电服务、4）更换轮胎服务、5）现场抢修服务</w:t>
            </w:r>
            <w:r>
              <w:rPr>
                <w:rFonts w:hint="eastAsia" w:ascii="宋体" w:hAnsi="宋体" w:eastAsia="宋体" w:cs="宋体"/>
                <w:color w:val="auto"/>
                <w:kern w:val="0"/>
                <w:sz w:val="18"/>
                <w:szCs w:val="18"/>
                <w:highlight w:val="none"/>
                <w:lang w:val="zh-CN" w:eastAsia="zh-CN"/>
              </w:rPr>
              <w:t>、</w:t>
            </w:r>
            <w:r>
              <w:rPr>
                <w:rFonts w:hint="eastAsia" w:ascii="宋体" w:hAnsi="宋体" w:eastAsia="宋体" w:cs="宋体"/>
                <w:color w:val="auto"/>
                <w:kern w:val="0"/>
                <w:sz w:val="18"/>
                <w:szCs w:val="18"/>
                <w:highlight w:val="none"/>
                <w:lang w:val="en-US" w:eastAsia="zh-CN"/>
              </w:rPr>
              <w:t>6）</w:t>
            </w:r>
            <w:r>
              <w:rPr>
                <w:rFonts w:hint="eastAsia" w:ascii="宋体" w:hAnsi="宋体" w:eastAsia="宋体" w:cs="宋体"/>
                <w:color w:val="auto"/>
                <w:kern w:val="0"/>
                <w:sz w:val="18"/>
                <w:szCs w:val="18"/>
                <w:highlight w:val="none"/>
                <w:lang w:val="zh-CN" w:eastAsia="zh-CN"/>
              </w:rPr>
              <w:t>减轻客户工作量的合理性的措施方法等方面</w:t>
            </w:r>
            <w:r>
              <w:rPr>
                <w:rFonts w:hint="eastAsia" w:ascii="宋体" w:hAnsi="宋体" w:eastAsia="宋体" w:cs="宋体"/>
                <w:color w:val="auto"/>
                <w:kern w:val="0"/>
                <w:sz w:val="18"/>
                <w:szCs w:val="18"/>
                <w:highlight w:val="none"/>
                <w:lang w:val="en-US" w:eastAsia="zh-CN"/>
              </w:rPr>
              <w:t>）进行评定</w:t>
            </w:r>
            <w:r>
              <w:rPr>
                <w:rFonts w:hint="eastAsia" w:ascii="宋体" w:hAnsi="宋体" w:eastAsia="宋体" w:cs="宋体"/>
                <w:color w:val="auto"/>
                <w:kern w:val="0"/>
                <w:sz w:val="18"/>
                <w:szCs w:val="18"/>
                <w:highlight w:val="none"/>
                <w:lang w:val="zh-CN" w:eastAsia="zh-CN"/>
              </w:rPr>
              <w:t>，</w:t>
            </w:r>
          </w:p>
          <w:p w14:paraId="01BFE82C">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（1）内容详实、需求贴合度高且条理清晰的该条得12分；</w:t>
            </w:r>
          </w:p>
          <w:p w14:paraId="29076C11">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（2）内容较为简单、可行、细节待完善的该条得10分；</w:t>
            </w:r>
          </w:p>
          <w:p w14:paraId="30C716D8">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（3）内容较为一般的得8分；</w:t>
            </w:r>
          </w:p>
          <w:p w14:paraId="4D888D8C">
            <w:pPr>
              <w:numPr>
                <w:ilvl w:val="0"/>
                <w:numId w:val="0"/>
              </w:numPr>
              <w:rPr>
                <w:rFonts w:hint="eastAsia" w:ascii="宋体" w:hAnsi="宋体" w:eastAsia="宋体" w:cs="宋体"/>
                <w:color w:val="auto"/>
                <w:kern w:val="0"/>
                <w:sz w:val="18"/>
                <w:szCs w:val="18"/>
                <w:highlight w:val="none"/>
                <w:lang w:val="zh-CN" w:eastAsia="zh-CN"/>
              </w:rPr>
            </w:pPr>
            <w:r>
              <w:rPr>
                <w:rFonts w:hint="eastAsia" w:ascii="宋体" w:hAnsi="宋体" w:eastAsia="宋体" w:cs="宋体"/>
                <w:color w:val="auto"/>
                <w:kern w:val="0"/>
                <w:sz w:val="18"/>
                <w:szCs w:val="18"/>
                <w:highlight w:val="none"/>
                <w:lang w:val="en-US" w:eastAsia="zh-CN"/>
              </w:rPr>
              <w:t>（4）不符合或未提供不得分</w:t>
            </w:r>
          </w:p>
          <w:p w14:paraId="355346A6">
            <w:pPr>
              <w:numPr>
                <w:ilvl w:val="0"/>
                <w:numId w:val="0"/>
              </w:numPr>
              <w:rPr>
                <w:rFonts w:ascii="宋体" w:hAnsi="宋体"/>
                <w:color w:val="auto"/>
                <w:sz w:val="24"/>
                <w:szCs w:val="24"/>
                <w:highlight w:val="none"/>
              </w:rPr>
            </w:pPr>
            <w:r>
              <w:rPr>
                <w:rFonts w:hint="eastAsia" w:ascii="宋体" w:hAnsi="宋体" w:eastAsia="宋体" w:cs="宋体"/>
                <w:color w:val="auto"/>
                <w:kern w:val="0"/>
                <w:sz w:val="18"/>
                <w:szCs w:val="18"/>
                <w:highlight w:val="none"/>
                <w:lang w:val="en-US" w:eastAsia="zh-CN"/>
              </w:rPr>
              <w:t>注：评标委员会对各个评审因素进行量化时，应当将量化指标建立在同一基础或者同一标准上，使各投标文件具有可比性。</w:t>
            </w:r>
          </w:p>
        </w:tc>
      </w:tr>
      <w:tr w14:paraId="39FCE1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717" w:type="dxa"/>
            <w:vMerge w:val="continue"/>
            <w:noWrap w:val="0"/>
            <w:vAlign w:val="center"/>
          </w:tcPr>
          <w:p w14:paraId="4D5CDDD8">
            <w:pPr>
              <w:widowControl/>
              <w:spacing w:line="360" w:lineRule="exact"/>
              <w:jc w:val="center"/>
              <w:rPr>
                <w:rFonts w:ascii="宋体" w:hAnsi="宋体"/>
                <w:color w:val="auto"/>
                <w:sz w:val="24"/>
                <w:highlight w:val="none"/>
              </w:rPr>
            </w:pPr>
          </w:p>
        </w:tc>
        <w:tc>
          <w:tcPr>
            <w:tcW w:w="738" w:type="dxa"/>
            <w:vMerge w:val="continue"/>
            <w:noWrap w:val="0"/>
            <w:vAlign w:val="center"/>
          </w:tcPr>
          <w:p w14:paraId="081B52AA">
            <w:pPr>
              <w:widowControl/>
              <w:spacing w:line="360" w:lineRule="exact"/>
              <w:jc w:val="center"/>
              <w:rPr>
                <w:rFonts w:ascii="宋体" w:hAnsi="宋体"/>
                <w:color w:val="auto"/>
                <w:sz w:val="24"/>
                <w:highlight w:val="none"/>
              </w:rPr>
            </w:pPr>
          </w:p>
        </w:tc>
        <w:tc>
          <w:tcPr>
            <w:tcW w:w="900" w:type="dxa"/>
            <w:noWrap w:val="0"/>
            <w:vAlign w:val="center"/>
          </w:tcPr>
          <w:p w14:paraId="13BE2222">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事故车维修承诺</w:t>
            </w:r>
          </w:p>
        </w:tc>
        <w:tc>
          <w:tcPr>
            <w:tcW w:w="735" w:type="dxa"/>
            <w:noWrap w:val="0"/>
            <w:vAlign w:val="center"/>
          </w:tcPr>
          <w:p w14:paraId="41498819">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1分</w:t>
            </w:r>
          </w:p>
        </w:tc>
        <w:tc>
          <w:tcPr>
            <w:tcW w:w="6232" w:type="dxa"/>
            <w:gridSpan w:val="2"/>
            <w:noWrap w:val="0"/>
            <w:vAlign w:val="center"/>
          </w:tcPr>
          <w:p w14:paraId="34AD5060">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投标人承诺采购人可自主选择维修商的得1分，需提供承诺函加盖投标单位公章，未提供不得分。【格式自拟】</w:t>
            </w:r>
          </w:p>
        </w:tc>
      </w:tr>
      <w:tr w14:paraId="7BFEF4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717" w:type="dxa"/>
            <w:vMerge w:val="continue"/>
            <w:noWrap w:val="0"/>
            <w:vAlign w:val="center"/>
          </w:tcPr>
          <w:p w14:paraId="447A2E4F">
            <w:pPr>
              <w:widowControl/>
              <w:spacing w:line="360" w:lineRule="exact"/>
              <w:jc w:val="center"/>
              <w:rPr>
                <w:rFonts w:ascii="宋体" w:hAnsi="宋体"/>
                <w:color w:val="auto"/>
                <w:sz w:val="24"/>
                <w:highlight w:val="none"/>
              </w:rPr>
            </w:pPr>
          </w:p>
        </w:tc>
        <w:tc>
          <w:tcPr>
            <w:tcW w:w="738" w:type="dxa"/>
            <w:vMerge w:val="continue"/>
            <w:noWrap w:val="0"/>
            <w:vAlign w:val="center"/>
          </w:tcPr>
          <w:p w14:paraId="79935D98">
            <w:pPr>
              <w:widowControl/>
              <w:spacing w:line="360" w:lineRule="exact"/>
              <w:jc w:val="center"/>
              <w:rPr>
                <w:rFonts w:ascii="宋体" w:hAnsi="宋体"/>
                <w:color w:val="auto"/>
                <w:sz w:val="24"/>
                <w:highlight w:val="none"/>
              </w:rPr>
            </w:pPr>
          </w:p>
        </w:tc>
        <w:tc>
          <w:tcPr>
            <w:tcW w:w="900" w:type="dxa"/>
            <w:noWrap w:val="0"/>
            <w:vAlign w:val="center"/>
          </w:tcPr>
          <w:p w14:paraId="4C3777D5">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办公场所</w:t>
            </w:r>
          </w:p>
        </w:tc>
        <w:tc>
          <w:tcPr>
            <w:tcW w:w="735" w:type="dxa"/>
            <w:noWrap w:val="0"/>
            <w:vAlign w:val="center"/>
          </w:tcPr>
          <w:p w14:paraId="7FC51CB9">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4分</w:t>
            </w:r>
          </w:p>
        </w:tc>
        <w:tc>
          <w:tcPr>
            <w:tcW w:w="6232" w:type="dxa"/>
            <w:gridSpan w:val="2"/>
            <w:noWrap w:val="0"/>
            <w:vAlign w:val="center"/>
          </w:tcPr>
          <w:p w14:paraId="6B9B85F7">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投标人提供响水县自有房产证明或租赁合同、门店照片。</w:t>
            </w:r>
          </w:p>
          <w:p w14:paraId="779272E7">
            <w:pPr>
              <w:numPr>
                <w:ilvl w:val="0"/>
                <w:numId w:val="0"/>
              </w:numP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注：投标文件中须提供相关证明材料的原件彩色扫描件，未提供或提供不全的不得分。</w:t>
            </w:r>
          </w:p>
        </w:tc>
      </w:tr>
    </w:tbl>
    <w:p w14:paraId="0DE5BDEC">
      <w:pPr>
        <w:pStyle w:val="14"/>
        <w:spacing w:beforeAutospacing="0" w:afterAutospacing="0"/>
        <w:jc w:val="both"/>
        <w:rPr>
          <w:color w:val="auto"/>
          <w:highlight w:val="none"/>
        </w:rPr>
      </w:pPr>
    </w:p>
    <w:p w14:paraId="3AE65CBD">
      <w:pPr>
        <w:pStyle w:val="14"/>
        <w:keepNext/>
        <w:spacing w:beforeAutospacing="0" w:afterAutospacing="0"/>
        <w:jc w:val="center"/>
        <w:rPr>
          <w:rFonts w:hint="eastAsia" w:ascii="黑体" w:hAnsi="宋体" w:eastAsia="黑体" w:cs="黑体"/>
          <w:color w:val="auto"/>
          <w:sz w:val="44"/>
          <w:szCs w:val="44"/>
          <w:highlight w:val="none"/>
        </w:rPr>
      </w:pPr>
    </w:p>
    <w:p w14:paraId="394BDBC7">
      <w:pPr>
        <w:pStyle w:val="14"/>
        <w:keepNext/>
        <w:spacing w:beforeAutospacing="0" w:afterAutospacing="0"/>
        <w:jc w:val="center"/>
        <w:rPr>
          <w:color w:val="auto"/>
          <w:highlight w:val="none"/>
        </w:rPr>
      </w:pPr>
      <w:r>
        <w:rPr>
          <w:rFonts w:hint="eastAsia" w:ascii="黑体" w:hAnsi="宋体" w:eastAsia="黑体" w:cs="黑体"/>
          <w:color w:val="auto"/>
          <w:sz w:val="44"/>
          <w:szCs w:val="44"/>
          <w:highlight w:val="none"/>
        </w:rPr>
        <w:t xml:space="preserve">第六章  投标文件格式 </w:t>
      </w:r>
    </w:p>
    <w:p w14:paraId="3FD02197">
      <w:pPr>
        <w:pStyle w:val="14"/>
        <w:spacing w:beforeAutospacing="0" w:afterAutospacing="0"/>
        <w:jc w:val="center"/>
        <w:rPr>
          <w:rFonts w:hint="eastAsia" w:ascii="宋体" w:hAnsi="宋体" w:eastAsia="宋体" w:cs="宋体"/>
          <w:b/>
          <w:color w:val="auto"/>
          <w:sz w:val="72"/>
          <w:szCs w:val="72"/>
          <w:highlight w:val="none"/>
        </w:rPr>
      </w:pPr>
      <w:bookmarkStart w:id="168" w:name="_Toc26554094"/>
      <w:bookmarkEnd w:id="168"/>
      <w:bookmarkStart w:id="169" w:name="_Hlt26955039"/>
      <w:bookmarkEnd w:id="169"/>
      <w:bookmarkStart w:id="170" w:name="_Hlt26671244"/>
      <w:bookmarkEnd w:id="170"/>
      <w:bookmarkStart w:id="171" w:name="_Toc120614282"/>
      <w:bookmarkStart w:id="172" w:name="_Toc49090576"/>
    </w:p>
    <w:p w14:paraId="14D7A9D0">
      <w:pPr>
        <w:pStyle w:val="14"/>
        <w:spacing w:beforeAutospacing="0" w:afterAutospacing="0"/>
        <w:jc w:val="center"/>
        <w:rPr>
          <w:color w:val="auto"/>
          <w:highlight w:val="none"/>
        </w:rPr>
      </w:pPr>
      <w:r>
        <w:rPr>
          <w:rFonts w:hint="eastAsia" w:ascii="宋体" w:hAnsi="宋体" w:eastAsia="宋体" w:cs="宋体"/>
          <w:b/>
          <w:color w:val="auto"/>
          <w:sz w:val="72"/>
          <w:szCs w:val="72"/>
          <w:highlight w:val="none"/>
        </w:rPr>
        <w:t>投  标  文  件</w:t>
      </w:r>
    </w:p>
    <w:p w14:paraId="22DEB80C">
      <w:pPr>
        <w:pStyle w:val="14"/>
        <w:spacing w:beforeAutospacing="0" w:afterAutospacing="0"/>
        <w:jc w:val="center"/>
        <w:rPr>
          <w:color w:val="auto"/>
          <w:highlight w:val="none"/>
        </w:rPr>
      </w:pPr>
      <w:r>
        <w:rPr>
          <w:color w:val="auto"/>
          <w:highlight w:val="none"/>
        </w:rPr>
        <w:t> </w:t>
      </w:r>
    </w:p>
    <w:p w14:paraId="71BD0C14">
      <w:pPr>
        <w:pStyle w:val="14"/>
        <w:spacing w:beforeAutospacing="0" w:afterAutospacing="0"/>
        <w:jc w:val="center"/>
        <w:rPr>
          <w:color w:val="auto"/>
          <w:highlight w:val="none"/>
        </w:rPr>
      </w:pPr>
      <w:r>
        <w:rPr>
          <w:color w:val="auto"/>
          <w:highlight w:val="none"/>
        </w:rPr>
        <w:t> </w:t>
      </w:r>
    </w:p>
    <w:p w14:paraId="5FA049E5">
      <w:pPr>
        <w:pStyle w:val="14"/>
        <w:spacing w:beforeAutospacing="0" w:afterAutospacing="0"/>
        <w:jc w:val="center"/>
        <w:rPr>
          <w:color w:val="auto"/>
          <w:highlight w:val="none"/>
        </w:rPr>
      </w:pPr>
    </w:p>
    <w:p w14:paraId="308F89C2">
      <w:pPr>
        <w:pStyle w:val="14"/>
        <w:spacing w:beforeAutospacing="0" w:afterAutospacing="0"/>
        <w:jc w:val="center"/>
        <w:rPr>
          <w:color w:val="auto"/>
          <w:highlight w:val="none"/>
        </w:rPr>
      </w:pPr>
    </w:p>
    <w:p w14:paraId="4EDAC6A9">
      <w:pPr>
        <w:pStyle w:val="14"/>
        <w:spacing w:beforeAutospacing="0" w:afterAutospacing="0"/>
        <w:jc w:val="center"/>
        <w:rPr>
          <w:color w:val="auto"/>
          <w:highlight w:val="none"/>
        </w:rPr>
      </w:pPr>
    </w:p>
    <w:p w14:paraId="2BECC11D">
      <w:pPr>
        <w:pStyle w:val="14"/>
        <w:spacing w:beforeAutospacing="0" w:afterAutospacing="0"/>
        <w:jc w:val="center"/>
        <w:rPr>
          <w:color w:val="auto"/>
          <w:highlight w:val="none"/>
        </w:rPr>
      </w:pPr>
    </w:p>
    <w:p w14:paraId="518557ED">
      <w:pPr>
        <w:pStyle w:val="14"/>
        <w:spacing w:beforeAutospacing="0" w:afterAutospacing="0"/>
        <w:jc w:val="center"/>
        <w:rPr>
          <w:color w:val="auto"/>
          <w:highlight w:val="none"/>
        </w:rPr>
      </w:pPr>
    </w:p>
    <w:p w14:paraId="206E38AE">
      <w:pPr>
        <w:pStyle w:val="14"/>
        <w:spacing w:beforeAutospacing="0" w:afterAutospacing="0"/>
        <w:jc w:val="center"/>
        <w:rPr>
          <w:color w:val="auto"/>
          <w:highlight w:val="none"/>
        </w:rPr>
      </w:pPr>
    </w:p>
    <w:p w14:paraId="2D06A84E">
      <w:pPr>
        <w:pStyle w:val="14"/>
        <w:spacing w:beforeAutospacing="0" w:afterAutospacing="0"/>
        <w:jc w:val="center"/>
        <w:rPr>
          <w:color w:val="auto"/>
          <w:highlight w:val="none"/>
        </w:rPr>
      </w:pPr>
    </w:p>
    <w:p w14:paraId="67C33AAD">
      <w:pPr>
        <w:pStyle w:val="14"/>
        <w:spacing w:beforeAutospacing="0" w:afterAutospacing="0"/>
        <w:jc w:val="center"/>
        <w:rPr>
          <w:color w:val="auto"/>
          <w:highlight w:val="none"/>
        </w:rPr>
      </w:pPr>
    </w:p>
    <w:p w14:paraId="45662850">
      <w:pPr>
        <w:pStyle w:val="14"/>
        <w:spacing w:beforeAutospacing="0" w:afterAutospacing="0"/>
        <w:jc w:val="center"/>
        <w:rPr>
          <w:color w:val="auto"/>
          <w:highlight w:val="none"/>
        </w:rPr>
      </w:pPr>
    </w:p>
    <w:p w14:paraId="14CECC71">
      <w:pPr>
        <w:pStyle w:val="14"/>
        <w:spacing w:beforeAutospacing="0" w:afterAutospacing="0"/>
        <w:jc w:val="center"/>
        <w:rPr>
          <w:color w:val="auto"/>
          <w:highlight w:val="none"/>
        </w:rPr>
      </w:pPr>
      <w:r>
        <w:rPr>
          <w:color w:val="auto"/>
          <w:highlight w:val="none"/>
        </w:rPr>
        <w:t> </w:t>
      </w:r>
    </w:p>
    <w:p w14:paraId="6CF50948">
      <w:pPr>
        <w:pStyle w:val="14"/>
        <w:spacing w:beforeAutospacing="0" w:afterAutospacing="0"/>
        <w:jc w:val="center"/>
        <w:rPr>
          <w:color w:val="auto"/>
          <w:highlight w:val="none"/>
        </w:rPr>
      </w:pPr>
      <w:r>
        <w:rPr>
          <w:color w:val="auto"/>
          <w:highlight w:val="none"/>
        </w:rPr>
        <w:t> </w:t>
      </w:r>
    </w:p>
    <w:p w14:paraId="059E7B16">
      <w:pPr>
        <w:pStyle w:val="14"/>
        <w:spacing w:beforeAutospacing="0" w:afterAutospacing="0"/>
        <w:jc w:val="center"/>
        <w:rPr>
          <w:color w:val="auto"/>
          <w:highlight w:val="none"/>
        </w:rPr>
      </w:pPr>
      <w:r>
        <w:rPr>
          <w:color w:val="auto"/>
          <w:highlight w:val="none"/>
        </w:rPr>
        <w:t> </w:t>
      </w:r>
    </w:p>
    <w:p w14:paraId="47A79981">
      <w:pPr>
        <w:pStyle w:val="14"/>
        <w:spacing w:beforeAutospacing="0" w:afterAutospacing="0"/>
        <w:ind w:firstLine="1084"/>
        <w:jc w:val="both"/>
        <w:rPr>
          <w:color w:val="auto"/>
          <w:highlight w:val="none"/>
        </w:rPr>
      </w:pPr>
      <w:r>
        <w:rPr>
          <w:rFonts w:hint="eastAsia" w:ascii="宋体" w:hAnsi="宋体" w:eastAsia="宋体" w:cs="宋体"/>
          <w:b/>
          <w:color w:val="auto"/>
          <w:sz w:val="36"/>
          <w:szCs w:val="36"/>
          <w:highlight w:val="none"/>
        </w:rPr>
        <w:t>项目 名 称：</w:t>
      </w:r>
      <w:r>
        <w:rPr>
          <w:rFonts w:hint="eastAsia" w:ascii="宋体" w:hAnsi="宋体" w:eastAsia="宋体" w:cs="宋体"/>
          <w:b/>
          <w:color w:val="auto"/>
          <w:sz w:val="36"/>
          <w:szCs w:val="36"/>
          <w:highlight w:val="none"/>
          <w:u w:val="single"/>
        </w:rPr>
        <w:t xml:space="preserve">               </w:t>
      </w:r>
    </w:p>
    <w:p w14:paraId="45010DBF">
      <w:pPr>
        <w:pStyle w:val="14"/>
        <w:spacing w:beforeAutospacing="0" w:afterAutospacing="0"/>
        <w:ind w:firstLine="1084"/>
        <w:jc w:val="both"/>
        <w:rPr>
          <w:color w:val="auto"/>
          <w:highlight w:val="none"/>
        </w:rPr>
      </w:pPr>
      <w:r>
        <w:rPr>
          <w:rFonts w:hint="eastAsia" w:ascii="宋体" w:hAnsi="宋体" w:eastAsia="宋体" w:cs="宋体"/>
          <w:b/>
          <w:color w:val="auto"/>
          <w:sz w:val="36"/>
          <w:szCs w:val="36"/>
          <w:highlight w:val="none"/>
        </w:rPr>
        <w:t>项目 编 号：</w:t>
      </w:r>
      <w:r>
        <w:rPr>
          <w:rFonts w:hint="eastAsia" w:ascii="宋体" w:hAnsi="宋体" w:eastAsia="宋体" w:cs="宋体"/>
          <w:b/>
          <w:color w:val="auto"/>
          <w:sz w:val="36"/>
          <w:szCs w:val="36"/>
          <w:highlight w:val="none"/>
          <w:u w:val="single"/>
        </w:rPr>
        <w:t xml:space="preserve">               </w:t>
      </w:r>
    </w:p>
    <w:p w14:paraId="122284D3">
      <w:pPr>
        <w:pStyle w:val="14"/>
        <w:spacing w:beforeAutospacing="0" w:afterAutospacing="0"/>
        <w:jc w:val="both"/>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   投标人名称 ：</w:t>
      </w:r>
      <w:r>
        <w:rPr>
          <w:rFonts w:hint="eastAsia" w:ascii="宋体" w:hAnsi="宋体" w:eastAsia="宋体" w:cs="宋体"/>
          <w:b/>
          <w:color w:val="auto"/>
          <w:sz w:val="36"/>
          <w:szCs w:val="36"/>
          <w:highlight w:val="none"/>
          <w:u w:val="single"/>
        </w:rPr>
        <w:t>（加盖</w:t>
      </w:r>
      <w:r>
        <w:rPr>
          <w:rFonts w:hint="eastAsia" w:ascii="宋体" w:hAnsi="宋体" w:eastAsia="宋体" w:cs="宋体"/>
          <w:b/>
          <w:color w:val="auto"/>
          <w:sz w:val="36"/>
          <w:szCs w:val="36"/>
          <w:highlight w:val="none"/>
          <w:u w:val="single"/>
          <w:lang w:val="en-US" w:eastAsia="zh-CN"/>
        </w:rPr>
        <w:t>投标供应商</w:t>
      </w:r>
      <w:r>
        <w:rPr>
          <w:rFonts w:hint="eastAsia" w:ascii="宋体" w:hAnsi="宋体" w:eastAsia="宋体" w:cs="宋体"/>
          <w:b/>
          <w:color w:val="auto"/>
          <w:sz w:val="36"/>
          <w:szCs w:val="36"/>
          <w:highlight w:val="none"/>
          <w:u w:val="single"/>
        </w:rPr>
        <w:t xml:space="preserve">公章）     </w:t>
      </w:r>
    </w:p>
    <w:p w14:paraId="76AF89DD">
      <w:pPr>
        <w:pStyle w:val="14"/>
        <w:spacing w:beforeAutospacing="0" w:afterAutospacing="0"/>
        <w:jc w:val="both"/>
        <w:rPr>
          <w:rFonts w:hint="default" w:ascii="宋体" w:hAnsi="宋体" w:eastAsia="宋体" w:cs="宋体"/>
          <w:b/>
          <w:color w:val="auto"/>
          <w:sz w:val="36"/>
          <w:szCs w:val="36"/>
          <w:highlight w:val="none"/>
          <w:lang w:val="en-US" w:eastAsia="zh-CN"/>
        </w:rPr>
      </w:pPr>
      <w:r>
        <w:rPr>
          <w:rFonts w:hint="eastAsia" w:ascii="宋体" w:hAnsi="宋体" w:eastAsia="宋体" w:cs="宋体"/>
          <w:b/>
          <w:color w:val="auto"/>
          <w:sz w:val="36"/>
          <w:szCs w:val="36"/>
          <w:highlight w:val="none"/>
        </w:rPr>
        <w:t> </w:t>
      </w:r>
      <w:r>
        <w:rPr>
          <w:rFonts w:hint="eastAsia" w:ascii="宋体" w:hAnsi="宋体" w:eastAsia="宋体" w:cs="宋体"/>
          <w:b/>
          <w:color w:val="auto"/>
          <w:sz w:val="36"/>
          <w:szCs w:val="36"/>
          <w:highlight w:val="none"/>
          <w:lang w:val="en-US" w:eastAsia="zh-CN"/>
        </w:rPr>
        <w:t xml:space="preserve">    法定代表人或授权委托人：</w:t>
      </w:r>
      <w:r>
        <w:rPr>
          <w:rFonts w:hint="eastAsia" w:ascii="宋体" w:hAnsi="宋体" w:eastAsia="宋体" w:cs="宋体"/>
          <w:b/>
          <w:color w:val="auto"/>
          <w:sz w:val="36"/>
          <w:szCs w:val="36"/>
          <w:highlight w:val="none"/>
          <w:u w:val="single"/>
        </w:rPr>
        <w:t>        </w:t>
      </w:r>
    </w:p>
    <w:p w14:paraId="3947E53D">
      <w:pPr>
        <w:pStyle w:val="14"/>
        <w:spacing w:beforeAutospacing="0" w:afterAutospacing="0"/>
        <w:ind w:firstLine="1084" w:firstLineChars="300"/>
        <w:jc w:val="both"/>
        <w:rPr>
          <w:color w:val="auto"/>
          <w:highlight w:val="none"/>
        </w:rPr>
      </w:pPr>
      <w:r>
        <w:rPr>
          <w:rFonts w:hint="eastAsia" w:ascii="宋体" w:hAnsi="宋体" w:eastAsia="宋体" w:cs="宋体"/>
          <w:b/>
          <w:color w:val="auto"/>
          <w:sz w:val="36"/>
          <w:szCs w:val="36"/>
          <w:highlight w:val="none"/>
        </w:rPr>
        <w:t>日   期 ：</w:t>
      </w:r>
      <w:r>
        <w:rPr>
          <w:rFonts w:hint="eastAsia" w:ascii="宋体" w:hAnsi="宋体" w:eastAsia="宋体" w:cs="宋体"/>
          <w:b/>
          <w:color w:val="auto"/>
          <w:sz w:val="36"/>
          <w:szCs w:val="36"/>
          <w:highlight w:val="none"/>
          <w:u w:val="single"/>
        </w:rPr>
        <w:t>                     </w:t>
      </w:r>
    </w:p>
    <w:p w14:paraId="008F6786">
      <w:pPr>
        <w:pStyle w:val="14"/>
        <w:spacing w:beforeAutospacing="0" w:afterAutospacing="0" w:line="0" w:lineRule="atLeast"/>
        <w:jc w:val="center"/>
        <w:rPr>
          <w:color w:val="auto"/>
          <w:highlight w:val="none"/>
        </w:rPr>
      </w:pPr>
      <w:r>
        <w:rPr>
          <w:color w:val="auto"/>
          <w:highlight w:val="none"/>
        </w:rPr>
        <w:t> </w:t>
      </w:r>
    </w:p>
    <w:p w14:paraId="0004A50C">
      <w:pPr>
        <w:pStyle w:val="14"/>
        <w:spacing w:beforeAutospacing="0" w:afterAutospacing="0" w:line="0" w:lineRule="atLeast"/>
        <w:jc w:val="both"/>
        <w:rPr>
          <w:color w:val="auto"/>
          <w:highlight w:val="none"/>
        </w:rPr>
      </w:pPr>
      <w:r>
        <w:rPr>
          <w:color w:val="auto"/>
          <w:highlight w:val="none"/>
        </w:rPr>
        <w:t> </w:t>
      </w:r>
    </w:p>
    <w:p w14:paraId="79EF6E88">
      <w:pPr>
        <w:pStyle w:val="14"/>
        <w:spacing w:beforeAutospacing="0" w:afterAutospacing="0" w:line="0" w:lineRule="atLeast"/>
        <w:jc w:val="center"/>
        <w:rPr>
          <w:rFonts w:ascii="宋体" w:hAnsi="宋体" w:eastAsia="宋体" w:cs="宋体"/>
          <w:b/>
          <w:color w:val="auto"/>
          <w:sz w:val="36"/>
          <w:szCs w:val="36"/>
          <w:highlight w:val="none"/>
          <w:u w:val="single"/>
        </w:rPr>
      </w:pPr>
    </w:p>
    <w:p w14:paraId="508E2E8E">
      <w:pPr>
        <w:pStyle w:val="14"/>
        <w:spacing w:beforeAutospacing="0" w:afterAutospacing="0" w:line="0" w:lineRule="atLeast"/>
        <w:jc w:val="both"/>
        <w:rPr>
          <w:rFonts w:ascii="宋体" w:hAnsi="宋体" w:eastAsia="宋体" w:cs="宋体"/>
          <w:b/>
          <w:color w:val="auto"/>
          <w:sz w:val="36"/>
          <w:szCs w:val="36"/>
          <w:highlight w:val="none"/>
          <w:u w:val="single"/>
        </w:rPr>
      </w:pPr>
    </w:p>
    <w:p w14:paraId="6EAA78E2">
      <w:pPr>
        <w:pStyle w:val="14"/>
        <w:spacing w:beforeAutospacing="0" w:afterAutospacing="0" w:line="0" w:lineRule="atLeast"/>
        <w:jc w:val="center"/>
        <w:rPr>
          <w:rFonts w:ascii="宋体" w:hAnsi="宋体" w:eastAsia="宋体" w:cs="宋体"/>
          <w:b/>
          <w:color w:val="auto"/>
          <w:sz w:val="36"/>
          <w:szCs w:val="36"/>
          <w:highlight w:val="none"/>
          <w:u w:val="single"/>
        </w:rPr>
      </w:pPr>
    </w:p>
    <w:p w14:paraId="25F9088A">
      <w:pPr>
        <w:pStyle w:val="14"/>
        <w:spacing w:beforeAutospacing="0" w:afterAutospacing="0" w:line="0" w:lineRule="atLeast"/>
        <w:jc w:val="center"/>
        <w:rPr>
          <w:rFonts w:ascii="宋体" w:hAnsi="宋体" w:eastAsia="宋体" w:cs="宋体"/>
          <w:b/>
          <w:color w:val="auto"/>
          <w:sz w:val="36"/>
          <w:szCs w:val="36"/>
          <w:highlight w:val="none"/>
          <w:u w:val="single"/>
        </w:rPr>
      </w:pPr>
    </w:p>
    <w:p w14:paraId="161FDDC3">
      <w:pPr>
        <w:pStyle w:val="14"/>
        <w:spacing w:beforeAutospacing="0" w:afterAutospacing="0" w:line="0" w:lineRule="atLeast"/>
        <w:jc w:val="center"/>
        <w:rPr>
          <w:rFonts w:ascii="宋体" w:hAnsi="宋体" w:eastAsia="宋体" w:cs="宋体"/>
          <w:b/>
          <w:color w:val="auto"/>
          <w:sz w:val="36"/>
          <w:szCs w:val="36"/>
          <w:highlight w:val="none"/>
          <w:u w:val="single"/>
        </w:rPr>
      </w:pPr>
    </w:p>
    <w:p w14:paraId="67ECDF75">
      <w:pPr>
        <w:pStyle w:val="14"/>
        <w:spacing w:beforeAutospacing="0" w:afterAutospacing="0" w:line="0" w:lineRule="atLeast"/>
        <w:jc w:val="center"/>
        <w:rPr>
          <w:rFonts w:ascii="宋体" w:hAnsi="宋体" w:eastAsia="宋体" w:cs="宋体"/>
          <w:b/>
          <w:color w:val="auto"/>
          <w:sz w:val="36"/>
          <w:szCs w:val="36"/>
          <w:highlight w:val="none"/>
          <w:u w:val="single"/>
        </w:rPr>
      </w:pPr>
    </w:p>
    <w:p w14:paraId="06EE6D93">
      <w:pPr>
        <w:pStyle w:val="14"/>
        <w:spacing w:beforeAutospacing="0" w:afterAutospacing="0" w:line="0" w:lineRule="atLeast"/>
        <w:jc w:val="center"/>
        <w:rPr>
          <w:color w:val="auto"/>
          <w:highlight w:val="none"/>
        </w:rPr>
      </w:pPr>
      <w:r>
        <w:rPr>
          <w:rFonts w:hint="eastAsia" w:ascii="宋体" w:hAnsi="宋体" w:eastAsia="宋体" w:cs="宋体"/>
          <w:b/>
          <w:color w:val="auto"/>
          <w:sz w:val="32"/>
          <w:szCs w:val="32"/>
          <w:highlight w:val="none"/>
        </w:rPr>
        <w:t>投标文件目录</w:t>
      </w:r>
    </w:p>
    <w:p w14:paraId="30EA27C7">
      <w:pPr>
        <w:pStyle w:val="14"/>
        <w:spacing w:beforeAutospacing="0" w:afterAutospacing="0" w:line="0" w:lineRule="atLeast"/>
        <w:jc w:val="center"/>
        <w:rPr>
          <w:color w:val="auto"/>
          <w:highlight w:val="none"/>
        </w:rPr>
      </w:pPr>
      <w:r>
        <w:rPr>
          <w:color w:val="auto"/>
          <w:highlight w:val="none"/>
        </w:rPr>
        <w:t> </w:t>
      </w:r>
    </w:p>
    <w:p w14:paraId="5713C76E">
      <w:pPr>
        <w:pStyle w:val="14"/>
        <w:spacing w:beforeAutospacing="0" w:afterAutospacing="0"/>
        <w:ind w:left="480"/>
        <w:jc w:val="both"/>
        <w:rPr>
          <w:rFonts w:ascii="宋体" w:hAnsi="宋体" w:eastAsia="宋体" w:cs="宋体"/>
          <w:i w:val="0"/>
          <w:iCs/>
          <w:color w:val="auto"/>
          <w:highlight w:val="none"/>
          <w:u w:val="none"/>
        </w:rPr>
      </w:pPr>
      <w:r>
        <w:rPr>
          <w:rFonts w:hint="eastAsia" w:ascii="宋体" w:hAnsi="宋体" w:eastAsia="宋体" w:cs="宋体"/>
          <w:i w:val="0"/>
          <w:iCs/>
          <w:color w:val="auto"/>
          <w:highlight w:val="none"/>
          <w:u w:val="none"/>
        </w:rPr>
        <w:t>一、法人或者其他组织的营业执照等证明文件，自然人的身份证明</w:t>
      </w:r>
    </w:p>
    <w:p w14:paraId="0631C9D2">
      <w:pPr>
        <w:tabs>
          <w:tab w:val="left" w:pos="1331"/>
        </w:tabs>
        <w:bidi w:val="0"/>
        <w:ind w:firstLine="480" w:firstLineChars="200"/>
        <w:jc w:val="left"/>
        <w:rPr>
          <w:rFonts w:hint="eastAsia" w:ascii="宋体" w:hAnsi="宋体" w:eastAsia="宋体" w:cs="宋体"/>
          <w:i w:val="0"/>
          <w:iCs/>
          <w:color w:val="auto"/>
          <w:kern w:val="0"/>
          <w:sz w:val="24"/>
          <w:szCs w:val="24"/>
          <w:highlight w:val="none"/>
          <w:u w:val="none"/>
          <w:lang w:val="en-US" w:eastAsia="zh-CN" w:bidi="ar-SA"/>
        </w:rPr>
      </w:pPr>
      <w:r>
        <w:rPr>
          <w:rFonts w:hint="eastAsia" w:ascii="宋体" w:hAnsi="宋体" w:eastAsia="宋体" w:cs="宋体"/>
          <w:i w:val="0"/>
          <w:iCs/>
          <w:color w:val="auto"/>
          <w:kern w:val="0"/>
          <w:sz w:val="24"/>
          <w:szCs w:val="24"/>
          <w:highlight w:val="none"/>
          <w:u w:val="none"/>
          <w:lang w:val="en-US" w:eastAsia="zh-CN" w:bidi="ar-SA"/>
        </w:rPr>
        <w:t>二、上一年度的财务状况报告（至少提供资产负债表、利润表、现金流量表，</w:t>
      </w:r>
    </w:p>
    <w:p w14:paraId="0C60B884">
      <w:pPr>
        <w:pStyle w:val="14"/>
        <w:spacing w:beforeAutospacing="0" w:afterAutospacing="0"/>
        <w:ind w:left="480"/>
        <w:jc w:val="both"/>
        <w:rPr>
          <w:rFonts w:hint="eastAsia" w:ascii="宋体" w:hAnsi="宋体" w:eastAsia="宋体" w:cs="宋体"/>
          <w:i w:val="0"/>
          <w:iCs/>
          <w:color w:val="auto"/>
          <w:kern w:val="0"/>
          <w:sz w:val="24"/>
          <w:szCs w:val="24"/>
          <w:highlight w:val="none"/>
          <w:u w:val="none"/>
          <w:lang w:val="en-US" w:eastAsia="zh-CN" w:bidi="ar-SA"/>
        </w:rPr>
      </w:pPr>
      <w:r>
        <w:rPr>
          <w:rFonts w:hint="eastAsia" w:ascii="宋体" w:hAnsi="宋体" w:eastAsia="宋体" w:cs="宋体"/>
          <w:i w:val="0"/>
          <w:iCs/>
          <w:color w:val="auto"/>
          <w:kern w:val="0"/>
          <w:sz w:val="24"/>
          <w:szCs w:val="24"/>
          <w:highlight w:val="none"/>
          <w:u w:val="none"/>
          <w:lang w:val="en-US" w:eastAsia="zh-CN" w:bidi="ar-SA"/>
        </w:rPr>
        <w:t>投标人成立不满一年无需提供）</w:t>
      </w:r>
    </w:p>
    <w:p w14:paraId="42ACAE88">
      <w:pPr>
        <w:pStyle w:val="14"/>
        <w:spacing w:beforeAutospacing="0" w:afterAutospacing="0"/>
        <w:ind w:left="480"/>
        <w:jc w:val="both"/>
        <w:rPr>
          <w:rFonts w:hint="eastAsia" w:ascii="宋体" w:hAnsi="宋体" w:eastAsia="宋体" w:cs="宋体"/>
          <w:i w:val="0"/>
          <w:iCs/>
          <w:color w:val="auto"/>
          <w:highlight w:val="none"/>
          <w:u w:val="none"/>
        </w:rPr>
      </w:pPr>
      <w:r>
        <w:rPr>
          <w:rFonts w:hint="eastAsia" w:ascii="宋体" w:hAnsi="宋体" w:eastAsia="宋体" w:cs="宋体"/>
          <w:i w:val="0"/>
          <w:iCs/>
          <w:color w:val="auto"/>
          <w:highlight w:val="none"/>
          <w:u w:val="none"/>
          <w:lang w:val="en-US" w:eastAsia="zh-CN"/>
        </w:rPr>
        <w:t>三</w:t>
      </w:r>
      <w:r>
        <w:rPr>
          <w:rFonts w:hint="eastAsia" w:ascii="宋体" w:hAnsi="宋体" w:eastAsia="宋体" w:cs="宋体"/>
          <w:i w:val="0"/>
          <w:iCs/>
          <w:color w:val="auto"/>
          <w:highlight w:val="none"/>
          <w:u w:val="none"/>
        </w:rPr>
        <w:t>、具备履行合同所必需的设备和专业技术能力的书面声明</w:t>
      </w:r>
    </w:p>
    <w:p w14:paraId="3F988CBE">
      <w:pPr>
        <w:pStyle w:val="14"/>
        <w:spacing w:beforeAutospacing="0" w:afterAutospacing="0"/>
        <w:ind w:left="480"/>
        <w:jc w:val="both"/>
        <w:rPr>
          <w:rFonts w:hint="eastAsia" w:ascii="宋体" w:hAnsi="宋体" w:eastAsia="宋体" w:cs="宋体"/>
          <w:i w:val="0"/>
          <w:iCs/>
          <w:color w:val="auto"/>
          <w:highlight w:val="none"/>
          <w:u w:val="none"/>
        </w:rPr>
      </w:pPr>
      <w:r>
        <w:rPr>
          <w:rFonts w:hint="eastAsia" w:ascii="宋体" w:hAnsi="宋体" w:eastAsia="宋体" w:cs="宋体"/>
          <w:i w:val="0"/>
          <w:iCs/>
          <w:color w:val="auto"/>
          <w:highlight w:val="none"/>
          <w:u w:val="none"/>
          <w:lang w:val="en-US" w:eastAsia="zh-CN"/>
        </w:rPr>
        <w:t>四</w:t>
      </w:r>
      <w:r>
        <w:rPr>
          <w:rFonts w:hint="eastAsia" w:ascii="宋体" w:hAnsi="宋体" w:eastAsia="宋体" w:cs="宋体"/>
          <w:i w:val="0"/>
          <w:iCs/>
          <w:color w:val="auto"/>
          <w:highlight w:val="none"/>
          <w:u w:val="none"/>
        </w:rPr>
        <w:t>、依法缴纳税收和社会保障资金的相关材料（提供提交投标文件截止时间前一年内至少一个月依法缴纳税收及缴纳社会保障资金的证明材料。投标人依法享受缓缴、免缴税收、社会保障资金的提供证明材料）</w:t>
      </w:r>
    </w:p>
    <w:p w14:paraId="58936FC6">
      <w:pPr>
        <w:pStyle w:val="14"/>
        <w:spacing w:beforeAutospacing="0" w:afterAutospacing="0"/>
        <w:ind w:left="480"/>
        <w:jc w:val="both"/>
        <w:rPr>
          <w:rFonts w:ascii="宋体" w:hAnsi="宋体" w:eastAsia="宋体" w:cs="宋体"/>
          <w:i w:val="0"/>
          <w:iCs/>
          <w:color w:val="auto"/>
          <w:highlight w:val="none"/>
          <w:u w:val="none"/>
        </w:rPr>
      </w:pPr>
      <w:r>
        <w:rPr>
          <w:rFonts w:hint="eastAsia" w:ascii="宋体" w:hAnsi="宋体" w:eastAsia="宋体" w:cs="宋体"/>
          <w:i w:val="0"/>
          <w:iCs/>
          <w:color w:val="auto"/>
          <w:highlight w:val="none"/>
          <w:u w:val="none"/>
        </w:rPr>
        <w:t>五、参加政府采购活动前 3 年内在经营活动中没有重大违法记录的书面声明</w:t>
      </w:r>
    </w:p>
    <w:p w14:paraId="6CFBDE60">
      <w:pPr>
        <w:pStyle w:val="14"/>
        <w:spacing w:beforeAutospacing="0" w:afterAutospacing="0"/>
        <w:ind w:left="480"/>
        <w:jc w:val="both"/>
        <w:rPr>
          <w:rFonts w:ascii="宋体" w:hAnsi="宋体" w:eastAsia="宋体" w:cs="宋体"/>
          <w:i w:val="0"/>
          <w:iCs/>
          <w:color w:val="auto"/>
          <w:highlight w:val="none"/>
          <w:u w:val="none"/>
        </w:rPr>
      </w:pPr>
      <w:r>
        <w:rPr>
          <w:rFonts w:hint="eastAsia" w:ascii="宋体" w:hAnsi="宋体" w:eastAsia="宋体" w:cs="宋体"/>
          <w:i w:val="0"/>
          <w:iCs/>
          <w:color w:val="auto"/>
          <w:highlight w:val="none"/>
          <w:u w:val="none"/>
        </w:rPr>
        <w:t>六、特定资格要求的证明文件（如果本项目设置特定资格要求，则需要提供）</w:t>
      </w:r>
    </w:p>
    <w:p w14:paraId="3E3E3867">
      <w:pPr>
        <w:pStyle w:val="14"/>
        <w:spacing w:beforeAutospacing="0" w:afterAutospacing="0"/>
        <w:ind w:left="480"/>
        <w:jc w:val="both"/>
        <w:rPr>
          <w:rFonts w:ascii="宋体" w:hAnsi="宋体" w:eastAsia="宋体" w:cs="宋体"/>
          <w:i w:val="0"/>
          <w:iCs/>
          <w:color w:val="auto"/>
          <w:highlight w:val="none"/>
          <w:u w:val="none"/>
        </w:rPr>
      </w:pPr>
      <w:r>
        <w:rPr>
          <w:rFonts w:hint="eastAsia" w:ascii="宋体" w:hAnsi="宋体" w:eastAsia="宋体" w:cs="宋体"/>
          <w:i w:val="0"/>
          <w:iCs/>
          <w:color w:val="auto"/>
          <w:highlight w:val="none"/>
          <w:u w:val="none"/>
        </w:rPr>
        <w:t>七、法人授权书</w:t>
      </w:r>
    </w:p>
    <w:p w14:paraId="3BDE6B94">
      <w:pPr>
        <w:pStyle w:val="14"/>
        <w:spacing w:beforeAutospacing="0" w:afterAutospacing="0"/>
        <w:ind w:left="480"/>
        <w:jc w:val="both"/>
        <w:rPr>
          <w:rFonts w:ascii="宋体" w:hAnsi="宋体" w:eastAsia="宋体" w:cs="宋体"/>
          <w:i w:val="0"/>
          <w:iCs/>
          <w:color w:val="auto"/>
          <w:highlight w:val="none"/>
          <w:u w:val="none"/>
        </w:rPr>
      </w:pPr>
      <w:r>
        <w:rPr>
          <w:rFonts w:hint="eastAsia" w:ascii="宋体" w:hAnsi="宋体" w:eastAsia="宋体" w:cs="宋体"/>
          <w:i w:val="0"/>
          <w:iCs/>
          <w:color w:val="auto"/>
          <w:highlight w:val="none"/>
          <w:u w:val="none"/>
        </w:rPr>
        <w:t>八、投标函</w:t>
      </w:r>
    </w:p>
    <w:p w14:paraId="0263EB78">
      <w:pPr>
        <w:pStyle w:val="14"/>
        <w:spacing w:beforeAutospacing="0" w:afterAutospacing="0" w:line="0" w:lineRule="atLeast"/>
        <w:ind w:firstLine="480"/>
        <w:jc w:val="both"/>
        <w:rPr>
          <w:rFonts w:ascii="宋体" w:hAnsi="宋体" w:eastAsia="宋体" w:cs="宋体"/>
          <w:i w:val="0"/>
          <w:iCs/>
          <w:color w:val="auto"/>
          <w:highlight w:val="none"/>
          <w:u w:val="none"/>
        </w:rPr>
      </w:pPr>
      <w:r>
        <w:rPr>
          <w:rFonts w:hint="eastAsia" w:ascii="宋体" w:hAnsi="宋体" w:eastAsia="宋体" w:cs="宋体"/>
          <w:i w:val="0"/>
          <w:iCs/>
          <w:color w:val="auto"/>
          <w:highlight w:val="none"/>
          <w:u w:val="none"/>
          <w:lang w:val="en-US" w:eastAsia="zh-CN"/>
        </w:rPr>
        <w:t>九</w:t>
      </w:r>
      <w:r>
        <w:rPr>
          <w:rFonts w:hint="eastAsia" w:ascii="宋体" w:hAnsi="宋体" w:eastAsia="宋体" w:cs="宋体"/>
          <w:i w:val="0"/>
          <w:iCs/>
          <w:color w:val="auto"/>
          <w:highlight w:val="none"/>
          <w:u w:val="none"/>
        </w:rPr>
        <w:t>、联合体协议</w:t>
      </w:r>
    </w:p>
    <w:p w14:paraId="260078DA">
      <w:pPr>
        <w:pStyle w:val="14"/>
        <w:spacing w:beforeAutospacing="0" w:afterAutospacing="0" w:line="0" w:lineRule="atLeast"/>
        <w:ind w:firstLine="480"/>
        <w:jc w:val="both"/>
        <w:rPr>
          <w:rFonts w:ascii="宋体" w:hAnsi="宋体" w:eastAsia="宋体" w:cs="宋体"/>
          <w:i w:val="0"/>
          <w:iCs/>
          <w:color w:val="auto"/>
          <w:highlight w:val="none"/>
          <w:u w:val="none"/>
        </w:rPr>
      </w:pPr>
      <w:r>
        <w:rPr>
          <w:rFonts w:hint="eastAsia" w:ascii="宋体" w:hAnsi="宋体" w:eastAsia="宋体" w:cs="宋体"/>
          <w:i w:val="0"/>
          <w:iCs/>
          <w:color w:val="auto"/>
          <w:highlight w:val="none"/>
          <w:u w:val="none"/>
        </w:rPr>
        <w:t>十、技术要求响应及偏离表</w:t>
      </w:r>
    </w:p>
    <w:p w14:paraId="7D69B72A">
      <w:pPr>
        <w:pStyle w:val="14"/>
        <w:spacing w:beforeAutospacing="0" w:afterAutospacing="0" w:line="0" w:lineRule="atLeast"/>
        <w:ind w:firstLine="480"/>
        <w:jc w:val="both"/>
        <w:rPr>
          <w:rFonts w:ascii="宋体" w:hAnsi="宋体" w:eastAsia="宋体" w:cs="宋体"/>
          <w:i w:val="0"/>
          <w:iCs/>
          <w:color w:val="auto"/>
          <w:highlight w:val="none"/>
          <w:u w:val="none"/>
        </w:rPr>
      </w:pPr>
      <w:r>
        <w:rPr>
          <w:rFonts w:hint="eastAsia" w:ascii="宋体" w:hAnsi="宋体" w:eastAsia="宋体" w:cs="宋体"/>
          <w:i w:val="0"/>
          <w:iCs/>
          <w:color w:val="auto"/>
          <w:highlight w:val="none"/>
          <w:u w:val="none"/>
        </w:rPr>
        <w:t>十</w:t>
      </w:r>
      <w:r>
        <w:rPr>
          <w:rFonts w:hint="eastAsia" w:ascii="宋体" w:hAnsi="宋体" w:eastAsia="宋体" w:cs="宋体"/>
          <w:i w:val="0"/>
          <w:iCs/>
          <w:color w:val="auto"/>
          <w:highlight w:val="none"/>
          <w:u w:val="none"/>
          <w:lang w:val="en-US" w:eastAsia="zh-CN"/>
        </w:rPr>
        <w:t>一</w:t>
      </w:r>
      <w:r>
        <w:rPr>
          <w:rFonts w:hint="eastAsia" w:ascii="宋体" w:hAnsi="宋体" w:eastAsia="宋体" w:cs="宋体"/>
          <w:i w:val="0"/>
          <w:iCs/>
          <w:color w:val="auto"/>
          <w:highlight w:val="none"/>
          <w:u w:val="none"/>
        </w:rPr>
        <w:t>、商务要求响应及偏离表</w:t>
      </w:r>
    </w:p>
    <w:p w14:paraId="48EFFF5A">
      <w:pPr>
        <w:pStyle w:val="14"/>
        <w:spacing w:beforeAutospacing="0" w:afterAutospacing="0"/>
        <w:ind w:left="480"/>
        <w:jc w:val="both"/>
        <w:rPr>
          <w:rFonts w:hint="eastAsia" w:ascii="宋体" w:hAnsi="宋体" w:eastAsia="宋体" w:cs="宋体"/>
          <w:i w:val="0"/>
          <w:iCs/>
          <w:color w:val="auto"/>
          <w:highlight w:val="none"/>
          <w:u w:val="none"/>
        </w:rPr>
      </w:pPr>
      <w:r>
        <w:rPr>
          <w:rFonts w:hint="eastAsia" w:ascii="宋体" w:hAnsi="宋体" w:eastAsia="宋体" w:cs="宋体"/>
          <w:i w:val="0"/>
          <w:iCs/>
          <w:color w:val="auto"/>
          <w:highlight w:val="none"/>
          <w:u w:val="none"/>
        </w:rPr>
        <w:t>十</w:t>
      </w:r>
      <w:r>
        <w:rPr>
          <w:rFonts w:hint="eastAsia" w:ascii="宋体" w:hAnsi="宋体" w:eastAsia="宋体" w:cs="宋体"/>
          <w:i w:val="0"/>
          <w:iCs/>
          <w:color w:val="auto"/>
          <w:highlight w:val="none"/>
          <w:u w:val="none"/>
          <w:lang w:val="en-US" w:eastAsia="zh-CN"/>
        </w:rPr>
        <w:t>二</w:t>
      </w:r>
      <w:r>
        <w:rPr>
          <w:rFonts w:hint="eastAsia" w:ascii="宋体" w:hAnsi="宋体" w:eastAsia="宋体" w:cs="宋体"/>
          <w:i w:val="0"/>
          <w:iCs/>
          <w:color w:val="auto"/>
          <w:highlight w:val="none"/>
          <w:u w:val="none"/>
        </w:rPr>
        <w:t>、开标一览表</w:t>
      </w:r>
    </w:p>
    <w:p w14:paraId="7A195955">
      <w:pPr>
        <w:pStyle w:val="14"/>
        <w:spacing w:beforeAutospacing="0" w:afterAutospacing="0"/>
        <w:ind w:left="480"/>
        <w:jc w:val="both"/>
        <w:rPr>
          <w:rFonts w:hint="default" w:ascii="宋体" w:hAnsi="宋体" w:eastAsia="宋体" w:cs="宋体"/>
          <w:i w:val="0"/>
          <w:iCs/>
          <w:color w:val="auto"/>
          <w:highlight w:val="none"/>
          <w:u w:val="none"/>
          <w:lang w:val="en-US" w:eastAsia="zh-CN"/>
        </w:rPr>
      </w:pPr>
      <w:r>
        <w:rPr>
          <w:rFonts w:hint="eastAsia" w:ascii="宋体" w:hAnsi="宋体" w:eastAsia="宋体" w:cs="宋体"/>
          <w:i w:val="0"/>
          <w:iCs/>
          <w:color w:val="auto"/>
          <w:highlight w:val="none"/>
          <w:u w:val="none"/>
          <w:lang w:val="en-US" w:eastAsia="zh-CN"/>
        </w:rPr>
        <w:t>十三、投标保证金资料（</w:t>
      </w:r>
      <w:r>
        <w:rPr>
          <w:rFonts w:hint="eastAsia" w:ascii="宋体" w:hAnsi="宋体" w:eastAsia="宋体" w:cs="宋体"/>
          <w:i w:val="0"/>
          <w:iCs w:val="0"/>
          <w:caps w:val="0"/>
          <w:color w:val="3D3D3D"/>
          <w:spacing w:val="0"/>
          <w:kern w:val="0"/>
          <w:sz w:val="24"/>
          <w:szCs w:val="24"/>
          <w:shd w:val="clear" w:fill="FFFFFF"/>
          <w:lang w:val="en-US" w:eastAsia="zh-CN" w:bidi="ar"/>
          <w14:ligatures w14:val="none"/>
        </w:rPr>
        <w:t>①投标保证金缴纳证明材料、</w:t>
      </w:r>
      <w:r>
        <w:rPr>
          <w:rFonts w:hint="default" w:ascii="宋体" w:hAnsi="宋体" w:eastAsia="宋体" w:cs="宋体"/>
          <w:i w:val="0"/>
          <w:iCs w:val="0"/>
          <w:caps w:val="0"/>
          <w:color w:val="3D3D3D"/>
          <w:spacing w:val="0"/>
          <w:kern w:val="0"/>
          <w:sz w:val="24"/>
          <w:szCs w:val="24"/>
          <w:shd w:val="clear" w:fill="FFFFFF"/>
          <w:lang w:val="en-US" w:eastAsia="zh-CN" w:bidi="ar"/>
          <w14:ligatures w14:val="none"/>
        </w:rPr>
        <w:t>②</w:t>
      </w:r>
      <w:r>
        <w:rPr>
          <w:rFonts w:hint="eastAsia" w:ascii="宋体" w:hAnsi="宋体" w:eastAsia="宋体" w:cs="宋体"/>
          <w:i w:val="0"/>
          <w:iCs w:val="0"/>
          <w:caps w:val="0"/>
          <w:color w:val="3D3D3D"/>
          <w:spacing w:val="0"/>
          <w:kern w:val="0"/>
          <w:sz w:val="24"/>
          <w:szCs w:val="24"/>
          <w:shd w:val="clear" w:fill="FFFFFF"/>
          <w:lang w:val="en-US" w:eastAsia="zh-CN" w:bidi="ar"/>
          <w14:ligatures w14:val="none"/>
        </w:rPr>
        <w:t>企业开户许可证或企业银行基本存款账户开户基本信息</w:t>
      </w:r>
      <w:r>
        <w:rPr>
          <w:rFonts w:hint="eastAsia" w:ascii="宋体" w:hAnsi="宋体" w:eastAsia="宋体" w:cs="宋体"/>
          <w:i w:val="0"/>
          <w:iCs/>
          <w:color w:val="auto"/>
          <w:highlight w:val="none"/>
          <w:u w:val="none"/>
          <w:lang w:val="en-US" w:eastAsia="zh-CN"/>
        </w:rPr>
        <w:t>）</w:t>
      </w:r>
    </w:p>
    <w:p w14:paraId="161CCAB1">
      <w:pPr>
        <w:widowControl/>
        <w:spacing w:before="50" w:after="50"/>
        <w:ind w:firstLine="480" w:firstLineChars="200"/>
        <w:rPr>
          <w:rFonts w:ascii="宋体" w:hAnsi="宋体" w:eastAsia="宋体" w:cs="宋体"/>
          <w:i w:val="0"/>
          <w:iCs/>
          <w:color w:val="auto"/>
          <w:kern w:val="0"/>
          <w:sz w:val="24"/>
          <w:highlight w:val="none"/>
          <w:u w:val="none"/>
        </w:rPr>
      </w:pPr>
      <w:r>
        <w:rPr>
          <w:rFonts w:hint="eastAsia" w:ascii="宋体" w:hAnsi="宋体" w:eastAsia="宋体" w:cs="宋体"/>
          <w:i w:val="0"/>
          <w:iCs/>
          <w:color w:val="auto"/>
          <w:kern w:val="0"/>
          <w:sz w:val="24"/>
          <w:highlight w:val="none"/>
          <w:u w:val="none"/>
        </w:rPr>
        <w:t>十</w:t>
      </w:r>
      <w:r>
        <w:rPr>
          <w:rFonts w:hint="eastAsia" w:ascii="宋体" w:hAnsi="宋体" w:eastAsia="宋体" w:cs="宋体"/>
          <w:i w:val="0"/>
          <w:iCs/>
          <w:color w:val="auto"/>
          <w:kern w:val="0"/>
          <w:sz w:val="24"/>
          <w:highlight w:val="none"/>
          <w:u w:val="none"/>
          <w:lang w:val="en-US" w:eastAsia="zh-CN"/>
        </w:rPr>
        <w:t>四</w:t>
      </w:r>
      <w:r>
        <w:rPr>
          <w:rFonts w:hint="eastAsia" w:ascii="宋体" w:hAnsi="宋体" w:eastAsia="宋体" w:cs="宋体"/>
          <w:i w:val="0"/>
          <w:iCs/>
          <w:color w:val="auto"/>
          <w:kern w:val="0"/>
          <w:sz w:val="24"/>
          <w:highlight w:val="none"/>
          <w:u w:val="none"/>
        </w:rPr>
        <w:t>、技术方案、服务承诺、培训承诺等</w:t>
      </w:r>
    </w:p>
    <w:p w14:paraId="138E25DE">
      <w:pPr>
        <w:pStyle w:val="14"/>
        <w:spacing w:beforeAutospacing="0" w:afterAutospacing="0" w:line="360" w:lineRule="auto"/>
        <w:ind w:firstLine="480"/>
        <w:jc w:val="both"/>
        <w:rPr>
          <w:rFonts w:ascii="宋体" w:hAnsi="宋体" w:eastAsia="宋体" w:cs="宋体"/>
          <w:i w:val="0"/>
          <w:iCs/>
          <w:color w:val="auto"/>
          <w:highlight w:val="none"/>
          <w:u w:val="none"/>
        </w:rPr>
      </w:pPr>
      <w:r>
        <w:rPr>
          <w:rFonts w:hint="eastAsia" w:ascii="宋体" w:hAnsi="宋体" w:eastAsia="宋体" w:cs="宋体"/>
          <w:i w:val="0"/>
          <w:iCs/>
          <w:color w:val="auto"/>
          <w:highlight w:val="none"/>
          <w:u w:val="none"/>
        </w:rPr>
        <w:t>十</w:t>
      </w:r>
      <w:r>
        <w:rPr>
          <w:rFonts w:hint="eastAsia" w:ascii="宋体" w:hAnsi="宋体" w:eastAsia="宋体" w:cs="宋体"/>
          <w:i w:val="0"/>
          <w:iCs/>
          <w:color w:val="auto"/>
          <w:highlight w:val="none"/>
          <w:u w:val="none"/>
          <w:lang w:val="en-US" w:eastAsia="zh-CN"/>
        </w:rPr>
        <w:t>五</w:t>
      </w:r>
      <w:r>
        <w:rPr>
          <w:rFonts w:hint="eastAsia" w:ascii="宋体" w:hAnsi="宋体" w:eastAsia="宋体" w:cs="宋体"/>
          <w:i w:val="0"/>
          <w:iCs/>
          <w:color w:val="auto"/>
          <w:highlight w:val="none"/>
          <w:u w:val="none"/>
        </w:rPr>
        <w:t>、采购事前信用承诺书</w:t>
      </w:r>
    </w:p>
    <w:p w14:paraId="2B4328CE">
      <w:pPr>
        <w:pStyle w:val="14"/>
        <w:spacing w:beforeAutospacing="0" w:afterAutospacing="0" w:line="0" w:lineRule="atLeast"/>
        <w:ind w:firstLine="480"/>
        <w:jc w:val="both"/>
        <w:rPr>
          <w:rFonts w:ascii="宋体" w:hAnsi="宋体" w:eastAsia="宋体" w:cs="宋体"/>
          <w:color w:val="auto"/>
          <w:highlight w:val="none"/>
        </w:rPr>
      </w:pPr>
    </w:p>
    <w:p w14:paraId="77C0513D">
      <w:pPr>
        <w:pStyle w:val="14"/>
        <w:spacing w:beforeAutospacing="0" w:afterAutospacing="0" w:line="0" w:lineRule="atLeast"/>
        <w:ind w:firstLine="480"/>
        <w:jc w:val="both"/>
        <w:rPr>
          <w:rFonts w:ascii="宋体" w:hAnsi="宋体" w:eastAsia="宋体" w:cs="宋体"/>
          <w:color w:val="auto"/>
          <w:highlight w:val="none"/>
        </w:rPr>
      </w:pPr>
    </w:p>
    <w:p w14:paraId="28A2EEB9">
      <w:pPr>
        <w:pStyle w:val="14"/>
        <w:spacing w:beforeAutospacing="0" w:afterAutospacing="0" w:line="0" w:lineRule="atLeast"/>
        <w:ind w:firstLine="480"/>
        <w:jc w:val="both"/>
        <w:rPr>
          <w:color w:val="auto"/>
          <w:highlight w:val="none"/>
        </w:rPr>
      </w:pPr>
      <w:r>
        <w:rPr>
          <w:color w:val="auto"/>
          <w:highlight w:val="none"/>
        </w:rPr>
        <w:t> </w:t>
      </w:r>
    </w:p>
    <w:p w14:paraId="57ED5C12">
      <w:pPr>
        <w:pStyle w:val="14"/>
        <w:spacing w:beforeAutospacing="0" w:afterAutospacing="0" w:line="0" w:lineRule="atLeast"/>
        <w:ind w:firstLine="480"/>
        <w:jc w:val="both"/>
        <w:rPr>
          <w:color w:val="auto"/>
          <w:highlight w:val="none"/>
        </w:rPr>
      </w:pPr>
    </w:p>
    <w:p w14:paraId="3CF2DB2C">
      <w:pPr>
        <w:pStyle w:val="14"/>
        <w:spacing w:beforeAutospacing="0" w:afterAutospacing="0" w:line="0" w:lineRule="atLeast"/>
        <w:ind w:firstLine="480"/>
        <w:jc w:val="both"/>
        <w:rPr>
          <w:color w:val="auto"/>
          <w:highlight w:val="none"/>
        </w:rPr>
      </w:pPr>
    </w:p>
    <w:p w14:paraId="124DD40F">
      <w:pPr>
        <w:pStyle w:val="14"/>
        <w:spacing w:beforeAutospacing="0" w:afterAutospacing="0" w:line="0" w:lineRule="atLeast"/>
        <w:ind w:firstLine="480"/>
        <w:jc w:val="both"/>
        <w:rPr>
          <w:color w:val="auto"/>
          <w:highlight w:val="none"/>
        </w:rPr>
      </w:pPr>
    </w:p>
    <w:p w14:paraId="7852D89B">
      <w:pPr>
        <w:pStyle w:val="14"/>
        <w:spacing w:beforeAutospacing="0" w:afterAutospacing="0" w:line="0" w:lineRule="atLeast"/>
        <w:ind w:firstLine="480"/>
        <w:jc w:val="both"/>
        <w:rPr>
          <w:color w:val="auto"/>
          <w:highlight w:val="none"/>
        </w:rPr>
      </w:pPr>
    </w:p>
    <w:p w14:paraId="4294D02C">
      <w:pPr>
        <w:pStyle w:val="14"/>
        <w:spacing w:beforeAutospacing="0" w:afterAutospacing="0" w:line="0" w:lineRule="atLeast"/>
        <w:ind w:firstLine="480"/>
        <w:jc w:val="both"/>
        <w:rPr>
          <w:color w:val="auto"/>
          <w:highlight w:val="none"/>
        </w:rPr>
      </w:pPr>
    </w:p>
    <w:p w14:paraId="4634703E">
      <w:pPr>
        <w:pStyle w:val="14"/>
        <w:spacing w:beforeAutospacing="0" w:afterAutospacing="0" w:line="0" w:lineRule="atLeast"/>
        <w:ind w:firstLine="480"/>
        <w:jc w:val="both"/>
        <w:rPr>
          <w:color w:val="auto"/>
          <w:highlight w:val="none"/>
        </w:rPr>
      </w:pPr>
    </w:p>
    <w:p w14:paraId="1A4B5BC9">
      <w:pPr>
        <w:pStyle w:val="14"/>
        <w:spacing w:beforeAutospacing="0" w:afterAutospacing="0" w:line="0" w:lineRule="atLeast"/>
        <w:ind w:firstLine="480"/>
        <w:jc w:val="both"/>
        <w:rPr>
          <w:color w:val="auto"/>
          <w:highlight w:val="none"/>
        </w:rPr>
      </w:pPr>
    </w:p>
    <w:p w14:paraId="6B8460D8">
      <w:pPr>
        <w:pStyle w:val="14"/>
        <w:spacing w:beforeAutospacing="0" w:afterAutospacing="0" w:line="0" w:lineRule="atLeast"/>
        <w:ind w:firstLine="480"/>
        <w:jc w:val="both"/>
        <w:rPr>
          <w:color w:val="auto"/>
          <w:highlight w:val="none"/>
        </w:rPr>
      </w:pPr>
    </w:p>
    <w:p w14:paraId="4D36CF71">
      <w:pPr>
        <w:pStyle w:val="14"/>
        <w:spacing w:beforeAutospacing="0" w:afterAutospacing="0" w:line="0" w:lineRule="atLeast"/>
        <w:ind w:firstLine="480"/>
        <w:jc w:val="both"/>
        <w:rPr>
          <w:color w:val="auto"/>
          <w:highlight w:val="none"/>
        </w:rPr>
      </w:pPr>
    </w:p>
    <w:p w14:paraId="252DE08E">
      <w:pPr>
        <w:pStyle w:val="14"/>
        <w:spacing w:beforeAutospacing="0" w:afterAutospacing="0" w:line="0" w:lineRule="atLeast"/>
        <w:ind w:firstLine="480"/>
        <w:jc w:val="both"/>
        <w:rPr>
          <w:color w:val="auto"/>
          <w:highlight w:val="none"/>
        </w:rPr>
      </w:pPr>
    </w:p>
    <w:p w14:paraId="543D1337">
      <w:pPr>
        <w:pStyle w:val="14"/>
        <w:spacing w:beforeAutospacing="0" w:afterAutospacing="0" w:line="0" w:lineRule="atLeast"/>
        <w:ind w:firstLine="480"/>
        <w:jc w:val="both"/>
        <w:rPr>
          <w:color w:val="auto"/>
          <w:highlight w:val="none"/>
        </w:rPr>
      </w:pPr>
    </w:p>
    <w:p w14:paraId="72D6DEE7">
      <w:pPr>
        <w:pStyle w:val="14"/>
        <w:spacing w:beforeAutospacing="0" w:afterAutospacing="0" w:line="0" w:lineRule="atLeast"/>
        <w:ind w:firstLine="480"/>
        <w:jc w:val="both"/>
        <w:rPr>
          <w:color w:val="auto"/>
          <w:highlight w:val="none"/>
        </w:rPr>
      </w:pPr>
    </w:p>
    <w:p w14:paraId="39B1F8A1">
      <w:pPr>
        <w:pStyle w:val="14"/>
        <w:spacing w:beforeAutospacing="0" w:afterAutospacing="0" w:line="0" w:lineRule="atLeast"/>
        <w:ind w:firstLine="480"/>
        <w:jc w:val="both"/>
        <w:rPr>
          <w:color w:val="auto"/>
          <w:highlight w:val="none"/>
        </w:rPr>
      </w:pPr>
    </w:p>
    <w:p w14:paraId="571070F4">
      <w:pPr>
        <w:pStyle w:val="14"/>
        <w:spacing w:beforeAutospacing="0" w:afterAutospacing="0" w:line="0" w:lineRule="atLeast"/>
        <w:ind w:firstLine="480"/>
        <w:jc w:val="both"/>
        <w:rPr>
          <w:color w:val="auto"/>
          <w:highlight w:val="none"/>
        </w:rPr>
      </w:pPr>
    </w:p>
    <w:p w14:paraId="675F1568">
      <w:pPr>
        <w:pStyle w:val="14"/>
        <w:spacing w:beforeAutospacing="0" w:afterAutospacing="0" w:line="0" w:lineRule="atLeast"/>
        <w:ind w:firstLine="480"/>
        <w:jc w:val="both"/>
        <w:rPr>
          <w:color w:val="auto"/>
          <w:highlight w:val="none"/>
        </w:rPr>
      </w:pPr>
    </w:p>
    <w:p w14:paraId="702B7A3F">
      <w:pPr>
        <w:pStyle w:val="14"/>
        <w:spacing w:beforeAutospacing="0" w:afterAutospacing="0" w:line="0" w:lineRule="atLeast"/>
        <w:ind w:firstLine="480"/>
        <w:jc w:val="both"/>
        <w:rPr>
          <w:color w:val="auto"/>
          <w:highlight w:val="none"/>
        </w:rPr>
      </w:pPr>
    </w:p>
    <w:p w14:paraId="1D6F9C33">
      <w:pPr>
        <w:pStyle w:val="14"/>
        <w:spacing w:beforeAutospacing="0" w:afterAutospacing="0" w:line="0" w:lineRule="atLeast"/>
        <w:ind w:firstLine="480"/>
        <w:jc w:val="both"/>
        <w:rPr>
          <w:color w:val="auto"/>
          <w:highlight w:val="none"/>
        </w:rPr>
      </w:pPr>
    </w:p>
    <w:p w14:paraId="309A9E18">
      <w:pPr>
        <w:pStyle w:val="14"/>
        <w:spacing w:beforeAutospacing="0" w:afterAutospacing="0" w:line="0" w:lineRule="atLeast"/>
        <w:ind w:firstLine="480"/>
        <w:jc w:val="both"/>
        <w:rPr>
          <w:color w:val="auto"/>
          <w:highlight w:val="none"/>
        </w:rPr>
      </w:pPr>
    </w:p>
    <w:p w14:paraId="790569CF">
      <w:pPr>
        <w:pStyle w:val="14"/>
        <w:spacing w:beforeAutospacing="0" w:afterAutospacing="0" w:line="0" w:lineRule="atLeast"/>
        <w:ind w:firstLine="480"/>
        <w:jc w:val="both"/>
        <w:rPr>
          <w:color w:val="auto"/>
          <w:highlight w:val="none"/>
        </w:rPr>
      </w:pPr>
    </w:p>
    <w:p w14:paraId="3FEC30E4">
      <w:pPr>
        <w:pStyle w:val="14"/>
        <w:spacing w:beforeAutospacing="0" w:afterAutospacing="0" w:line="0" w:lineRule="atLeast"/>
        <w:ind w:firstLine="480"/>
        <w:jc w:val="both"/>
        <w:rPr>
          <w:color w:val="auto"/>
          <w:highlight w:val="none"/>
        </w:rPr>
      </w:pPr>
    </w:p>
    <w:p w14:paraId="261B9B28">
      <w:pPr>
        <w:spacing w:line="440" w:lineRule="exact"/>
        <w:jc w:val="center"/>
        <w:outlineLvl w:val="0"/>
        <w:rPr>
          <w:rFonts w:hint="eastAsia" w:ascii="宋体" w:hAnsi="宋体" w:cs="宋体"/>
          <w:b/>
          <w:color w:val="auto"/>
          <w:sz w:val="30"/>
          <w:szCs w:val="30"/>
          <w:highlight w:val="none"/>
        </w:rPr>
      </w:pPr>
      <w:r>
        <w:rPr>
          <w:color w:val="auto"/>
          <w:highlight w:val="none"/>
        </w:rPr>
        <w:t> </w:t>
      </w:r>
      <w:r>
        <w:rPr>
          <w:rFonts w:hint="eastAsia" w:ascii="宋体" w:hAnsi="宋体" w:cs="宋体"/>
          <w:color w:val="auto"/>
          <w:sz w:val="28"/>
          <w:szCs w:val="28"/>
          <w:highlight w:val="none"/>
        </w:rPr>
        <w:t xml:space="preserve">   </w:t>
      </w:r>
      <w:bookmarkStart w:id="173" w:name="_Toc16871"/>
      <w:bookmarkStart w:id="174" w:name="_Toc21505"/>
      <w:bookmarkStart w:id="175" w:name="_Toc6243"/>
      <w:r>
        <w:rPr>
          <w:rFonts w:hint="eastAsia" w:ascii="宋体" w:hAnsi="宋体"/>
          <w:b/>
          <w:bCs/>
          <w:color w:val="auto"/>
          <w:sz w:val="28"/>
          <w:szCs w:val="28"/>
          <w:highlight w:val="none"/>
        </w:rPr>
        <w:t>评分索引表</w:t>
      </w:r>
      <w:bookmarkEnd w:id="173"/>
      <w:r>
        <w:rPr>
          <w:rFonts w:hint="eastAsia" w:ascii="宋体" w:hAnsi="宋体"/>
          <w:b/>
          <w:bCs/>
          <w:color w:val="auto"/>
          <w:sz w:val="28"/>
          <w:szCs w:val="28"/>
          <w:highlight w:val="none"/>
        </w:rPr>
        <w:t>（格式自拟</w:t>
      </w:r>
      <w:r>
        <w:rPr>
          <w:rFonts w:hint="eastAsia" w:ascii="宋体" w:hAnsi="宋体" w:cs="宋体"/>
          <w:b/>
          <w:color w:val="auto"/>
          <w:sz w:val="30"/>
          <w:szCs w:val="30"/>
          <w:highlight w:val="none"/>
        </w:rPr>
        <w:t>）</w:t>
      </w:r>
      <w:bookmarkEnd w:id="174"/>
      <w:bookmarkEnd w:id="175"/>
    </w:p>
    <w:p w14:paraId="3CCA273D">
      <w:pPr>
        <w:spacing w:line="440" w:lineRule="exact"/>
        <w:jc w:val="center"/>
        <w:rPr>
          <w:rFonts w:hint="eastAsia" w:ascii="宋体" w:hAnsi="宋体" w:cs="宋体"/>
          <w:b/>
          <w:color w:val="auto"/>
          <w:sz w:val="30"/>
          <w:szCs w:val="30"/>
          <w:highlight w:val="none"/>
        </w:rPr>
      </w:pPr>
    </w:p>
    <w:tbl>
      <w:tblPr>
        <w:tblStyle w:val="1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0"/>
        <w:gridCol w:w="3570"/>
      </w:tblGrid>
      <w:tr w14:paraId="66775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vAlign w:val="center"/>
          </w:tcPr>
          <w:p w14:paraId="12E036C0">
            <w:pPr>
              <w:pStyle w:val="23"/>
              <w:shd w:val="clear" w:color="auto" w:fill="FFFFFF"/>
              <w:spacing w:line="265" w:lineRule="atLeast"/>
              <w:ind w:left="420" w:firstLine="0" w:firstLineChars="0"/>
              <w:jc w:val="center"/>
              <w:rPr>
                <w:rFonts w:hint="eastAsia" w:ascii="宋体" w:hAnsi="宋体" w:cs="宋体"/>
                <w:b/>
                <w:bCs/>
                <w:color w:val="auto"/>
                <w:highlight w:val="none"/>
              </w:rPr>
            </w:pPr>
            <w:r>
              <w:rPr>
                <w:rFonts w:hint="eastAsia" w:ascii="宋体" w:hAnsi="宋体" w:cs="宋体"/>
                <w:b/>
                <w:color w:val="auto"/>
                <w:highlight w:val="none"/>
              </w:rPr>
              <w:t>评分项目</w:t>
            </w:r>
          </w:p>
        </w:tc>
        <w:tc>
          <w:tcPr>
            <w:tcW w:w="3570" w:type="dxa"/>
            <w:vAlign w:val="center"/>
          </w:tcPr>
          <w:p w14:paraId="387B1A3B">
            <w:pPr>
              <w:jc w:val="center"/>
              <w:rPr>
                <w:rFonts w:hint="eastAsia" w:ascii="宋体" w:hAnsi="宋体" w:cs="宋体"/>
                <w:b/>
                <w:color w:val="auto"/>
                <w:highlight w:val="none"/>
              </w:rPr>
            </w:pPr>
            <w:r>
              <w:rPr>
                <w:rFonts w:hint="eastAsia" w:ascii="宋体" w:hAnsi="宋体" w:cs="宋体"/>
                <w:b/>
                <w:color w:val="auto"/>
                <w:kern w:val="0"/>
                <w:sz w:val="24"/>
                <w:highlight w:val="none"/>
                <w:lang w:bidi="en-US"/>
              </w:rPr>
              <w:t>在投标文件中的页码位置</w:t>
            </w:r>
          </w:p>
        </w:tc>
      </w:tr>
      <w:tr w14:paraId="26906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5670" w:type="dxa"/>
          </w:tcPr>
          <w:p w14:paraId="46E67992">
            <w:pPr>
              <w:pStyle w:val="23"/>
              <w:shd w:val="clear" w:color="auto" w:fill="FFFFFF"/>
              <w:spacing w:line="265" w:lineRule="atLeast"/>
              <w:ind w:left="420" w:firstLine="0" w:firstLineChars="0"/>
              <w:rPr>
                <w:rFonts w:hint="eastAsia" w:ascii="宋体" w:hAnsi="宋体" w:cs="宋体"/>
                <w:b/>
                <w:color w:val="auto"/>
                <w:highlight w:val="none"/>
              </w:rPr>
            </w:pPr>
          </w:p>
        </w:tc>
        <w:tc>
          <w:tcPr>
            <w:tcW w:w="3570" w:type="dxa"/>
          </w:tcPr>
          <w:p w14:paraId="351FC813">
            <w:pPr>
              <w:rPr>
                <w:rFonts w:hint="eastAsia" w:ascii="宋体" w:hAnsi="宋体" w:cs="宋体"/>
                <w:b/>
                <w:color w:val="auto"/>
                <w:kern w:val="0"/>
                <w:sz w:val="24"/>
                <w:highlight w:val="none"/>
                <w:lang w:bidi="en-US"/>
              </w:rPr>
            </w:pPr>
          </w:p>
        </w:tc>
      </w:tr>
      <w:tr w14:paraId="0E725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240" w:type="dxa"/>
            <w:gridSpan w:val="2"/>
          </w:tcPr>
          <w:p w14:paraId="41D015E0">
            <w:pPr>
              <w:pStyle w:val="23"/>
              <w:shd w:val="clear" w:color="auto" w:fill="FFFFFF"/>
              <w:spacing w:line="265" w:lineRule="atLeast"/>
              <w:ind w:left="420" w:firstLine="0" w:firstLineChars="0"/>
              <w:rPr>
                <w:rFonts w:hint="eastAsia" w:ascii="宋体" w:hAnsi="宋体" w:cs="宋体"/>
                <w:color w:val="auto"/>
                <w:highlight w:val="none"/>
              </w:rPr>
            </w:pPr>
          </w:p>
        </w:tc>
      </w:tr>
      <w:tr w14:paraId="6E2B5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14:paraId="51EC3C15">
            <w:pPr>
              <w:pStyle w:val="23"/>
              <w:shd w:val="clear" w:color="auto" w:fill="FFFFFF"/>
              <w:spacing w:line="265" w:lineRule="atLeast"/>
              <w:ind w:left="420" w:firstLine="0" w:firstLineChars="0"/>
              <w:rPr>
                <w:rFonts w:hint="eastAsia" w:ascii="宋体" w:hAnsi="宋体" w:cs="宋体"/>
                <w:color w:val="auto"/>
                <w:highlight w:val="none"/>
              </w:rPr>
            </w:pPr>
          </w:p>
        </w:tc>
        <w:tc>
          <w:tcPr>
            <w:tcW w:w="3570" w:type="dxa"/>
          </w:tcPr>
          <w:p w14:paraId="18D3191D">
            <w:pPr>
              <w:rPr>
                <w:rFonts w:hint="eastAsia" w:ascii="宋体" w:hAnsi="宋体" w:cs="宋体"/>
                <w:color w:val="auto"/>
                <w:highlight w:val="none"/>
              </w:rPr>
            </w:pPr>
          </w:p>
        </w:tc>
      </w:tr>
      <w:tr w14:paraId="7C379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14:paraId="60139718">
            <w:pPr>
              <w:pStyle w:val="23"/>
              <w:shd w:val="clear" w:color="auto" w:fill="FFFFFF"/>
              <w:spacing w:line="265" w:lineRule="atLeast"/>
              <w:ind w:left="420" w:firstLine="0" w:firstLineChars="0"/>
              <w:rPr>
                <w:rFonts w:hint="eastAsia" w:ascii="宋体" w:hAnsi="宋体" w:cs="宋体"/>
                <w:color w:val="auto"/>
                <w:highlight w:val="none"/>
              </w:rPr>
            </w:pPr>
          </w:p>
        </w:tc>
        <w:tc>
          <w:tcPr>
            <w:tcW w:w="3570" w:type="dxa"/>
          </w:tcPr>
          <w:p w14:paraId="59F3DE93">
            <w:pPr>
              <w:rPr>
                <w:rFonts w:hint="eastAsia" w:ascii="宋体" w:hAnsi="宋体" w:cs="宋体"/>
                <w:color w:val="auto"/>
                <w:highlight w:val="none"/>
              </w:rPr>
            </w:pPr>
          </w:p>
        </w:tc>
      </w:tr>
      <w:tr w14:paraId="06929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14:paraId="6CEDB411">
            <w:pPr>
              <w:pStyle w:val="23"/>
              <w:shd w:val="clear" w:color="auto" w:fill="FFFFFF"/>
              <w:spacing w:line="265" w:lineRule="atLeast"/>
              <w:ind w:left="420" w:firstLine="0" w:firstLineChars="0"/>
              <w:rPr>
                <w:rFonts w:hint="eastAsia" w:ascii="宋体" w:hAnsi="宋体" w:cs="宋体"/>
                <w:color w:val="auto"/>
                <w:highlight w:val="none"/>
              </w:rPr>
            </w:pPr>
          </w:p>
        </w:tc>
        <w:tc>
          <w:tcPr>
            <w:tcW w:w="3570" w:type="dxa"/>
          </w:tcPr>
          <w:p w14:paraId="400326BE">
            <w:pPr>
              <w:rPr>
                <w:rFonts w:hint="eastAsia" w:ascii="宋体" w:hAnsi="宋体" w:cs="宋体"/>
                <w:color w:val="auto"/>
                <w:highlight w:val="none"/>
              </w:rPr>
            </w:pPr>
          </w:p>
        </w:tc>
      </w:tr>
      <w:tr w14:paraId="20EDD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5670" w:type="dxa"/>
          </w:tcPr>
          <w:p w14:paraId="74B3DDA1">
            <w:pPr>
              <w:pStyle w:val="23"/>
              <w:shd w:val="clear" w:color="auto" w:fill="FFFFFF"/>
              <w:spacing w:line="265" w:lineRule="atLeast"/>
              <w:ind w:left="420" w:firstLine="0" w:firstLineChars="0"/>
              <w:rPr>
                <w:rFonts w:hint="eastAsia" w:ascii="宋体" w:hAnsi="宋体" w:cs="宋体"/>
                <w:color w:val="auto"/>
                <w:highlight w:val="none"/>
              </w:rPr>
            </w:pPr>
          </w:p>
        </w:tc>
        <w:tc>
          <w:tcPr>
            <w:tcW w:w="3570" w:type="dxa"/>
          </w:tcPr>
          <w:p w14:paraId="6B535BB3">
            <w:pPr>
              <w:rPr>
                <w:rFonts w:hint="eastAsia" w:ascii="宋体" w:hAnsi="宋体" w:cs="宋体"/>
                <w:color w:val="auto"/>
                <w:highlight w:val="none"/>
              </w:rPr>
            </w:pPr>
          </w:p>
        </w:tc>
      </w:tr>
      <w:tr w14:paraId="4F711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14:paraId="595F29C9">
            <w:pPr>
              <w:pStyle w:val="23"/>
              <w:shd w:val="clear" w:color="auto" w:fill="FFFFFF"/>
              <w:spacing w:line="265" w:lineRule="atLeast"/>
              <w:ind w:left="420" w:firstLine="0" w:firstLineChars="0"/>
              <w:rPr>
                <w:rFonts w:hint="eastAsia" w:ascii="宋体" w:hAnsi="宋体" w:cs="宋体"/>
                <w:color w:val="auto"/>
                <w:highlight w:val="none"/>
              </w:rPr>
            </w:pPr>
          </w:p>
        </w:tc>
        <w:tc>
          <w:tcPr>
            <w:tcW w:w="3570" w:type="dxa"/>
          </w:tcPr>
          <w:p w14:paraId="6B941804">
            <w:pPr>
              <w:rPr>
                <w:rFonts w:hint="eastAsia" w:ascii="宋体" w:hAnsi="宋体" w:cs="宋体"/>
                <w:color w:val="auto"/>
                <w:highlight w:val="none"/>
              </w:rPr>
            </w:pPr>
          </w:p>
        </w:tc>
      </w:tr>
      <w:tr w14:paraId="5FCEB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9240" w:type="dxa"/>
            <w:gridSpan w:val="2"/>
          </w:tcPr>
          <w:p w14:paraId="3D1598F6">
            <w:pPr>
              <w:pStyle w:val="23"/>
              <w:shd w:val="clear" w:color="auto" w:fill="FFFFFF"/>
              <w:spacing w:line="265" w:lineRule="atLeast"/>
              <w:ind w:left="420" w:firstLine="0" w:firstLineChars="0"/>
              <w:rPr>
                <w:rFonts w:hint="eastAsia" w:ascii="宋体" w:hAnsi="宋体" w:cs="宋体"/>
                <w:color w:val="auto"/>
                <w:highlight w:val="none"/>
              </w:rPr>
            </w:pPr>
          </w:p>
        </w:tc>
      </w:tr>
      <w:tr w14:paraId="1A484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670" w:type="dxa"/>
          </w:tcPr>
          <w:p w14:paraId="67E9B467">
            <w:pPr>
              <w:pStyle w:val="23"/>
              <w:shd w:val="clear" w:color="auto" w:fill="FFFFFF"/>
              <w:spacing w:line="265" w:lineRule="atLeast"/>
              <w:ind w:left="420" w:firstLine="0" w:firstLineChars="0"/>
              <w:rPr>
                <w:rFonts w:hint="eastAsia" w:ascii="宋体" w:hAnsi="宋体" w:cs="宋体"/>
                <w:color w:val="auto"/>
                <w:highlight w:val="none"/>
              </w:rPr>
            </w:pPr>
          </w:p>
        </w:tc>
        <w:tc>
          <w:tcPr>
            <w:tcW w:w="3570" w:type="dxa"/>
          </w:tcPr>
          <w:p w14:paraId="0FE67903">
            <w:pPr>
              <w:rPr>
                <w:rFonts w:hint="eastAsia" w:ascii="宋体" w:hAnsi="宋体" w:cs="宋体"/>
                <w:color w:val="auto"/>
                <w:highlight w:val="none"/>
              </w:rPr>
            </w:pPr>
          </w:p>
        </w:tc>
      </w:tr>
      <w:tr w14:paraId="48F56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5670" w:type="dxa"/>
          </w:tcPr>
          <w:p w14:paraId="3B619392">
            <w:pPr>
              <w:pStyle w:val="23"/>
              <w:shd w:val="clear" w:color="auto" w:fill="FFFFFF"/>
              <w:spacing w:line="265" w:lineRule="atLeast"/>
              <w:ind w:left="420" w:firstLine="0" w:firstLineChars="0"/>
              <w:rPr>
                <w:rFonts w:hint="eastAsia" w:ascii="宋体" w:hAnsi="宋体" w:cs="宋体"/>
                <w:color w:val="auto"/>
                <w:highlight w:val="none"/>
              </w:rPr>
            </w:pPr>
          </w:p>
        </w:tc>
        <w:tc>
          <w:tcPr>
            <w:tcW w:w="3570" w:type="dxa"/>
          </w:tcPr>
          <w:p w14:paraId="275988A0">
            <w:pPr>
              <w:rPr>
                <w:rFonts w:hint="eastAsia" w:ascii="宋体" w:hAnsi="宋体" w:cs="宋体"/>
                <w:color w:val="auto"/>
                <w:highlight w:val="none"/>
              </w:rPr>
            </w:pPr>
          </w:p>
        </w:tc>
      </w:tr>
      <w:tr w14:paraId="56D4E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670" w:type="dxa"/>
          </w:tcPr>
          <w:p w14:paraId="612590BC">
            <w:pPr>
              <w:pStyle w:val="23"/>
              <w:shd w:val="clear" w:color="auto" w:fill="FFFFFF"/>
              <w:spacing w:line="265" w:lineRule="atLeast"/>
              <w:ind w:left="420" w:firstLine="0" w:firstLineChars="0"/>
              <w:rPr>
                <w:rFonts w:hint="eastAsia" w:ascii="宋体" w:hAnsi="宋体" w:cs="宋体"/>
                <w:color w:val="auto"/>
                <w:highlight w:val="none"/>
              </w:rPr>
            </w:pPr>
          </w:p>
        </w:tc>
        <w:tc>
          <w:tcPr>
            <w:tcW w:w="3570" w:type="dxa"/>
          </w:tcPr>
          <w:p w14:paraId="48EF0ECC">
            <w:pPr>
              <w:rPr>
                <w:rFonts w:hint="eastAsia" w:ascii="宋体" w:hAnsi="宋体" w:cs="宋体"/>
                <w:color w:val="auto"/>
                <w:highlight w:val="none"/>
              </w:rPr>
            </w:pPr>
          </w:p>
        </w:tc>
      </w:tr>
      <w:tr w14:paraId="36500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5670" w:type="dxa"/>
          </w:tcPr>
          <w:p w14:paraId="703864A4">
            <w:pPr>
              <w:pStyle w:val="23"/>
              <w:shd w:val="clear" w:color="auto" w:fill="FFFFFF"/>
              <w:spacing w:line="265" w:lineRule="atLeast"/>
              <w:ind w:left="420" w:firstLine="0" w:firstLineChars="0"/>
              <w:rPr>
                <w:rFonts w:hint="eastAsia" w:ascii="宋体" w:hAnsi="宋体" w:cs="宋体"/>
                <w:color w:val="auto"/>
                <w:highlight w:val="none"/>
              </w:rPr>
            </w:pPr>
          </w:p>
        </w:tc>
        <w:tc>
          <w:tcPr>
            <w:tcW w:w="3570" w:type="dxa"/>
          </w:tcPr>
          <w:p w14:paraId="47F671C6">
            <w:pPr>
              <w:rPr>
                <w:rFonts w:hint="eastAsia" w:ascii="宋体" w:hAnsi="宋体" w:cs="宋体"/>
                <w:color w:val="auto"/>
                <w:highlight w:val="none"/>
              </w:rPr>
            </w:pPr>
          </w:p>
        </w:tc>
      </w:tr>
      <w:tr w14:paraId="75AED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5670" w:type="dxa"/>
          </w:tcPr>
          <w:p w14:paraId="7488B95B">
            <w:pPr>
              <w:pStyle w:val="23"/>
              <w:shd w:val="clear" w:color="auto" w:fill="FFFFFF"/>
              <w:spacing w:line="265" w:lineRule="atLeast"/>
              <w:ind w:left="420" w:firstLine="0" w:firstLineChars="0"/>
              <w:rPr>
                <w:rFonts w:hint="eastAsia" w:ascii="宋体" w:hAnsi="宋体" w:cs="宋体"/>
                <w:color w:val="auto"/>
                <w:highlight w:val="none"/>
              </w:rPr>
            </w:pPr>
          </w:p>
        </w:tc>
        <w:tc>
          <w:tcPr>
            <w:tcW w:w="3570" w:type="dxa"/>
          </w:tcPr>
          <w:p w14:paraId="192A8856">
            <w:pPr>
              <w:rPr>
                <w:rFonts w:hint="eastAsia" w:ascii="宋体" w:hAnsi="宋体" w:cs="宋体"/>
                <w:color w:val="auto"/>
                <w:highlight w:val="none"/>
              </w:rPr>
            </w:pPr>
          </w:p>
        </w:tc>
      </w:tr>
      <w:tr w14:paraId="31AF3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240" w:type="dxa"/>
            <w:gridSpan w:val="2"/>
          </w:tcPr>
          <w:p w14:paraId="3F70EE9B">
            <w:pPr>
              <w:pStyle w:val="23"/>
              <w:shd w:val="clear" w:color="auto" w:fill="FFFFFF"/>
              <w:spacing w:line="265" w:lineRule="atLeast"/>
              <w:ind w:left="420" w:firstLine="0" w:firstLineChars="0"/>
              <w:rPr>
                <w:rFonts w:hint="eastAsia" w:ascii="宋体" w:hAnsi="宋体" w:cs="宋体"/>
                <w:b/>
                <w:color w:val="auto"/>
                <w:highlight w:val="none"/>
              </w:rPr>
            </w:pPr>
          </w:p>
        </w:tc>
      </w:tr>
      <w:tr w14:paraId="2E22F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14:paraId="3FE44D1D">
            <w:pPr>
              <w:pStyle w:val="23"/>
              <w:shd w:val="clear" w:color="auto" w:fill="FFFFFF"/>
              <w:spacing w:line="265" w:lineRule="atLeast"/>
              <w:ind w:left="420" w:firstLine="0" w:firstLineChars="0"/>
              <w:rPr>
                <w:rFonts w:hint="eastAsia" w:ascii="宋体" w:hAnsi="宋体" w:cs="宋体"/>
                <w:b/>
                <w:bCs/>
                <w:color w:val="auto"/>
                <w:highlight w:val="none"/>
              </w:rPr>
            </w:pPr>
          </w:p>
        </w:tc>
        <w:tc>
          <w:tcPr>
            <w:tcW w:w="3570" w:type="dxa"/>
          </w:tcPr>
          <w:p w14:paraId="6C08A26D">
            <w:pPr>
              <w:rPr>
                <w:rFonts w:hint="eastAsia" w:ascii="宋体" w:hAnsi="宋体" w:cs="宋体"/>
                <w:color w:val="auto"/>
                <w:highlight w:val="none"/>
              </w:rPr>
            </w:pPr>
          </w:p>
        </w:tc>
      </w:tr>
      <w:tr w14:paraId="27511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670" w:type="dxa"/>
          </w:tcPr>
          <w:p w14:paraId="1125C158">
            <w:pPr>
              <w:pStyle w:val="23"/>
              <w:shd w:val="clear" w:color="auto" w:fill="FFFFFF"/>
              <w:spacing w:line="265" w:lineRule="atLeast"/>
              <w:ind w:left="420" w:firstLine="0" w:firstLineChars="0"/>
              <w:rPr>
                <w:rFonts w:hint="eastAsia" w:ascii="宋体" w:hAnsi="宋体" w:cs="宋体"/>
                <w:color w:val="auto"/>
                <w:highlight w:val="none"/>
              </w:rPr>
            </w:pPr>
          </w:p>
        </w:tc>
        <w:tc>
          <w:tcPr>
            <w:tcW w:w="3570" w:type="dxa"/>
          </w:tcPr>
          <w:p w14:paraId="7195781A">
            <w:pPr>
              <w:rPr>
                <w:rFonts w:hint="eastAsia" w:ascii="宋体" w:hAnsi="宋体" w:cs="宋体"/>
                <w:color w:val="auto"/>
                <w:highlight w:val="none"/>
              </w:rPr>
            </w:pPr>
          </w:p>
        </w:tc>
      </w:tr>
      <w:tr w14:paraId="7DA37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670" w:type="dxa"/>
          </w:tcPr>
          <w:p w14:paraId="2A7FC0A8">
            <w:pPr>
              <w:pStyle w:val="23"/>
              <w:shd w:val="clear" w:color="auto" w:fill="FFFFFF"/>
              <w:spacing w:line="265" w:lineRule="atLeast"/>
              <w:ind w:left="420" w:firstLine="0" w:firstLineChars="0"/>
              <w:rPr>
                <w:rFonts w:hint="eastAsia" w:ascii="宋体" w:hAnsi="宋体" w:cs="宋体"/>
                <w:b/>
                <w:bCs/>
                <w:color w:val="auto"/>
                <w:highlight w:val="none"/>
              </w:rPr>
            </w:pPr>
          </w:p>
        </w:tc>
        <w:tc>
          <w:tcPr>
            <w:tcW w:w="3570" w:type="dxa"/>
          </w:tcPr>
          <w:p w14:paraId="5BD8D467">
            <w:pPr>
              <w:rPr>
                <w:rFonts w:hint="eastAsia" w:ascii="宋体" w:hAnsi="宋体" w:cs="宋体"/>
                <w:color w:val="auto"/>
                <w:highlight w:val="none"/>
              </w:rPr>
            </w:pPr>
          </w:p>
        </w:tc>
      </w:tr>
      <w:tr w14:paraId="18E12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9240" w:type="dxa"/>
            <w:gridSpan w:val="2"/>
          </w:tcPr>
          <w:p w14:paraId="51353040">
            <w:pPr>
              <w:pStyle w:val="23"/>
              <w:shd w:val="clear" w:color="auto" w:fill="FFFFFF"/>
              <w:spacing w:line="265" w:lineRule="atLeast"/>
              <w:ind w:left="420" w:firstLine="0" w:firstLineChars="0"/>
              <w:rPr>
                <w:rFonts w:hint="eastAsia" w:ascii="宋体" w:hAnsi="宋体" w:cs="宋体"/>
                <w:b/>
                <w:color w:val="auto"/>
                <w:highlight w:val="none"/>
              </w:rPr>
            </w:pPr>
          </w:p>
        </w:tc>
      </w:tr>
      <w:tr w14:paraId="6A5C9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670" w:type="dxa"/>
          </w:tcPr>
          <w:p w14:paraId="57A58EF4">
            <w:pPr>
              <w:pStyle w:val="23"/>
              <w:shd w:val="clear" w:color="auto" w:fill="FFFFFF"/>
              <w:spacing w:line="265" w:lineRule="atLeast"/>
              <w:ind w:firstLine="0" w:firstLineChars="0"/>
              <w:rPr>
                <w:rFonts w:hint="eastAsia" w:ascii="宋体" w:hAnsi="宋体" w:cs="宋体"/>
                <w:color w:val="auto"/>
                <w:szCs w:val="21"/>
                <w:highlight w:val="none"/>
              </w:rPr>
            </w:pPr>
          </w:p>
        </w:tc>
        <w:tc>
          <w:tcPr>
            <w:tcW w:w="3570" w:type="dxa"/>
          </w:tcPr>
          <w:p w14:paraId="33B0D0C9">
            <w:pPr>
              <w:rPr>
                <w:rFonts w:hint="eastAsia" w:ascii="宋体" w:hAnsi="宋体" w:cs="宋体"/>
                <w:color w:val="auto"/>
                <w:highlight w:val="none"/>
              </w:rPr>
            </w:pPr>
          </w:p>
        </w:tc>
      </w:tr>
      <w:tr w14:paraId="7C8C0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5670" w:type="dxa"/>
            <w:tcBorders>
              <w:bottom w:val="single" w:color="auto" w:sz="4" w:space="0"/>
            </w:tcBorders>
          </w:tcPr>
          <w:p w14:paraId="5995033C">
            <w:pPr>
              <w:pStyle w:val="23"/>
              <w:shd w:val="clear" w:color="auto" w:fill="FFFFFF"/>
              <w:spacing w:line="265" w:lineRule="atLeast"/>
              <w:ind w:firstLine="0" w:firstLineChars="0"/>
              <w:rPr>
                <w:rFonts w:hint="eastAsia" w:ascii="宋体" w:hAnsi="宋体" w:cs="宋体"/>
                <w:color w:val="auto"/>
                <w:highlight w:val="none"/>
              </w:rPr>
            </w:pPr>
          </w:p>
        </w:tc>
        <w:tc>
          <w:tcPr>
            <w:tcW w:w="3570" w:type="dxa"/>
            <w:tcBorders>
              <w:bottom w:val="single" w:color="auto" w:sz="4" w:space="0"/>
            </w:tcBorders>
          </w:tcPr>
          <w:p w14:paraId="1D4EBB34">
            <w:pPr>
              <w:rPr>
                <w:rFonts w:hint="eastAsia" w:ascii="宋体" w:hAnsi="宋体" w:cs="宋体"/>
                <w:color w:val="auto"/>
                <w:highlight w:val="none"/>
              </w:rPr>
            </w:pPr>
          </w:p>
        </w:tc>
      </w:tr>
    </w:tbl>
    <w:p w14:paraId="15993BF7">
      <w:pPr>
        <w:pStyle w:val="14"/>
        <w:spacing w:beforeAutospacing="0" w:afterAutospacing="0" w:line="0" w:lineRule="atLeast"/>
        <w:ind w:firstLine="480"/>
        <w:jc w:val="both"/>
        <w:rPr>
          <w:color w:val="auto"/>
          <w:highlight w:val="none"/>
        </w:rPr>
      </w:pPr>
    </w:p>
    <w:p w14:paraId="41206A44">
      <w:pPr>
        <w:pStyle w:val="14"/>
        <w:spacing w:beforeAutospacing="0" w:afterAutospacing="0" w:line="0" w:lineRule="atLeast"/>
        <w:ind w:firstLine="480"/>
        <w:jc w:val="both"/>
        <w:rPr>
          <w:color w:val="auto"/>
          <w:highlight w:val="none"/>
        </w:rPr>
      </w:pPr>
      <w:r>
        <w:rPr>
          <w:color w:val="auto"/>
          <w:highlight w:val="none"/>
        </w:rPr>
        <w:t> </w:t>
      </w:r>
    </w:p>
    <w:p w14:paraId="7E08E7EC">
      <w:pPr>
        <w:pStyle w:val="14"/>
        <w:spacing w:beforeAutospacing="0" w:afterAutospacing="0" w:line="0" w:lineRule="atLeast"/>
        <w:ind w:firstLine="480"/>
        <w:jc w:val="both"/>
        <w:rPr>
          <w:color w:val="auto"/>
          <w:highlight w:val="none"/>
        </w:rPr>
      </w:pPr>
      <w:r>
        <w:rPr>
          <w:color w:val="auto"/>
          <w:highlight w:val="none"/>
        </w:rPr>
        <w:t> </w:t>
      </w:r>
    </w:p>
    <w:p w14:paraId="22FD2207">
      <w:pPr>
        <w:pStyle w:val="14"/>
        <w:spacing w:beforeAutospacing="0" w:afterAutospacing="0" w:line="0" w:lineRule="atLeast"/>
        <w:ind w:firstLine="480"/>
        <w:jc w:val="both"/>
        <w:rPr>
          <w:color w:val="auto"/>
          <w:highlight w:val="none"/>
        </w:rPr>
      </w:pPr>
    </w:p>
    <w:p w14:paraId="5C7EF343">
      <w:pPr>
        <w:pStyle w:val="14"/>
        <w:spacing w:beforeAutospacing="0" w:afterAutospacing="0" w:line="0" w:lineRule="atLeast"/>
        <w:ind w:firstLine="480"/>
        <w:jc w:val="both"/>
        <w:rPr>
          <w:color w:val="auto"/>
          <w:highlight w:val="none"/>
        </w:rPr>
      </w:pPr>
    </w:p>
    <w:p w14:paraId="36B01A60">
      <w:pPr>
        <w:pStyle w:val="14"/>
        <w:spacing w:beforeAutospacing="0" w:afterAutospacing="0" w:line="0" w:lineRule="atLeast"/>
        <w:ind w:firstLine="480"/>
        <w:jc w:val="both"/>
        <w:rPr>
          <w:color w:val="auto"/>
          <w:highlight w:val="none"/>
        </w:rPr>
      </w:pPr>
    </w:p>
    <w:p w14:paraId="02254F24">
      <w:pPr>
        <w:pStyle w:val="14"/>
        <w:spacing w:beforeAutospacing="0" w:afterAutospacing="0" w:line="0" w:lineRule="atLeast"/>
        <w:ind w:firstLine="480"/>
        <w:jc w:val="both"/>
        <w:rPr>
          <w:color w:val="auto"/>
          <w:highlight w:val="none"/>
        </w:rPr>
      </w:pPr>
    </w:p>
    <w:p w14:paraId="4AB0D669">
      <w:pPr>
        <w:pStyle w:val="14"/>
        <w:spacing w:beforeAutospacing="0" w:afterAutospacing="0" w:line="0" w:lineRule="atLeast"/>
        <w:ind w:firstLine="480"/>
        <w:jc w:val="both"/>
        <w:rPr>
          <w:color w:val="auto"/>
          <w:highlight w:val="none"/>
        </w:rPr>
      </w:pPr>
    </w:p>
    <w:p w14:paraId="083788F3">
      <w:pPr>
        <w:pStyle w:val="14"/>
        <w:spacing w:beforeAutospacing="0" w:afterAutospacing="0" w:line="0" w:lineRule="atLeast"/>
        <w:ind w:firstLine="480"/>
        <w:jc w:val="both"/>
        <w:rPr>
          <w:color w:val="auto"/>
          <w:highlight w:val="none"/>
        </w:rPr>
      </w:pPr>
    </w:p>
    <w:p w14:paraId="1EC8B59E">
      <w:pPr>
        <w:pStyle w:val="14"/>
        <w:spacing w:beforeAutospacing="0" w:afterAutospacing="0" w:line="0" w:lineRule="atLeast"/>
        <w:ind w:firstLine="480"/>
        <w:jc w:val="both"/>
        <w:rPr>
          <w:color w:val="auto"/>
          <w:highlight w:val="none"/>
        </w:rPr>
      </w:pPr>
    </w:p>
    <w:p w14:paraId="02056A74">
      <w:pPr>
        <w:pStyle w:val="14"/>
        <w:spacing w:beforeAutospacing="0" w:afterAutospacing="0" w:line="0" w:lineRule="atLeast"/>
        <w:ind w:firstLine="480"/>
        <w:jc w:val="both"/>
        <w:rPr>
          <w:color w:val="auto"/>
          <w:highlight w:val="none"/>
        </w:rPr>
      </w:pPr>
    </w:p>
    <w:p w14:paraId="220C742C">
      <w:pPr>
        <w:pStyle w:val="14"/>
        <w:spacing w:beforeAutospacing="0" w:afterAutospacing="0" w:line="0" w:lineRule="atLeast"/>
        <w:ind w:firstLine="480"/>
        <w:jc w:val="both"/>
        <w:rPr>
          <w:color w:val="auto"/>
          <w:highlight w:val="none"/>
        </w:rPr>
      </w:pPr>
    </w:p>
    <w:p w14:paraId="19D49FFD">
      <w:pPr>
        <w:pStyle w:val="14"/>
        <w:spacing w:beforeAutospacing="0" w:afterAutospacing="0" w:line="0" w:lineRule="atLeast"/>
        <w:ind w:firstLine="480"/>
        <w:jc w:val="both"/>
        <w:rPr>
          <w:color w:val="auto"/>
          <w:highlight w:val="none"/>
        </w:rPr>
      </w:pPr>
    </w:p>
    <w:p w14:paraId="5593769B">
      <w:pPr>
        <w:pStyle w:val="14"/>
        <w:spacing w:beforeAutospacing="0" w:afterAutospacing="0" w:line="0" w:lineRule="atLeast"/>
        <w:ind w:firstLine="480"/>
        <w:jc w:val="both"/>
        <w:rPr>
          <w:color w:val="auto"/>
          <w:highlight w:val="none"/>
        </w:rPr>
      </w:pPr>
    </w:p>
    <w:p w14:paraId="75F6EE61">
      <w:pPr>
        <w:pStyle w:val="14"/>
        <w:spacing w:beforeAutospacing="0" w:afterAutospacing="0" w:line="0" w:lineRule="atLeast"/>
        <w:ind w:firstLine="480"/>
        <w:jc w:val="both"/>
        <w:rPr>
          <w:color w:val="auto"/>
          <w:highlight w:val="none"/>
        </w:rPr>
      </w:pPr>
    </w:p>
    <w:p w14:paraId="31558438">
      <w:pPr>
        <w:pStyle w:val="14"/>
        <w:spacing w:beforeAutospacing="0" w:afterAutospacing="0" w:line="0" w:lineRule="atLeast"/>
        <w:ind w:firstLine="480"/>
        <w:jc w:val="both"/>
        <w:rPr>
          <w:color w:val="auto"/>
          <w:highlight w:val="none"/>
        </w:rPr>
      </w:pPr>
    </w:p>
    <w:p w14:paraId="28CCB0B1">
      <w:pPr>
        <w:pStyle w:val="14"/>
        <w:spacing w:beforeAutospacing="0" w:afterAutospacing="0" w:line="0" w:lineRule="atLeast"/>
        <w:ind w:firstLine="480"/>
        <w:jc w:val="both"/>
        <w:rPr>
          <w:color w:val="auto"/>
          <w:highlight w:val="none"/>
        </w:rPr>
      </w:pPr>
    </w:p>
    <w:p w14:paraId="69E86489">
      <w:pPr>
        <w:pStyle w:val="14"/>
        <w:spacing w:beforeAutospacing="0" w:afterAutospacing="0" w:line="0" w:lineRule="atLeast"/>
        <w:ind w:firstLine="480"/>
        <w:jc w:val="both"/>
        <w:rPr>
          <w:color w:val="auto"/>
          <w:highlight w:val="none"/>
        </w:rPr>
      </w:pPr>
      <w:r>
        <w:rPr>
          <w:color w:val="auto"/>
          <w:highlight w:val="none"/>
        </w:rPr>
        <w:t> </w:t>
      </w:r>
    </w:p>
    <w:p w14:paraId="583B5796">
      <w:pPr>
        <w:pStyle w:val="14"/>
        <w:spacing w:beforeAutospacing="0" w:afterAutospacing="0" w:line="0" w:lineRule="atLeast"/>
        <w:ind w:firstLine="480"/>
        <w:jc w:val="both"/>
        <w:rPr>
          <w:color w:val="auto"/>
          <w:highlight w:val="none"/>
        </w:rPr>
      </w:pPr>
      <w:r>
        <w:rPr>
          <w:color w:val="auto"/>
          <w:highlight w:val="none"/>
        </w:rPr>
        <w:t> </w:t>
      </w:r>
    </w:p>
    <w:p w14:paraId="65A71E3F">
      <w:pPr>
        <w:pStyle w:val="14"/>
        <w:spacing w:beforeAutospacing="0" w:afterAutospacing="0" w:line="0" w:lineRule="atLeast"/>
        <w:ind w:firstLine="480"/>
        <w:jc w:val="both"/>
        <w:rPr>
          <w:color w:val="auto"/>
          <w:highlight w:val="none"/>
        </w:rPr>
      </w:pPr>
      <w:r>
        <w:rPr>
          <w:color w:val="auto"/>
          <w:highlight w:val="none"/>
        </w:rPr>
        <w:t> </w:t>
      </w:r>
    </w:p>
    <w:p w14:paraId="4A7AD10E">
      <w:pPr>
        <w:pStyle w:val="14"/>
        <w:spacing w:beforeAutospacing="0" w:afterAutospacing="0" w:line="0" w:lineRule="atLeast"/>
        <w:ind w:firstLine="480"/>
        <w:jc w:val="both"/>
        <w:rPr>
          <w:color w:val="auto"/>
          <w:highlight w:val="none"/>
        </w:rPr>
      </w:pPr>
      <w:r>
        <w:rPr>
          <w:color w:val="auto"/>
          <w:highlight w:val="none"/>
        </w:rPr>
        <w:t> </w:t>
      </w:r>
    </w:p>
    <w:p w14:paraId="3AFD48EA">
      <w:pPr>
        <w:pStyle w:val="14"/>
        <w:spacing w:beforeAutospacing="0" w:afterAutospacing="0"/>
        <w:jc w:val="both"/>
        <w:rPr>
          <w:color w:val="auto"/>
          <w:highlight w:val="none"/>
        </w:rPr>
      </w:pPr>
      <w:r>
        <w:rPr>
          <w:rFonts w:hint="eastAsia" w:ascii="黑体" w:hAnsi="宋体" w:eastAsia="黑体" w:cs="黑体"/>
          <w:i/>
          <w:color w:val="auto"/>
          <w:sz w:val="32"/>
          <w:szCs w:val="32"/>
          <w:highlight w:val="none"/>
          <w:u w:val="single"/>
        </w:rPr>
        <w:t>一、法人或者其他组织的营业执照等证明文件，自然人的身份证明</w:t>
      </w:r>
    </w:p>
    <w:p w14:paraId="20683007">
      <w:pPr>
        <w:pStyle w:val="14"/>
        <w:spacing w:beforeAutospacing="0" w:afterAutospacing="0" w:line="0" w:lineRule="atLeast"/>
        <w:ind w:firstLine="480"/>
        <w:jc w:val="both"/>
        <w:rPr>
          <w:color w:val="auto"/>
          <w:highlight w:val="none"/>
        </w:rPr>
      </w:pPr>
      <w:r>
        <w:rPr>
          <w:color w:val="auto"/>
          <w:highlight w:val="none"/>
        </w:rPr>
        <w:t> </w:t>
      </w:r>
    </w:p>
    <w:p w14:paraId="31F29E3F">
      <w:pPr>
        <w:pStyle w:val="14"/>
        <w:spacing w:beforeAutospacing="0" w:afterAutospacing="0"/>
        <w:jc w:val="both"/>
        <w:rPr>
          <w:rFonts w:hint="eastAsia" w:eastAsia="黑体"/>
          <w:color w:val="auto"/>
          <w:highlight w:val="none"/>
          <w:lang w:val="en-US" w:eastAsia="zh-CN"/>
        </w:rPr>
      </w:pPr>
      <w:r>
        <w:rPr>
          <w:rFonts w:hint="eastAsia" w:ascii="黑体" w:hAnsi="宋体" w:eastAsia="黑体" w:cs="黑体"/>
          <w:i/>
          <w:color w:val="auto"/>
          <w:sz w:val="32"/>
          <w:szCs w:val="32"/>
          <w:highlight w:val="none"/>
          <w:u w:val="single"/>
        </w:rPr>
        <w:t>二、上一年度的财务状况报</w:t>
      </w:r>
      <w:r>
        <w:rPr>
          <w:rFonts w:hint="eastAsia" w:ascii="黑体" w:hAnsi="宋体" w:eastAsia="黑体" w:cs="黑体"/>
          <w:i/>
          <w:color w:val="auto"/>
          <w:sz w:val="32"/>
          <w:szCs w:val="32"/>
          <w:highlight w:val="none"/>
          <w:u w:val="single"/>
          <w:lang w:val="en-US" w:eastAsia="zh-CN"/>
        </w:rPr>
        <w:t>告</w:t>
      </w:r>
    </w:p>
    <w:p w14:paraId="057FE733">
      <w:pPr>
        <w:tabs>
          <w:tab w:val="left" w:pos="1331"/>
        </w:tabs>
        <w:bidi w:val="0"/>
        <w:jc w:val="left"/>
        <w:rPr>
          <w:rFonts w:hint="eastAsia" w:ascii="宋体" w:hAnsi="宋体" w:eastAsia="宋体" w:cs="宋体"/>
          <w:i w:val="0"/>
          <w:iCs/>
          <w:color w:val="auto"/>
          <w:kern w:val="0"/>
          <w:sz w:val="24"/>
          <w:szCs w:val="24"/>
          <w:highlight w:val="none"/>
          <w:u w:val="none"/>
          <w:lang w:val="en-US" w:eastAsia="zh-CN" w:bidi="ar-SA"/>
        </w:rPr>
      </w:pPr>
      <w:r>
        <w:rPr>
          <w:rFonts w:hint="eastAsia" w:ascii="宋体" w:hAnsi="宋体" w:eastAsia="宋体" w:cs="宋体"/>
          <w:i w:val="0"/>
          <w:iCs/>
          <w:color w:val="auto"/>
          <w:kern w:val="0"/>
          <w:sz w:val="24"/>
          <w:szCs w:val="24"/>
          <w:highlight w:val="none"/>
          <w:u w:val="none"/>
          <w:lang w:val="en-US" w:eastAsia="zh-CN" w:bidi="ar-SA"/>
        </w:rPr>
        <w:t>（至少提供资产负债表、利润表、现金流量表，投标人成立不满一年无需提供）</w:t>
      </w:r>
    </w:p>
    <w:p w14:paraId="4778C699">
      <w:pPr>
        <w:pStyle w:val="14"/>
        <w:spacing w:beforeAutospacing="0" w:afterAutospacing="0" w:line="0" w:lineRule="atLeast"/>
        <w:ind w:firstLine="480"/>
        <w:jc w:val="both"/>
        <w:rPr>
          <w:color w:val="auto"/>
          <w:highlight w:val="none"/>
        </w:rPr>
      </w:pPr>
    </w:p>
    <w:p w14:paraId="25FFB547">
      <w:pPr>
        <w:pStyle w:val="14"/>
        <w:spacing w:beforeAutospacing="0" w:afterAutospacing="0"/>
        <w:jc w:val="both"/>
        <w:rPr>
          <w:color w:val="auto"/>
          <w:highlight w:val="none"/>
        </w:rPr>
      </w:pPr>
      <w:r>
        <w:rPr>
          <w:color w:val="auto"/>
          <w:highlight w:val="none"/>
        </w:rPr>
        <w:t> </w:t>
      </w:r>
    </w:p>
    <w:p w14:paraId="63180049">
      <w:pPr>
        <w:pStyle w:val="14"/>
        <w:spacing w:beforeAutospacing="0" w:afterAutospacing="0"/>
        <w:jc w:val="both"/>
        <w:rPr>
          <w:color w:val="auto"/>
          <w:highlight w:val="none"/>
        </w:rPr>
      </w:pPr>
      <w:r>
        <w:rPr>
          <w:color w:val="auto"/>
          <w:highlight w:val="none"/>
        </w:rPr>
        <w:t> </w:t>
      </w:r>
    </w:p>
    <w:p w14:paraId="7F1E7E29">
      <w:pPr>
        <w:pStyle w:val="14"/>
        <w:spacing w:beforeAutospacing="0" w:afterAutospacing="0"/>
        <w:jc w:val="both"/>
        <w:rPr>
          <w:color w:val="auto"/>
          <w:highlight w:val="none"/>
        </w:rPr>
      </w:pPr>
      <w:r>
        <w:rPr>
          <w:rFonts w:hint="eastAsia" w:ascii="黑体" w:hAnsi="宋体" w:eastAsia="黑体" w:cs="黑体"/>
          <w:i/>
          <w:color w:val="auto"/>
          <w:sz w:val="32"/>
          <w:szCs w:val="32"/>
          <w:highlight w:val="none"/>
          <w:u w:val="single"/>
          <w:lang w:val="en-US" w:eastAsia="zh-CN"/>
        </w:rPr>
        <w:t>三</w:t>
      </w:r>
      <w:r>
        <w:rPr>
          <w:rFonts w:hint="eastAsia" w:ascii="黑体" w:hAnsi="宋体" w:eastAsia="黑体" w:cs="黑体"/>
          <w:i/>
          <w:color w:val="auto"/>
          <w:sz w:val="32"/>
          <w:szCs w:val="32"/>
          <w:highlight w:val="none"/>
          <w:u w:val="single"/>
        </w:rPr>
        <w:t>、具备履行合同所必需的设备和专业技术能力的书面声明</w:t>
      </w:r>
    </w:p>
    <w:p w14:paraId="472E9ABD">
      <w:pPr>
        <w:pStyle w:val="14"/>
        <w:spacing w:beforeAutospacing="0" w:afterAutospacing="0" w:line="0" w:lineRule="atLeast"/>
        <w:ind w:firstLine="492"/>
        <w:jc w:val="both"/>
        <w:rPr>
          <w:color w:val="auto"/>
          <w:highlight w:val="none"/>
        </w:rPr>
      </w:pPr>
      <w:r>
        <w:rPr>
          <w:rFonts w:hint="eastAsia" w:ascii="宋体" w:hAnsi="宋体" w:eastAsia="宋体" w:cs="宋体"/>
          <w:color w:val="auto"/>
          <w:highlight w:val="none"/>
        </w:rPr>
        <w:t>我单位郑重声明：我单位具备履行本项采购合同所必需的设备和专业技术能力，为履行本项采购合同我公司具备如下主要设备和主要专业技术能力：</w:t>
      </w:r>
    </w:p>
    <w:p w14:paraId="2987A767">
      <w:pPr>
        <w:pStyle w:val="14"/>
        <w:spacing w:beforeAutospacing="0" w:afterAutospacing="0" w:line="0" w:lineRule="atLeast"/>
        <w:ind w:firstLine="492"/>
        <w:jc w:val="both"/>
        <w:rPr>
          <w:color w:val="auto"/>
          <w:highlight w:val="none"/>
        </w:rPr>
      </w:pPr>
      <w:r>
        <w:rPr>
          <w:rFonts w:hint="eastAsia" w:ascii="宋体" w:hAnsi="宋体" w:eastAsia="宋体" w:cs="宋体"/>
          <w:color w:val="auto"/>
          <w:highlight w:val="none"/>
        </w:rPr>
        <w:t>主要设备有：</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14:paraId="3BCA7677">
      <w:pPr>
        <w:pStyle w:val="14"/>
        <w:spacing w:beforeAutospacing="0" w:afterAutospacing="0"/>
        <w:ind w:firstLine="48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主要专业技术能力有：</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14:paraId="7E763E7C">
      <w:pPr>
        <w:pStyle w:val="14"/>
        <w:spacing w:beforeAutospacing="0" w:afterAutospacing="0"/>
        <w:jc w:val="both"/>
        <w:rPr>
          <w:color w:val="auto"/>
          <w:highlight w:val="none"/>
        </w:rPr>
      </w:pPr>
      <w:r>
        <w:rPr>
          <w:rFonts w:hint="eastAsia" w:ascii="黑体" w:hAnsi="宋体" w:eastAsia="黑体" w:cs="黑体"/>
          <w:i/>
          <w:color w:val="auto"/>
          <w:sz w:val="32"/>
          <w:szCs w:val="32"/>
          <w:highlight w:val="none"/>
          <w:u w:val="single"/>
          <w:lang w:val="en-US" w:eastAsia="zh-CN"/>
        </w:rPr>
        <w:t>四</w:t>
      </w:r>
      <w:r>
        <w:rPr>
          <w:rFonts w:hint="eastAsia" w:ascii="黑体" w:hAnsi="宋体" w:eastAsia="黑体" w:cs="黑体"/>
          <w:i/>
          <w:color w:val="auto"/>
          <w:sz w:val="32"/>
          <w:szCs w:val="32"/>
          <w:highlight w:val="none"/>
          <w:u w:val="single"/>
        </w:rPr>
        <w:t>、依法缴纳税收和社会保障资金的相关材料</w:t>
      </w:r>
    </w:p>
    <w:p w14:paraId="573B755F">
      <w:pPr>
        <w:pStyle w:val="14"/>
        <w:spacing w:beforeAutospacing="0" w:afterAutospacing="0"/>
        <w:ind w:firstLine="480"/>
        <w:jc w:val="both"/>
        <w:rPr>
          <w:color w:val="auto"/>
          <w:highlight w:val="none"/>
        </w:rPr>
      </w:pPr>
      <w:bookmarkStart w:id="176" w:name="_Toc120614284"/>
      <w:r>
        <w:rPr>
          <w:rFonts w:hint="eastAsia" w:ascii="宋体" w:hAnsi="宋体" w:eastAsia="宋体" w:cs="宋体"/>
          <w:color w:val="auto"/>
          <w:highlight w:val="none"/>
        </w:rPr>
        <w:t>提供提交投标文件截止时间前一年内至少一个月依法缴纳税收及缴纳社会保障资金的证明材料。投标人依法享受缓缴、免缴税收、社会保障资金的提供证明材料。</w:t>
      </w:r>
      <w:bookmarkEnd w:id="176"/>
    </w:p>
    <w:p w14:paraId="363F6DD6">
      <w:pPr>
        <w:pStyle w:val="14"/>
        <w:spacing w:beforeAutospacing="0" w:afterAutospacing="0"/>
        <w:jc w:val="both"/>
        <w:rPr>
          <w:color w:val="auto"/>
          <w:highlight w:val="none"/>
        </w:rPr>
      </w:pPr>
      <w:r>
        <w:rPr>
          <w:rFonts w:hint="eastAsia" w:ascii="黑体" w:hAnsi="宋体" w:eastAsia="黑体" w:cs="黑体"/>
          <w:i/>
          <w:color w:val="auto"/>
          <w:sz w:val="32"/>
          <w:szCs w:val="32"/>
          <w:highlight w:val="none"/>
          <w:u w:val="single"/>
        </w:rPr>
        <w:t>五、参加政府采购活动前 3 年内在经营活动中没有重大违法记录的书面声明</w:t>
      </w:r>
    </w:p>
    <w:p w14:paraId="493AC879">
      <w:pPr>
        <w:pStyle w:val="14"/>
        <w:spacing w:beforeAutospacing="0" w:afterAutospacing="0" w:line="0" w:lineRule="atLeast"/>
        <w:jc w:val="both"/>
        <w:rPr>
          <w:color w:val="auto"/>
          <w:highlight w:val="none"/>
        </w:rPr>
      </w:pPr>
      <w:r>
        <w:rPr>
          <w:rFonts w:hint="eastAsia" w:ascii="宋体" w:hAnsi="宋体" w:eastAsia="宋体" w:cs="宋体"/>
          <w:b/>
          <w:color w:val="auto"/>
          <w:sz w:val="44"/>
          <w:szCs w:val="44"/>
          <w:highlight w:val="none"/>
        </w:rPr>
        <w:t>       声  明</w:t>
      </w:r>
    </w:p>
    <w:p w14:paraId="41791563">
      <w:pPr>
        <w:pStyle w:val="14"/>
        <w:spacing w:beforeAutospacing="0" w:afterAutospacing="0" w:line="0" w:lineRule="atLeast"/>
        <w:jc w:val="both"/>
        <w:rPr>
          <w:color w:val="auto"/>
          <w:highlight w:val="none"/>
        </w:rPr>
      </w:pPr>
      <w:r>
        <w:rPr>
          <w:rFonts w:hint="eastAsia" w:ascii="宋体" w:hAnsi="宋体" w:eastAsia="宋体" w:cs="宋体"/>
          <w:b/>
          <w:color w:val="auto"/>
          <w:highlight w:val="none"/>
        </w:rPr>
        <w:t xml:space="preserve">    </w:t>
      </w:r>
      <w:r>
        <w:rPr>
          <w:rFonts w:hint="eastAsia" w:ascii="宋体" w:hAnsi="宋体" w:eastAsia="宋体" w:cs="宋体"/>
          <w:color w:val="auto"/>
          <w:highlight w:val="none"/>
        </w:rPr>
        <w:t>我单位郑重声明：参加本次政府采购活动前 3 年内，我单位在经营活动中没有因违法经营受到刑事处罚或者责令停产停业、吊销许可证或者执照、较大数额罚款等行政处罚。</w:t>
      </w:r>
    </w:p>
    <w:p w14:paraId="6119E2AF">
      <w:pPr>
        <w:pStyle w:val="14"/>
        <w:spacing w:beforeAutospacing="0" w:afterAutospacing="0"/>
        <w:jc w:val="both"/>
        <w:rPr>
          <w:color w:val="auto"/>
          <w:highlight w:val="none"/>
        </w:rPr>
      </w:pPr>
      <w:r>
        <w:rPr>
          <w:color w:val="auto"/>
          <w:highlight w:val="none"/>
        </w:rPr>
        <w:t> </w:t>
      </w:r>
    </w:p>
    <w:p w14:paraId="03822A78">
      <w:pPr>
        <w:pStyle w:val="14"/>
        <w:spacing w:beforeAutospacing="0" w:afterAutospacing="0"/>
        <w:jc w:val="both"/>
        <w:rPr>
          <w:color w:val="auto"/>
          <w:highlight w:val="none"/>
        </w:rPr>
      </w:pPr>
      <w:r>
        <w:rPr>
          <w:rFonts w:hint="eastAsia" w:ascii="黑体" w:hAnsi="宋体" w:eastAsia="黑体" w:cs="黑体"/>
          <w:i/>
          <w:color w:val="auto"/>
          <w:sz w:val="32"/>
          <w:szCs w:val="32"/>
          <w:highlight w:val="none"/>
          <w:u w:val="single"/>
        </w:rPr>
        <w:t>六、特定资格要求的证明文件</w:t>
      </w:r>
    </w:p>
    <w:p w14:paraId="4C7AE4BB">
      <w:pPr>
        <w:pStyle w:val="14"/>
        <w:spacing w:beforeAutospacing="0" w:afterAutospacing="0" w:line="0" w:lineRule="atLeast"/>
        <w:jc w:val="both"/>
        <w:rPr>
          <w:color w:val="auto"/>
          <w:highlight w:val="none"/>
        </w:rPr>
      </w:pPr>
      <w:r>
        <w:rPr>
          <w:rFonts w:hint="eastAsia" w:ascii="宋体" w:hAnsi="宋体" w:eastAsia="宋体" w:cs="宋体"/>
          <w:color w:val="auto"/>
          <w:highlight w:val="none"/>
        </w:rPr>
        <w:t>    如果本项目申请人的特定资格要求中要求提供的，必须提供。</w:t>
      </w:r>
    </w:p>
    <w:p w14:paraId="4F82CDD6">
      <w:pPr>
        <w:pStyle w:val="14"/>
        <w:spacing w:beforeAutospacing="0" w:afterAutospacing="0" w:line="0" w:lineRule="atLeast"/>
        <w:jc w:val="both"/>
        <w:rPr>
          <w:color w:val="auto"/>
          <w:highlight w:val="none"/>
        </w:rPr>
      </w:pPr>
      <w:r>
        <w:rPr>
          <w:color w:val="auto"/>
          <w:highlight w:val="none"/>
        </w:rPr>
        <w:t> </w:t>
      </w:r>
    </w:p>
    <w:p w14:paraId="18734FE7">
      <w:pPr>
        <w:pStyle w:val="14"/>
        <w:spacing w:beforeAutospacing="0" w:afterAutospacing="0"/>
        <w:jc w:val="center"/>
        <w:rPr>
          <w:rFonts w:ascii="黑体" w:hAnsi="宋体" w:eastAsia="黑体" w:cs="黑体"/>
          <w:i/>
          <w:color w:val="auto"/>
          <w:sz w:val="32"/>
          <w:szCs w:val="32"/>
          <w:highlight w:val="none"/>
          <w:u w:val="single"/>
        </w:rPr>
      </w:pPr>
    </w:p>
    <w:p w14:paraId="3819BF7B">
      <w:pPr>
        <w:pStyle w:val="14"/>
        <w:spacing w:beforeAutospacing="0" w:afterAutospacing="0"/>
        <w:jc w:val="center"/>
        <w:rPr>
          <w:rFonts w:ascii="黑体" w:hAnsi="宋体" w:eastAsia="黑体" w:cs="黑体"/>
          <w:i/>
          <w:color w:val="auto"/>
          <w:sz w:val="32"/>
          <w:szCs w:val="32"/>
          <w:highlight w:val="none"/>
          <w:u w:val="single"/>
        </w:rPr>
      </w:pPr>
    </w:p>
    <w:p w14:paraId="24A61D77">
      <w:pPr>
        <w:pStyle w:val="14"/>
        <w:spacing w:beforeAutospacing="0" w:afterAutospacing="0"/>
        <w:jc w:val="center"/>
        <w:rPr>
          <w:rFonts w:ascii="黑体" w:hAnsi="宋体" w:eastAsia="黑体" w:cs="黑体"/>
          <w:i/>
          <w:color w:val="auto"/>
          <w:sz w:val="32"/>
          <w:szCs w:val="32"/>
          <w:highlight w:val="none"/>
          <w:u w:val="single"/>
        </w:rPr>
      </w:pPr>
    </w:p>
    <w:p w14:paraId="54B76366">
      <w:pPr>
        <w:pStyle w:val="14"/>
        <w:spacing w:beforeAutospacing="0" w:afterAutospacing="0"/>
        <w:jc w:val="center"/>
        <w:rPr>
          <w:rFonts w:hint="eastAsia" w:ascii="黑体" w:hAnsi="宋体" w:eastAsia="黑体" w:cs="黑体"/>
          <w:i/>
          <w:color w:val="auto"/>
          <w:sz w:val="32"/>
          <w:szCs w:val="32"/>
          <w:highlight w:val="none"/>
          <w:u w:val="single"/>
        </w:rPr>
      </w:pPr>
    </w:p>
    <w:p w14:paraId="429D58A5">
      <w:pPr>
        <w:pStyle w:val="14"/>
        <w:spacing w:beforeAutospacing="0" w:afterAutospacing="0"/>
        <w:jc w:val="center"/>
        <w:rPr>
          <w:color w:val="auto"/>
          <w:highlight w:val="none"/>
        </w:rPr>
      </w:pPr>
      <w:r>
        <w:rPr>
          <w:rFonts w:hint="eastAsia" w:ascii="黑体" w:hAnsi="宋体" w:eastAsia="黑体" w:cs="黑体"/>
          <w:i/>
          <w:color w:val="auto"/>
          <w:sz w:val="32"/>
          <w:szCs w:val="32"/>
          <w:highlight w:val="none"/>
          <w:u w:val="single"/>
        </w:rPr>
        <w:t>七、法人授权书</w:t>
      </w:r>
    </w:p>
    <w:p w14:paraId="75371E96">
      <w:pPr>
        <w:pStyle w:val="14"/>
        <w:tabs>
          <w:tab w:val="left" w:pos="360"/>
        </w:tabs>
        <w:spacing w:beforeAutospacing="0" w:afterAutospacing="0"/>
        <w:ind w:firstLine="480"/>
        <w:jc w:val="both"/>
        <w:rPr>
          <w:color w:val="auto"/>
          <w:highlight w:val="none"/>
        </w:rPr>
      </w:pPr>
      <w:r>
        <w:rPr>
          <w:rFonts w:ascii="Times New Roman" w:hAnsi="Times New Roman"/>
          <w:color w:val="auto"/>
          <w:highlight w:val="none"/>
        </w:rPr>
        <w:t>本授权书声明：____________（投标人名称）授权________________（被授权人的姓名）为我方就</w:t>
      </w:r>
      <w:r>
        <w:rPr>
          <w:rFonts w:ascii="Times New Roman" w:hAnsi="Times New Roman"/>
          <w:color w:val="auto"/>
          <w:highlight w:val="none"/>
          <w:u w:val="single"/>
        </w:rPr>
        <w:t>      </w:t>
      </w:r>
      <w:r>
        <w:rPr>
          <w:rFonts w:hint="eastAsia" w:ascii="Times New Roman" w:hAnsi="Times New Roman"/>
          <w:color w:val="auto"/>
          <w:highlight w:val="none"/>
          <w:u w:val="single"/>
          <w:lang w:val="en-US" w:eastAsia="zh-CN"/>
        </w:rPr>
        <w:t xml:space="preserve">    </w:t>
      </w:r>
      <w:r>
        <w:rPr>
          <w:rFonts w:ascii="Times New Roman" w:hAnsi="Times New Roman"/>
          <w:color w:val="auto"/>
          <w:highlight w:val="none"/>
          <w:u w:val="single"/>
        </w:rPr>
        <w:t xml:space="preserve">  </w:t>
      </w:r>
      <w:r>
        <w:rPr>
          <w:rFonts w:ascii="Times New Roman" w:hAnsi="Times New Roman"/>
          <w:color w:val="auto"/>
          <w:highlight w:val="none"/>
        </w:rPr>
        <w:t>号项目采购活动的合法代理人，以本单位名义全权处理一切与该项目采购有关的事务。</w:t>
      </w:r>
    </w:p>
    <w:p w14:paraId="3AC9EC25">
      <w:pPr>
        <w:pStyle w:val="14"/>
        <w:tabs>
          <w:tab w:val="left" w:pos="360"/>
        </w:tabs>
        <w:spacing w:beforeAutospacing="0" w:afterAutospacing="0"/>
        <w:ind w:firstLine="480"/>
        <w:jc w:val="both"/>
        <w:rPr>
          <w:color w:val="auto"/>
          <w:highlight w:val="none"/>
        </w:rPr>
      </w:pPr>
      <w:r>
        <w:rPr>
          <w:rFonts w:ascii="Times New Roman" w:hAnsi="Times New Roman"/>
          <w:color w:val="auto"/>
          <w:highlight w:val="none"/>
        </w:rPr>
        <w:t>本授权书于______年____月____日起生效，特此声明。</w:t>
      </w:r>
    </w:p>
    <w:p w14:paraId="2DC53DE8">
      <w:pPr>
        <w:pStyle w:val="14"/>
        <w:tabs>
          <w:tab w:val="left" w:pos="360"/>
        </w:tabs>
        <w:spacing w:beforeAutospacing="0" w:afterAutospacing="0"/>
        <w:jc w:val="both"/>
        <w:rPr>
          <w:color w:val="auto"/>
          <w:highlight w:val="none"/>
        </w:rPr>
      </w:pPr>
      <w:r>
        <w:rPr>
          <w:rFonts w:ascii="Times New Roman" w:hAnsi="Times New Roman"/>
          <w:color w:val="auto"/>
          <w:highlight w:val="none"/>
        </w:rPr>
        <w:t>          被授权人身份证号码：</w:t>
      </w:r>
      <w:r>
        <w:rPr>
          <w:rFonts w:ascii="Times New Roman" w:hAnsi="Times New Roman"/>
          <w:color w:val="auto"/>
          <w:highlight w:val="none"/>
          <w:u w:val="single"/>
        </w:rPr>
        <w:t xml:space="preserve">                              </w:t>
      </w:r>
    </w:p>
    <w:p w14:paraId="75D0F0B5">
      <w:pPr>
        <w:pStyle w:val="14"/>
        <w:tabs>
          <w:tab w:val="left" w:pos="360"/>
        </w:tabs>
        <w:spacing w:beforeAutospacing="0" w:afterAutospacing="0"/>
        <w:jc w:val="both"/>
        <w:rPr>
          <w:color w:val="auto"/>
          <w:highlight w:val="none"/>
        </w:rPr>
      </w:pPr>
      <w:r>
        <w:rPr>
          <w:rFonts w:ascii="Times New Roman" w:hAnsi="Times New Roman"/>
          <w:color w:val="auto"/>
          <w:highlight w:val="none"/>
        </w:rPr>
        <w:t>          被授权人联系电话：（手机）</w:t>
      </w:r>
      <w:r>
        <w:rPr>
          <w:rFonts w:ascii="Times New Roman" w:hAnsi="Times New Roman"/>
          <w:color w:val="auto"/>
          <w:highlight w:val="none"/>
          <w:u w:val="single"/>
        </w:rPr>
        <w:t xml:space="preserve">                          </w:t>
      </w:r>
    </w:p>
    <w:p w14:paraId="4FE26A2D">
      <w:pPr>
        <w:pStyle w:val="14"/>
        <w:tabs>
          <w:tab w:val="left" w:pos="360"/>
        </w:tabs>
        <w:spacing w:beforeAutospacing="0" w:afterAutospacing="0"/>
        <w:ind w:firstLine="1200"/>
        <w:jc w:val="both"/>
        <w:rPr>
          <w:color w:val="auto"/>
          <w:highlight w:val="none"/>
        </w:rPr>
      </w:pPr>
      <w:r>
        <w:rPr>
          <w:rFonts w:ascii="Times New Roman" w:hAnsi="Times New Roman"/>
          <w:color w:val="auto"/>
          <w:highlight w:val="none"/>
        </w:rPr>
        <w:t>授权单位名称：</w:t>
      </w:r>
      <w:r>
        <w:rPr>
          <w:rFonts w:ascii="Times New Roman" w:hAnsi="Times New Roman"/>
          <w:color w:val="auto"/>
          <w:highlight w:val="none"/>
          <w:u w:val="single"/>
        </w:rPr>
        <w:t>（加盖</w:t>
      </w:r>
      <w:r>
        <w:rPr>
          <w:rFonts w:hint="eastAsia" w:ascii="Times New Roman" w:hAnsi="Times New Roman"/>
          <w:color w:val="auto"/>
          <w:highlight w:val="none"/>
          <w:u w:val="single"/>
          <w:lang w:eastAsia="zh-CN"/>
        </w:rPr>
        <w:t>供应商</w:t>
      </w:r>
      <w:r>
        <w:rPr>
          <w:rFonts w:ascii="Times New Roman" w:hAnsi="Times New Roman"/>
          <w:color w:val="auto"/>
          <w:highlight w:val="none"/>
          <w:u w:val="single"/>
        </w:rPr>
        <w:t>公章）</w:t>
      </w:r>
    </w:p>
    <w:p w14:paraId="659A81C5">
      <w:pPr>
        <w:pStyle w:val="14"/>
        <w:tabs>
          <w:tab w:val="left" w:pos="360"/>
        </w:tabs>
        <w:spacing w:beforeAutospacing="0" w:afterAutospacing="0"/>
        <w:ind w:firstLine="480"/>
        <w:jc w:val="both"/>
        <w:rPr>
          <w:color w:val="auto"/>
          <w:highlight w:val="none"/>
        </w:rPr>
      </w:pPr>
      <w:r>
        <w:rPr>
          <w:rFonts w:ascii="Times New Roman" w:hAnsi="Times New Roman"/>
          <w:color w:val="auto"/>
          <w:highlight w:val="none"/>
        </w:rPr>
        <w:t>      单位地址：</w:t>
      </w:r>
      <w:r>
        <w:rPr>
          <w:rFonts w:ascii="Times New Roman" w:hAnsi="Times New Roman"/>
          <w:color w:val="auto"/>
          <w:highlight w:val="none"/>
          <w:u w:val="single"/>
        </w:rPr>
        <w:t xml:space="preserve">                                         </w:t>
      </w:r>
    </w:p>
    <w:p w14:paraId="747B88F2">
      <w:pPr>
        <w:pStyle w:val="14"/>
        <w:tabs>
          <w:tab w:val="left" w:pos="360"/>
        </w:tabs>
        <w:spacing w:beforeAutospacing="0" w:afterAutospacing="0"/>
        <w:ind w:firstLine="480"/>
        <w:jc w:val="both"/>
        <w:rPr>
          <w:color w:val="auto"/>
          <w:highlight w:val="none"/>
        </w:rPr>
      </w:pPr>
      <w:r>
        <w:rPr>
          <w:rFonts w:ascii="Times New Roman" w:hAnsi="Times New Roman"/>
          <w:color w:val="auto"/>
          <w:highlight w:val="none"/>
        </w:rPr>
        <w:t>      日期：</w:t>
      </w:r>
      <w:bookmarkStart w:id="177" w:name="_Hlt26671380"/>
      <w:bookmarkStart w:id="178" w:name="_Hlt26955070"/>
      <w:bookmarkStart w:id="179" w:name="_格式3__银行出具的资信证明"/>
      <w:r>
        <w:rPr>
          <w:rFonts w:ascii="Times New Roman" w:hAnsi="Times New Roman"/>
          <w:color w:val="auto"/>
          <w:highlight w:val="none"/>
          <w:u w:val="single"/>
        </w:rPr>
        <w:t xml:space="preserve">                                         </w:t>
      </w:r>
    </w:p>
    <w:p w14:paraId="4434C07B">
      <w:pPr>
        <w:pStyle w:val="14"/>
        <w:spacing w:beforeAutospacing="0" w:afterAutospacing="0"/>
        <w:ind w:firstLine="420"/>
        <w:jc w:val="both"/>
        <w:rPr>
          <w:color w:val="auto"/>
          <w:highlight w:val="none"/>
        </w:rPr>
      </w:pPr>
      <w:r>
        <w:rPr>
          <w:color w:val="auto"/>
          <w:highlight w:val="none"/>
        </w:rPr>
        <w:t> </w:t>
      </w:r>
    </w:p>
    <w:p w14:paraId="54380AE8">
      <w:pPr>
        <w:pStyle w:val="14"/>
        <w:spacing w:beforeAutospacing="0" w:afterAutospacing="0"/>
        <w:jc w:val="both"/>
        <w:rPr>
          <w:color w:val="auto"/>
          <w:highlight w:val="none"/>
        </w:rPr>
      </w:pPr>
      <w:r>
        <w:rPr>
          <w:color w:val="auto"/>
          <w:highlight w:val="none"/>
        </w:rPr>
        <w:t> </w:t>
      </w:r>
    </w:p>
    <w:p w14:paraId="35C87C39">
      <w:pPr>
        <w:pStyle w:val="14"/>
        <w:spacing w:beforeAutospacing="0" w:afterAutospacing="0" w:line="0" w:lineRule="atLeast"/>
        <w:jc w:val="both"/>
        <w:rPr>
          <w:color w:val="auto"/>
          <w:highlight w:val="none"/>
        </w:rPr>
      </w:pPr>
      <w:r>
        <w:rPr>
          <w:color w:val="auto"/>
          <w:highlight w:val="none"/>
        </w:rPr>
        <w:t> </w:t>
      </w:r>
    </w:p>
    <w:p w14:paraId="4D926D99">
      <w:pPr>
        <w:pStyle w:val="14"/>
        <w:spacing w:beforeAutospacing="0" w:afterAutospacing="0" w:line="0" w:lineRule="atLeast"/>
        <w:ind w:firstLine="48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备注 我公司（单位）委托进行现场演示的人员为（本项目如果无现场演示要求，请项目经办人自行删除该备注）</w:t>
      </w:r>
    </w:p>
    <w:p w14:paraId="5317642F">
      <w:pPr>
        <w:pStyle w:val="14"/>
        <w:spacing w:beforeAutospacing="0" w:afterAutospacing="0" w:line="0" w:lineRule="atLeast"/>
        <w:ind w:firstLine="48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（人员姓名），身份证号          。</w:t>
      </w:r>
    </w:p>
    <w:p w14:paraId="56E61D5E">
      <w:pPr>
        <w:pStyle w:val="14"/>
        <w:spacing w:beforeAutospacing="0" w:afterAutospacing="0" w:line="0" w:lineRule="atLeast"/>
        <w:ind w:firstLine="48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w:t>
      </w:r>
    </w:p>
    <w:p w14:paraId="4937D57C">
      <w:pPr>
        <w:pStyle w:val="14"/>
        <w:spacing w:beforeAutospacing="0" w:afterAutospacing="0" w:line="0" w:lineRule="atLeast"/>
        <w:jc w:val="both"/>
        <w:rPr>
          <w:color w:val="auto"/>
          <w:highlight w:val="none"/>
        </w:rPr>
      </w:pPr>
      <w:r>
        <w:rPr>
          <w:color w:val="auto"/>
          <w:highlight w:val="none"/>
        </w:rPr>
        <w:t> </w:t>
      </w:r>
    </w:p>
    <w:p w14:paraId="0F02C396">
      <w:pPr>
        <w:pStyle w:val="14"/>
        <w:keepNext/>
        <w:keepLines/>
        <w:spacing w:before="260" w:beforeAutospacing="0" w:after="260" w:afterAutospacing="0" w:line="415" w:lineRule="auto"/>
        <w:ind w:firstLine="3390"/>
        <w:jc w:val="both"/>
        <w:rPr>
          <w:rFonts w:ascii="黑体" w:hAnsi="宋体" w:eastAsia="黑体" w:cs="黑体"/>
          <w:b/>
          <w:color w:val="auto"/>
          <w:sz w:val="32"/>
          <w:szCs w:val="32"/>
          <w:highlight w:val="none"/>
        </w:rPr>
      </w:pPr>
      <w:r>
        <w:rPr>
          <w:rFonts w:hint="eastAsia" w:ascii="宋体" w:hAnsi="宋体" w:eastAsia="宋体" w:cs="宋体"/>
          <w:b/>
          <w:color w:val="auto"/>
          <w:highlight w:val="none"/>
        </w:rPr>
        <w:br w:type="page"/>
      </w:r>
      <w:r>
        <w:rPr>
          <w:rFonts w:hint="eastAsia" w:ascii="宋体" w:hAnsi="宋体" w:eastAsia="宋体" w:cs="宋体"/>
          <w:b/>
          <w:color w:val="auto"/>
          <w:highlight w:val="none"/>
        </w:rPr>
        <w:t> </w:t>
      </w:r>
      <w:r>
        <w:rPr>
          <w:rFonts w:hint="eastAsia" w:ascii="黑体" w:hAnsi="宋体" w:eastAsia="黑体" w:cs="黑体"/>
          <w:b/>
          <w:color w:val="auto"/>
          <w:sz w:val="32"/>
          <w:szCs w:val="32"/>
          <w:highlight w:val="none"/>
        </w:rPr>
        <w:t>八、投标函</w:t>
      </w:r>
    </w:p>
    <w:p w14:paraId="26D1CCB0">
      <w:pPr>
        <w:pStyle w:val="14"/>
        <w:spacing w:beforeAutospacing="0" w:afterAutospacing="0" w:line="0" w:lineRule="atLeast"/>
        <w:rPr>
          <w:rFonts w:hint="default" w:eastAsia="宋体"/>
          <w:color w:val="auto"/>
          <w:highlight w:val="none"/>
          <w:u w:val="single"/>
          <w:lang w:val="en-US" w:eastAsia="zh-CN"/>
        </w:rPr>
      </w:pPr>
      <w:r>
        <w:rPr>
          <w:rFonts w:hint="eastAsia" w:ascii="宋体" w:hAnsi="宋体" w:eastAsia="宋体" w:cs="宋体"/>
          <w:color w:val="auto"/>
          <w:highlight w:val="none"/>
        </w:rPr>
        <w:t>致：</w:t>
      </w:r>
      <w:r>
        <w:rPr>
          <w:rFonts w:hint="eastAsia" w:ascii="宋体" w:hAnsi="宋体" w:eastAsia="宋体" w:cs="宋体"/>
          <w:color w:val="auto"/>
          <w:highlight w:val="none"/>
          <w:u w:val="single"/>
          <w:lang w:val="en-US" w:eastAsia="zh-CN"/>
        </w:rPr>
        <w:t xml:space="preserve">               </w:t>
      </w:r>
    </w:p>
    <w:p w14:paraId="2DE50441">
      <w:pPr>
        <w:pStyle w:val="14"/>
        <w:spacing w:beforeAutospacing="0" w:afterAutospacing="0" w:line="0" w:lineRule="atLeast"/>
        <w:ind w:firstLine="480"/>
        <w:rPr>
          <w:color w:val="auto"/>
          <w:highlight w:val="none"/>
        </w:rPr>
      </w:pPr>
      <w:r>
        <w:rPr>
          <w:rFonts w:hint="eastAsia" w:ascii="宋体" w:hAnsi="宋体" w:eastAsia="宋体" w:cs="宋体"/>
          <w:color w:val="auto"/>
          <w:highlight w:val="none"/>
        </w:rPr>
        <w:t>根据贵方的</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rPr>
        <w:t>号招标文件，正式授权下述签字人______(姓名)代表我方______________（投标人的名称），全权处理本次项目投标的有关事宜。</w:t>
      </w:r>
    </w:p>
    <w:p w14:paraId="64F87FD4">
      <w:pPr>
        <w:pStyle w:val="14"/>
        <w:spacing w:beforeAutospacing="0" w:afterAutospacing="0" w:line="0" w:lineRule="atLeast"/>
        <w:ind w:firstLine="480"/>
        <w:rPr>
          <w:color w:val="auto"/>
          <w:highlight w:val="none"/>
        </w:rPr>
      </w:pPr>
      <w:r>
        <w:rPr>
          <w:rFonts w:hint="eastAsia" w:ascii="宋体" w:hAnsi="宋体" w:eastAsia="宋体" w:cs="宋体"/>
          <w:color w:val="auto"/>
          <w:highlight w:val="none"/>
        </w:rPr>
        <w:t>据此函，__________签字人兹宣布同意如下：</w:t>
      </w:r>
    </w:p>
    <w:p w14:paraId="313F2607">
      <w:pPr>
        <w:pStyle w:val="14"/>
        <w:spacing w:beforeAutospacing="0" w:afterAutospacing="0" w:line="0" w:lineRule="atLeast"/>
        <w:ind w:firstLine="480"/>
        <w:rPr>
          <w:color w:val="auto"/>
          <w:highlight w:val="none"/>
        </w:rPr>
      </w:pPr>
      <w:r>
        <w:rPr>
          <w:rFonts w:hint="eastAsia" w:ascii="宋体" w:hAnsi="宋体" w:eastAsia="宋体" w:cs="宋体"/>
          <w:color w:val="auto"/>
          <w:highlight w:val="none"/>
        </w:rPr>
        <w:t>1.按招标文件规定的各项要求，向买方提供所需服务（包含与服务相关的货物）。</w:t>
      </w:r>
    </w:p>
    <w:p w14:paraId="473EF1FB">
      <w:pPr>
        <w:pStyle w:val="14"/>
        <w:spacing w:beforeAutospacing="0" w:afterAutospacing="0" w:line="0" w:lineRule="atLeast"/>
        <w:ind w:firstLine="480"/>
        <w:rPr>
          <w:color w:val="auto"/>
          <w:highlight w:val="none"/>
        </w:rPr>
      </w:pPr>
      <w:r>
        <w:rPr>
          <w:rFonts w:hint="eastAsia" w:ascii="宋体" w:hAnsi="宋体" w:eastAsia="宋体" w:cs="宋体"/>
          <w:color w:val="auto"/>
          <w:highlight w:val="none"/>
        </w:rPr>
        <w:t>2.我们完全理解贵方不一定将合同授予最低报价的投标人。</w:t>
      </w:r>
    </w:p>
    <w:p w14:paraId="58062D8A">
      <w:pPr>
        <w:pStyle w:val="14"/>
        <w:spacing w:beforeAutospacing="0" w:afterAutospacing="0" w:line="0" w:lineRule="atLeast"/>
        <w:ind w:firstLine="480"/>
        <w:rPr>
          <w:color w:val="auto"/>
          <w:highlight w:val="none"/>
        </w:rPr>
      </w:pPr>
      <w:r>
        <w:rPr>
          <w:rFonts w:hint="eastAsia" w:ascii="宋体" w:hAnsi="宋体" w:eastAsia="宋体" w:cs="宋体"/>
          <w:color w:val="auto"/>
          <w:highlight w:val="none"/>
        </w:rPr>
        <w:t>3.我们已详细审核全部招标文件及其有效补充文件，我们知道必须放弃提出含糊不清或误解问题的权利。</w:t>
      </w:r>
    </w:p>
    <w:p w14:paraId="08CB0CD4">
      <w:pPr>
        <w:pStyle w:val="14"/>
        <w:spacing w:beforeAutospacing="0" w:afterAutospacing="0" w:line="0" w:lineRule="atLeast"/>
        <w:ind w:firstLine="480"/>
        <w:rPr>
          <w:color w:val="auto"/>
          <w:highlight w:val="none"/>
        </w:rPr>
      </w:pPr>
      <w:r>
        <w:rPr>
          <w:rFonts w:hint="eastAsia" w:ascii="宋体" w:hAnsi="宋体" w:eastAsia="宋体" w:cs="宋体"/>
          <w:color w:val="auto"/>
          <w:highlight w:val="none"/>
        </w:rPr>
        <w:t>4.我们同意从规定的开标日期起遵循本投标文件，并在规定的投标有效期期满之前均具有约束力。</w:t>
      </w:r>
    </w:p>
    <w:p w14:paraId="209DD427">
      <w:pPr>
        <w:pStyle w:val="14"/>
        <w:spacing w:beforeAutospacing="0" w:afterAutospacing="0" w:line="0" w:lineRule="atLeast"/>
        <w:ind w:firstLine="480"/>
        <w:rPr>
          <w:color w:val="auto"/>
          <w:highlight w:val="none"/>
        </w:rPr>
      </w:pPr>
      <w:r>
        <w:rPr>
          <w:rFonts w:hint="eastAsia" w:ascii="宋体" w:hAnsi="宋体" w:eastAsia="宋体" w:cs="宋体"/>
          <w:color w:val="auto"/>
          <w:highlight w:val="none"/>
        </w:rPr>
        <w:t>5.同意向贵方提供贵方可能另外要求的与投标有关的任何证据或资料，并保证我方已提供和将要提供的文件是真实的、准确的。</w:t>
      </w:r>
    </w:p>
    <w:p w14:paraId="1F9BB1C3">
      <w:pPr>
        <w:pStyle w:val="14"/>
        <w:spacing w:beforeAutospacing="0" w:afterAutospacing="0" w:line="0" w:lineRule="atLeast"/>
        <w:ind w:firstLine="480"/>
        <w:rPr>
          <w:color w:val="auto"/>
          <w:highlight w:val="none"/>
        </w:rPr>
      </w:pPr>
      <w:r>
        <w:rPr>
          <w:rFonts w:hint="eastAsia" w:ascii="宋体" w:hAnsi="宋体" w:eastAsia="宋体" w:cs="宋体"/>
          <w:color w:val="auto"/>
          <w:highlight w:val="none"/>
        </w:rPr>
        <w:t>6.一旦我方中标,我方将根据招标文件的规定，严格履行合同的责任和义务,并保证在招标文件规定的时间完成项目，交付买方验收、使用。</w:t>
      </w:r>
    </w:p>
    <w:p w14:paraId="33641869">
      <w:pPr>
        <w:pStyle w:val="14"/>
        <w:spacing w:beforeAutospacing="0" w:afterAutospacing="0" w:line="0" w:lineRule="atLeast"/>
        <w:ind w:firstLine="480"/>
        <w:rPr>
          <w:color w:val="auto"/>
          <w:highlight w:val="none"/>
        </w:rPr>
      </w:pPr>
      <w:r>
        <w:rPr>
          <w:rFonts w:hint="eastAsia" w:ascii="宋体" w:hAnsi="宋体" w:eastAsia="宋体" w:cs="宋体"/>
          <w:color w:val="auto"/>
          <w:highlight w:val="none"/>
        </w:rPr>
        <w:t>7.与本投标有关的正式通讯地址为：</w:t>
      </w:r>
    </w:p>
    <w:p w14:paraId="63F512FF">
      <w:pPr>
        <w:pStyle w:val="14"/>
        <w:spacing w:beforeAutospacing="0" w:afterAutospacing="0" w:line="0" w:lineRule="atLeast"/>
        <w:ind w:left="420" w:firstLine="480"/>
        <w:rPr>
          <w:color w:val="auto"/>
          <w:highlight w:val="none"/>
        </w:rPr>
      </w:pPr>
      <w:r>
        <w:rPr>
          <w:rFonts w:hint="eastAsia" w:ascii="宋体" w:hAnsi="宋体" w:eastAsia="宋体" w:cs="宋体"/>
          <w:color w:val="auto"/>
          <w:highlight w:val="none"/>
        </w:rPr>
        <w:t>地          址：</w:t>
      </w:r>
    </w:p>
    <w:p w14:paraId="40615D05">
      <w:pPr>
        <w:pStyle w:val="14"/>
        <w:spacing w:beforeAutospacing="0" w:afterAutospacing="0" w:line="0" w:lineRule="atLeast"/>
        <w:ind w:left="420" w:firstLine="480"/>
        <w:rPr>
          <w:color w:val="auto"/>
          <w:highlight w:val="none"/>
        </w:rPr>
      </w:pPr>
      <w:r>
        <w:rPr>
          <w:rFonts w:hint="eastAsia" w:ascii="宋体" w:hAnsi="宋体" w:eastAsia="宋体" w:cs="宋体"/>
          <w:color w:val="auto"/>
          <w:highlight w:val="none"/>
        </w:rPr>
        <w:t>邮          编：</w:t>
      </w:r>
    </w:p>
    <w:p w14:paraId="6828345E">
      <w:pPr>
        <w:pStyle w:val="14"/>
        <w:spacing w:beforeAutospacing="0" w:afterAutospacing="0" w:line="0" w:lineRule="atLeast"/>
        <w:ind w:left="420" w:firstLine="480"/>
        <w:rPr>
          <w:color w:val="auto"/>
          <w:highlight w:val="none"/>
        </w:rPr>
      </w:pPr>
      <w:r>
        <w:rPr>
          <w:rFonts w:hint="eastAsia" w:ascii="宋体" w:hAnsi="宋体" w:eastAsia="宋体" w:cs="宋体"/>
          <w:color w:val="auto"/>
          <w:highlight w:val="none"/>
        </w:rPr>
        <w:t>电          话：</w:t>
      </w:r>
    </w:p>
    <w:p w14:paraId="3AB5B37A">
      <w:pPr>
        <w:pStyle w:val="14"/>
        <w:spacing w:beforeAutospacing="0" w:afterAutospacing="0" w:line="0" w:lineRule="atLeast"/>
        <w:ind w:left="420" w:firstLine="480"/>
        <w:rPr>
          <w:color w:val="auto"/>
          <w:highlight w:val="none"/>
        </w:rPr>
      </w:pPr>
      <w:r>
        <w:rPr>
          <w:rFonts w:hint="eastAsia" w:ascii="宋体" w:hAnsi="宋体" w:eastAsia="宋体" w:cs="宋体"/>
          <w:color w:val="auto"/>
          <w:highlight w:val="none"/>
        </w:rPr>
        <w:t>传          真：</w:t>
      </w:r>
    </w:p>
    <w:p w14:paraId="3DA45C60">
      <w:pPr>
        <w:pStyle w:val="14"/>
        <w:spacing w:beforeAutospacing="0" w:afterAutospacing="0" w:line="0" w:lineRule="atLeast"/>
        <w:ind w:left="420" w:firstLine="480"/>
        <w:rPr>
          <w:color w:val="auto"/>
          <w:highlight w:val="none"/>
        </w:rPr>
      </w:pPr>
      <w:r>
        <w:rPr>
          <w:rFonts w:hint="eastAsia" w:ascii="宋体" w:hAnsi="宋体" w:eastAsia="宋体" w:cs="宋体"/>
          <w:color w:val="auto"/>
          <w:highlight w:val="none"/>
        </w:rPr>
        <w:t>投标人开户行：</w:t>
      </w:r>
    </w:p>
    <w:p w14:paraId="19B2C12A">
      <w:pPr>
        <w:pStyle w:val="14"/>
        <w:spacing w:beforeAutospacing="0" w:afterAutospacing="0" w:line="0" w:lineRule="atLeast"/>
        <w:ind w:left="420" w:firstLine="480"/>
        <w:rPr>
          <w:color w:val="auto"/>
          <w:highlight w:val="none"/>
        </w:rPr>
      </w:pPr>
      <w:r>
        <w:rPr>
          <w:rFonts w:hint="eastAsia" w:ascii="宋体" w:hAnsi="宋体" w:eastAsia="宋体" w:cs="宋体"/>
          <w:color w:val="auto"/>
          <w:highlight w:val="none"/>
        </w:rPr>
        <w:t xml:space="preserve">账          号： </w:t>
      </w:r>
    </w:p>
    <w:p w14:paraId="4B904C99">
      <w:pPr>
        <w:pStyle w:val="14"/>
        <w:spacing w:beforeAutospacing="0" w:afterAutospacing="0" w:line="0" w:lineRule="atLeast"/>
        <w:ind w:left="420" w:firstLine="480"/>
        <w:rPr>
          <w:color w:val="auto"/>
          <w:highlight w:val="none"/>
        </w:rPr>
      </w:pPr>
      <w:r>
        <w:rPr>
          <w:rFonts w:hint="eastAsia" w:ascii="宋体" w:hAnsi="宋体" w:eastAsia="宋体" w:cs="宋体"/>
          <w:color w:val="auto"/>
          <w:highlight w:val="none"/>
        </w:rPr>
        <w:t>日           期：________年____月____日</w:t>
      </w:r>
    </w:p>
    <w:p w14:paraId="517D30F4">
      <w:pPr>
        <w:pStyle w:val="14"/>
        <w:spacing w:beforeAutospacing="0" w:afterAutospacing="0" w:line="0" w:lineRule="atLeast"/>
        <w:ind w:firstLine="240"/>
        <w:jc w:val="center"/>
        <w:rPr>
          <w:color w:val="auto"/>
          <w:highlight w:val="none"/>
        </w:rPr>
      </w:pPr>
      <w:r>
        <w:rPr>
          <w:color w:val="auto"/>
          <w:highlight w:val="none"/>
        </w:rPr>
        <w:t> </w:t>
      </w:r>
    </w:p>
    <w:p w14:paraId="7D02EC5F">
      <w:pPr>
        <w:pStyle w:val="14"/>
        <w:spacing w:beforeAutospacing="0" w:afterAutospacing="0" w:line="0" w:lineRule="atLeast"/>
        <w:ind w:firstLine="240"/>
        <w:jc w:val="center"/>
        <w:rPr>
          <w:color w:val="auto"/>
          <w:highlight w:val="none"/>
        </w:rPr>
      </w:pPr>
      <w:r>
        <w:rPr>
          <w:color w:val="auto"/>
          <w:highlight w:val="none"/>
        </w:rPr>
        <w:t> </w:t>
      </w:r>
    </w:p>
    <w:p w14:paraId="526D8B48">
      <w:pPr>
        <w:pStyle w:val="14"/>
        <w:spacing w:beforeAutospacing="0" w:afterAutospacing="0" w:line="0" w:lineRule="atLeast"/>
        <w:ind w:firstLine="240"/>
        <w:jc w:val="center"/>
        <w:rPr>
          <w:color w:val="auto"/>
          <w:highlight w:val="none"/>
        </w:rPr>
      </w:pPr>
      <w:r>
        <w:rPr>
          <w:color w:val="auto"/>
          <w:highlight w:val="none"/>
        </w:rPr>
        <w:t> </w:t>
      </w:r>
    </w:p>
    <w:p w14:paraId="7D664580">
      <w:pPr>
        <w:pStyle w:val="14"/>
        <w:spacing w:beforeAutospacing="0" w:afterAutospacing="0" w:line="0" w:lineRule="atLeast"/>
        <w:ind w:firstLine="240"/>
        <w:jc w:val="center"/>
        <w:rPr>
          <w:color w:val="auto"/>
          <w:highlight w:val="none"/>
        </w:rPr>
      </w:pPr>
      <w:r>
        <w:rPr>
          <w:color w:val="auto"/>
          <w:highlight w:val="none"/>
        </w:rPr>
        <w:t> </w:t>
      </w:r>
    </w:p>
    <w:p w14:paraId="4CB43A27">
      <w:pPr>
        <w:pStyle w:val="14"/>
        <w:spacing w:beforeAutospacing="0" w:afterAutospacing="0" w:line="0" w:lineRule="atLeast"/>
        <w:ind w:firstLine="240"/>
        <w:jc w:val="center"/>
        <w:rPr>
          <w:color w:val="auto"/>
          <w:highlight w:val="none"/>
        </w:rPr>
      </w:pPr>
      <w:r>
        <w:rPr>
          <w:color w:val="auto"/>
          <w:highlight w:val="none"/>
        </w:rPr>
        <w:t> </w:t>
      </w:r>
    </w:p>
    <w:p w14:paraId="009E3C67">
      <w:pPr>
        <w:pStyle w:val="14"/>
        <w:spacing w:beforeAutospacing="0" w:afterAutospacing="0" w:line="0" w:lineRule="atLeast"/>
        <w:ind w:firstLine="240"/>
        <w:jc w:val="center"/>
        <w:rPr>
          <w:color w:val="auto"/>
          <w:highlight w:val="none"/>
        </w:rPr>
      </w:pPr>
    </w:p>
    <w:p w14:paraId="076B6F71">
      <w:pPr>
        <w:pStyle w:val="14"/>
        <w:spacing w:beforeAutospacing="0" w:afterAutospacing="0" w:line="0" w:lineRule="atLeast"/>
        <w:ind w:firstLine="240"/>
        <w:jc w:val="center"/>
        <w:rPr>
          <w:color w:val="auto"/>
          <w:highlight w:val="none"/>
        </w:rPr>
      </w:pPr>
    </w:p>
    <w:p w14:paraId="3827CC3B">
      <w:pPr>
        <w:pStyle w:val="14"/>
        <w:spacing w:beforeAutospacing="0" w:afterAutospacing="0" w:line="0" w:lineRule="atLeast"/>
        <w:ind w:firstLine="240"/>
        <w:jc w:val="center"/>
        <w:rPr>
          <w:color w:val="auto"/>
          <w:highlight w:val="none"/>
        </w:rPr>
      </w:pPr>
    </w:p>
    <w:p w14:paraId="2B728E37">
      <w:pPr>
        <w:pStyle w:val="14"/>
        <w:spacing w:beforeAutospacing="0" w:afterAutospacing="0" w:line="0" w:lineRule="atLeast"/>
        <w:ind w:firstLine="240"/>
        <w:jc w:val="center"/>
        <w:rPr>
          <w:color w:val="auto"/>
          <w:highlight w:val="none"/>
        </w:rPr>
      </w:pPr>
    </w:p>
    <w:p w14:paraId="4A16AAF8">
      <w:pPr>
        <w:pStyle w:val="14"/>
        <w:spacing w:beforeAutospacing="0" w:afterAutospacing="0" w:line="0" w:lineRule="atLeast"/>
        <w:ind w:firstLine="240"/>
        <w:jc w:val="center"/>
        <w:rPr>
          <w:color w:val="auto"/>
          <w:highlight w:val="none"/>
        </w:rPr>
      </w:pPr>
    </w:p>
    <w:p w14:paraId="69A5DCA0">
      <w:pPr>
        <w:pStyle w:val="14"/>
        <w:spacing w:beforeAutospacing="0" w:afterAutospacing="0" w:line="0" w:lineRule="atLeast"/>
        <w:ind w:firstLine="240"/>
        <w:jc w:val="center"/>
        <w:rPr>
          <w:color w:val="auto"/>
          <w:highlight w:val="none"/>
        </w:rPr>
      </w:pPr>
    </w:p>
    <w:p w14:paraId="0F79A881">
      <w:pPr>
        <w:pStyle w:val="14"/>
        <w:spacing w:beforeAutospacing="0" w:afterAutospacing="0" w:line="0" w:lineRule="atLeast"/>
        <w:ind w:firstLine="240"/>
        <w:jc w:val="center"/>
        <w:rPr>
          <w:color w:val="auto"/>
          <w:highlight w:val="none"/>
        </w:rPr>
      </w:pPr>
    </w:p>
    <w:p w14:paraId="15EC5A70">
      <w:pPr>
        <w:pStyle w:val="14"/>
        <w:spacing w:beforeAutospacing="0" w:afterAutospacing="0" w:line="0" w:lineRule="atLeast"/>
        <w:ind w:firstLine="240"/>
        <w:jc w:val="center"/>
        <w:rPr>
          <w:color w:val="auto"/>
          <w:highlight w:val="none"/>
        </w:rPr>
      </w:pPr>
    </w:p>
    <w:p w14:paraId="048221C4">
      <w:pPr>
        <w:pStyle w:val="14"/>
        <w:spacing w:beforeAutospacing="0" w:afterAutospacing="0" w:line="0" w:lineRule="atLeast"/>
        <w:ind w:firstLine="240"/>
        <w:jc w:val="center"/>
        <w:rPr>
          <w:color w:val="auto"/>
          <w:highlight w:val="none"/>
        </w:rPr>
      </w:pPr>
    </w:p>
    <w:p w14:paraId="3802D699">
      <w:pPr>
        <w:pStyle w:val="14"/>
        <w:spacing w:beforeAutospacing="0" w:afterAutospacing="0" w:line="0" w:lineRule="atLeast"/>
        <w:ind w:firstLine="240"/>
        <w:jc w:val="center"/>
        <w:rPr>
          <w:color w:val="auto"/>
          <w:highlight w:val="none"/>
        </w:rPr>
      </w:pPr>
    </w:p>
    <w:p w14:paraId="2B93E367">
      <w:pPr>
        <w:pStyle w:val="14"/>
        <w:spacing w:beforeAutospacing="0" w:afterAutospacing="0" w:line="0" w:lineRule="atLeast"/>
        <w:ind w:firstLine="240"/>
        <w:jc w:val="center"/>
        <w:rPr>
          <w:color w:val="auto"/>
          <w:highlight w:val="none"/>
        </w:rPr>
      </w:pPr>
    </w:p>
    <w:p w14:paraId="757DE681">
      <w:pPr>
        <w:pStyle w:val="14"/>
        <w:spacing w:beforeAutospacing="0" w:afterAutospacing="0" w:line="0" w:lineRule="atLeast"/>
        <w:jc w:val="center"/>
        <w:rPr>
          <w:color w:val="auto"/>
          <w:highlight w:val="none"/>
        </w:rPr>
      </w:pPr>
      <w:r>
        <w:rPr>
          <w:color w:val="auto"/>
          <w:highlight w:val="none"/>
        </w:rPr>
        <w:t> </w:t>
      </w:r>
    </w:p>
    <w:p w14:paraId="5B4F30B6">
      <w:pPr>
        <w:pStyle w:val="14"/>
        <w:spacing w:beforeAutospacing="0" w:afterAutospacing="0" w:line="0" w:lineRule="atLeast"/>
        <w:jc w:val="center"/>
        <w:rPr>
          <w:color w:val="auto"/>
          <w:highlight w:val="none"/>
        </w:rPr>
      </w:pPr>
      <w:r>
        <w:rPr>
          <w:rFonts w:hint="eastAsia" w:ascii="黑体" w:hAnsi="宋体" w:eastAsia="黑体" w:cs="黑体"/>
          <w:b/>
          <w:color w:val="auto"/>
          <w:sz w:val="32"/>
          <w:szCs w:val="32"/>
          <w:highlight w:val="none"/>
        </w:rPr>
        <w:br w:type="page"/>
      </w:r>
    </w:p>
    <w:p w14:paraId="0E7A7A07">
      <w:pPr>
        <w:pStyle w:val="14"/>
        <w:spacing w:beforeAutospacing="0" w:afterAutospacing="0" w:line="0" w:lineRule="atLeast"/>
        <w:jc w:val="center"/>
        <w:rPr>
          <w:color w:val="auto"/>
          <w:highlight w:val="none"/>
        </w:rPr>
      </w:pPr>
    </w:p>
    <w:p w14:paraId="25632175">
      <w:pPr>
        <w:pStyle w:val="14"/>
        <w:spacing w:beforeAutospacing="0" w:afterAutospacing="0" w:line="0" w:lineRule="atLeast"/>
        <w:jc w:val="center"/>
        <w:rPr>
          <w:color w:val="auto"/>
          <w:highlight w:val="none"/>
        </w:rPr>
      </w:pPr>
      <w:r>
        <w:rPr>
          <w:rFonts w:hint="eastAsia" w:ascii="黑体" w:hAnsi="宋体" w:eastAsia="黑体" w:cs="黑体"/>
          <w:b/>
          <w:color w:val="auto"/>
          <w:sz w:val="32"/>
          <w:szCs w:val="32"/>
          <w:highlight w:val="none"/>
          <w:lang w:val="en-US" w:eastAsia="zh-CN"/>
        </w:rPr>
        <w:t>九</w:t>
      </w:r>
      <w:r>
        <w:rPr>
          <w:rFonts w:hint="eastAsia" w:ascii="黑体" w:hAnsi="宋体" w:eastAsia="黑体" w:cs="黑体"/>
          <w:b/>
          <w:color w:val="auto"/>
          <w:sz w:val="32"/>
          <w:szCs w:val="32"/>
          <w:highlight w:val="none"/>
        </w:rPr>
        <w:t>、联合体协议（参考格式）（分包号：**）</w:t>
      </w:r>
    </w:p>
    <w:p w14:paraId="47099288">
      <w:pPr>
        <w:pStyle w:val="14"/>
        <w:spacing w:beforeAutospacing="0" w:afterAutospacing="0" w:line="0" w:lineRule="atLeast"/>
        <w:jc w:val="both"/>
        <w:rPr>
          <w:color w:val="auto"/>
          <w:highlight w:val="none"/>
        </w:rPr>
      </w:pPr>
      <w:r>
        <w:rPr>
          <w:rFonts w:hint="eastAsia" w:ascii="宋体" w:hAnsi="宋体" w:eastAsia="宋体" w:cs="宋体"/>
          <w:color w:val="auto"/>
          <w:highlight w:val="none"/>
        </w:rPr>
        <w:t>（联合体中各供应商全称）在此达成以下协议：</w:t>
      </w:r>
    </w:p>
    <w:p w14:paraId="171F8296">
      <w:pPr>
        <w:pStyle w:val="14"/>
        <w:spacing w:beforeAutospacing="0" w:afterAutospacing="0" w:line="0" w:lineRule="atLeast"/>
        <w:ind w:firstLine="645"/>
        <w:jc w:val="both"/>
        <w:rPr>
          <w:color w:val="auto"/>
          <w:highlight w:val="none"/>
        </w:rPr>
      </w:pPr>
      <w:r>
        <w:rPr>
          <w:rFonts w:hint="eastAsia" w:ascii="宋体" w:hAnsi="宋体" w:eastAsia="宋体" w:cs="宋体"/>
          <w:color w:val="auto"/>
          <w:highlight w:val="none"/>
        </w:rPr>
        <w:t>1、我们</w:t>
      </w:r>
      <w:r>
        <w:rPr>
          <w:rFonts w:hint="eastAsia" w:ascii="宋体" w:hAnsi="宋体" w:eastAsia="宋体" w:cs="宋体"/>
          <w:color w:val="auto"/>
          <w:highlight w:val="none"/>
          <w:u w:val="single"/>
        </w:rPr>
        <w:t xml:space="preserve"> （供应商1），（供应商2） ，……</w:t>
      </w:r>
      <w:r>
        <w:rPr>
          <w:rFonts w:hint="eastAsia" w:ascii="宋体" w:hAnsi="宋体" w:eastAsia="宋体" w:cs="宋体"/>
          <w:color w:val="auto"/>
          <w:highlight w:val="none"/>
        </w:rPr>
        <w:t>自愿组成联合体，参加采购</w:t>
      </w:r>
      <w:r>
        <w:rPr>
          <w:rFonts w:hint="eastAsia" w:ascii="宋体" w:hAnsi="宋体" w:eastAsia="宋体" w:cs="宋体"/>
          <w:color w:val="auto"/>
          <w:highlight w:val="none"/>
          <w:lang w:val="en-US" w:eastAsia="zh-CN"/>
        </w:rPr>
        <w:t>人</w:t>
      </w:r>
      <w:r>
        <w:rPr>
          <w:rFonts w:hint="eastAsia" w:ascii="宋体" w:hAnsi="宋体" w:eastAsia="宋体" w:cs="宋体"/>
          <w:color w:val="auto"/>
          <w:highlight w:val="none"/>
        </w:rPr>
        <w:t>组织的采购编号为</w:t>
      </w:r>
      <w:r>
        <w:rPr>
          <w:rFonts w:hint="eastAsia" w:ascii="宋体" w:hAnsi="宋体" w:eastAsia="宋体" w:cs="宋体"/>
          <w:color w:val="auto"/>
          <w:highlight w:val="none"/>
          <w:u w:val="single"/>
        </w:rPr>
        <w:t>（编号全称），（项目全称）</w:t>
      </w:r>
      <w:r>
        <w:rPr>
          <w:rFonts w:hint="eastAsia" w:ascii="宋体" w:hAnsi="宋体" w:eastAsia="宋体" w:cs="宋体"/>
          <w:color w:val="auto"/>
          <w:highlight w:val="none"/>
        </w:rPr>
        <w:t>项目（分包号：**）的政府采购活动，我联合体指定</w:t>
      </w:r>
      <w:r>
        <w:rPr>
          <w:rFonts w:hint="eastAsia" w:ascii="宋体" w:hAnsi="宋体" w:eastAsia="宋体" w:cs="宋体"/>
          <w:color w:val="auto"/>
          <w:highlight w:val="none"/>
          <w:u w:val="single"/>
        </w:rPr>
        <w:t>（供应商*）</w:t>
      </w:r>
      <w:r>
        <w:rPr>
          <w:rFonts w:hint="eastAsia" w:ascii="宋体" w:hAnsi="宋体" w:eastAsia="宋体" w:cs="宋体"/>
          <w:color w:val="auto"/>
          <w:highlight w:val="none"/>
        </w:rPr>
        <w:t>为牵头单位（牵头单位必须为联合体成员）。</w:t>
      </w:r>
    </w:p>
    <w:p w14:paraId="1E770E3A">
      <w:pPr>
        <w:pStyle w:val="14"/>
        <w:spacing w:beforeAutospacing="0" w:afterAutospacing="0" w:line="0" w:lineRule="atLeast"/>
        <w:ind w:firstLine="645"/>
        <w:jc w:val="both"/>
        <w:rPr>
          <w:color w:val="auto"/>
          <w:highlight w:val="none"/>
        </w:rPr>
      </w:pPr>
      <w:r>
        <w:rPr>
          <w:rFonts w:hint="eastAsia" w:ascii="宋体" w:hAnsi="宋体" w:eastAsia="宋体" w:cs="宋体"/>
          <w:color w:val="auto"/>
          <w:highlight w:val="none"/>
        </w:rPr>
        <w:t>2、若我们联合中标、成交，（供应商单位1全称）实施项目中（工作内容）部分工作，并承担相应的责任。（供应商单位2全称）实施项目中（工作内容）部分工作，并承担相应的责任……。（注：联合体中各供应商都应明示所承担的工作和相应的责任）。</w:t>
      </w:r>
    </w:p>
    <w:p w14:paraId="3B965178">
      <w:pPr>
        <w:pStyle w:val="14"/>
        <w:spacing w:beforeAutospacing="0" w:afterAutospacing="0" w:line="0" w:lineRule="atLeast"/>
        <w:ind w:firstLine="645"/>
        <w:jc w:val="both"/>
        <w:rPr>
          <w:color w:val="auto"/>
          <w:highlight w:val="none"/>
        </w:rPr>
      </w:pPr>
      <w:r>
        <w:rPr>
          <w:rFonts w:hint="eastAsia" w:ascii="宋体" w:hAnsi="宋体" w:eastAsia="宋体" w:cs="宋体"/>
          <w:color w:val="auto"/>
          <w:highlight w:val="none"/>
        </w:rPr>
        <w:t>3、其中</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（小型、微型企业/残疾人福利性单位/监狱企业全称）为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（小型、微型企业/残疾人福利性单位/监狱企业）企业，且我们约定该公司/单位所承担的合同金额将占本项目合同总金额的</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p>
    <w:p w14:paraId="2A603B1A">
      <w:pPr>
        <w:pStyle w:val="14"/>
        <w:spacing w:beforeAutospacing="0" w:afterAutospacing="0" w:line="0" w:lineRule="atLeast"/>
        <w:ind w:firstLine="645"/>
        <w:jc w:val="both"/>
        <w:rPr>
          <w:color w:val="auto"/>
          <w:highlight w:val="none"/>
        </w:rPr>
      </w:pPr>
      <w:r>
        <w:rPr>
          <w:color w:val="auto"/>
          <w:highlight w:val="none"/>
        </w:rPr>
        <w:t> </w:t>
      </w:r>
    </w:p>
    <w:p w14:paraId="48FA2AD9">
      <w:pPr>
        <w:pStyle w:val="14"/>
        <w:spacing w:beforeAutospacing="0" w:afterAutospacing="0" w:line="0" w:lineRule="atLeast"/>
        <w:ind w:firstLine="645"/>
        <w:jc w:val="both"/>
        <w:rPr>
          <w:color w:val="auto"/>
          <w:highlight w:val="none"/>
        </w:rPr>
      </w:pPr>
      <w:r>
        <w:rPr>
          <w:rFonts w:hint="eastAsia" w:ascii="宋体" w:hAnsi="宋体" w:eastAsia="宋体" w:cs="宋体"/>
          <w:color w:val="auto"/>
          <w:highlight w:val="none"/>
        </w:rPr>
        <w:t>备注：本招标文件中要求加盖</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签章的地方，仅需加盖牵头单位的</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签章。</w:t>
      </w:r>
    </w:p>
    <w:p w14:paraId="1CB655E2">
      <w:pPr>
        <w:pStyle w:val="14"/>
        <w:spacing w:beforeAutospacing="0" w:afterAutospacing="0" w:line="0" w:lineRule="atLeast"/>
        <w:ind w:firstLine="645"/>
        <w:jc w:val="both"/>
        <w:rPr>
          <w:color w:val="auto"/>
          <w:highlight w:val="none"/>
        </w:rPr>
      </w:pPr>
      <w:r>
        <w:rPr>
          <w:rFonts w:hint="eastAsia" w:ascii="宋体" w:hAnsi="宋体" w:eastAsia="宋体" w:cs="宋体"/>
          <w:color w:val="auto"/>
          <w:highlight w:val="none"/>
        </w:rPr>
        <w:t>                               </w:t>
      </w:r>
    </w:p>
    <w:p w14:paraId="41749F3F">
      <w:pPr>
        <w:pStyle w:val="14"/>
        <w:spacing w:beforeAutospacing="0" w:afterAutospacing="0" w:line="0" w:lineRule="atLeast"/>
        <w:ind w:firstLine="645"/>
        <w:jc w:val="right"/>
        <w:rPr>
          <w:color w:val="auto"/>
          <w:highlight w:val="none"/>
        </w:rPr>
      </w:pPr>
      <w:r>
        <w:rPr>
          <w:rFonts w:hint="eastAsia" w:ascii="宋体" w:hAnsi="宋体" w:eastAsia="宋体" w:cs="宋体"/>
          <w:color w:val="auto"/>
          <w:highlight w:val="none"/>
        </w:rPr>
        <w:t xml:space="preserve">联合体中各供应商全称（公章）：     </w:t>
      </w:r>
    </w:p>
    <w:p w14:paraId="31BFF35C">
      <w:pPr>
        <w:pStyle w:val="14"/>
        <w:spacing w:beforeAutospacing="0" w:afterAutospacing="0" w:line="0" w:lineRule="atLeast"/>
        <w:ind w:firstLine="645"/>
        <w:jc w:val="both"/>
        <w:rPr>
          <w:color w:val="auto"/>
          <w:highlight w:val="none"/>
        </w:rPr>
      </w:pPr>
      <w:r>
        <w:rPr>
          <w:rFonts w:hint="eastAsia" w:ascii="宋体" w:hAnsi="宋体" w:eastAsia="宋体" w:cs="宋体"/>
          <w:color w:val="auto"/>
          <w:highlight w:val="none"/>
        </w:rPr>
        <w:t>                                                          日期：</w:t>
      </w:r>
    </w:p>
    <w:p w14:paraId="1362C19C">
      <w:pPr>
        <w:pStyle w:val="14"/>
        <w:spacing w:beforeAutospacing="0" w:afterAutospacing="0" w:line="0" w:lineRule="atLeast"/>
        <w:ind w:firstLine="645"/>
        <w:jc w:val="both"/>
        <w:rPr>
          <w:color w:val="auto"/>
          <w:highlight w:val="none"/>
        </w:rPr>
      </w:pPr>
      <w:r>
        <w:rPr>
          <w:color w:val="auto"/>
          <w:highlight w:val="none"/>
        </w:rPr>
        <w:t> </w:t>
      </w:r>
    </w:p>
    <w:p w14:paraId="166AC735">
      <w:pPr>
        <w:pStyle w:val="14"/>
        <w:spacing w:beforeAutospacing="0" w:afterAutospacing="0" w:line="0" w:lineRule="atLeast"/>
        <w:jc w:val="both"/>
        <w:rPr>
          <w:color w:val="auto"/>
          <w:highlight w:val="none"/>
        </w:rPr>
      </w:pPr>
      <w:r>
        <w:rPr>
          <w:color w:val="auto"/>
          <w:highlight w:val="none"/>
        </w:rPr>
        <w:t> </w:t>
      </w:r>
    </w:p>
    <w:p w14:paraId="3D799F36">
      <w:pPr>
        <w:pStyle w:val="14"/>
        <w:spacing w:beforeAutospacing="0" w:afterAutospacing="0" w:line="0" w:lineRule="atLeast"/>
        <w:jc w:val="both"/>
        <w:rPr>
          <w:color w:val="auto"/>
          <w:highlight w:val="none"/>
        </w:rPr>
      </w:pPr>
      <w:r>
        <w:rPr>
          <w:color w:val="auto"/>
          <w:highlight w:val="none"/>
        </w:rPr>
        <w:t> </w:t>
      </w:r>
    </w:p>
    <w:p w14:paraId="37E6BE0B">
      <w:pPr>
        <w:pStyle w:val="14"/>
        <w:spacing w:beforeAutospacing="0" w:afterAutospacing="0" w:line="0" w:lineRule="atLeast"/>
        <w:jc w:val="both"/>
        <w:rPr>
          <w:color w:val="auto"/>
          <w:highlight w:val="none"/>
        </w:rPr>
      </w:pPr>
      <w:r>
        <w:rPr>
          <w:color w:val="auto"/>
          <w:highlight w:val="none"/>
        </w:rPr>
        <w:t> </w:t>
      </w:r>
    </w:p>
    <w:p w14:paraId="2B60C190">
      <w:pPr>
        <w:pStyle w:val="14"/>
        <w:spacing w:beforeAutospacing="0" w:afterAutospacing="0" w:line="0" w:lineRule="atLeast"/>
        <w:jc w:val="both"/>
        <w:rPr>
          <w:color w:val="auto"/>
          <w:highlight w:val="none"/>
        </w:rPr>
      </w:pPr>
      <w:r>
        <w:rPr>
          <w:color w:val="auto"/>
          <w:highlight w:val="none"/>
        </w:rPr>
        <w:t> </w:t>
      </w:r>
    </w:p>
    <w:p w14:paraId="57527C1B">
      <w:pPr>
        <w:pStyle w:val="14"/>
        <w:spacing w:beforeAutospacing="0" w:afterAutospacing="0" w:line="0" w:lineRule="atLeast"/>
        <w:jc w:val="both"/>
        <w:rPr>
          <w:color w:val="auto"/>
          <w:highlight w:val="none"/>
        </w:rPr>
      </w:pPr>
      <w:r>
        <w:rPr>
          <w:color w:val="auto"/>
          <w:highlight w:val="none"/>
        </w:rPr>
        <w:t> </w:t>
      </w:r>
    </w:p>
    <w:p w14:paraId="3F791BC4">
      <w:pPr>
        <w:pStyle w:val="14"/>
        <w:spacing w:beforeAutospacing="0" w:afterAutospacing="0" w:line="0" w:lineRule="atLeast"/>
        <w:jc w:val="both"/>
        <w:rPr>
          <w:color w:val="auto"/>
          <w:highlight w:val="none"/>
        </w:rPr>
      </w:pPr>
    </w:p>
    <w:p w14:paraId="6A959F58">
      <w:pPr>
        <w:pStyle w:val="14"/>
        <w:spacing w:beforeAutospacing="0" w:afterAutospacing="0" w:line="0" w:lineRule="atLeast"/>
        <w:jc w:val="both"/>
        <w:rPr>
          <w:color w:val="auto"/>
          <w:highlight w:val="none"/>
        </w:rPr>
      </w:pPr>
    </w:p>
    <w:p w14:paraId="59120E29">
      <w:pPr>
        <w:pStyle w:val="14"/>
        <w:spacing w:beforeAutospacing="0" w:afterAutospacing="0" w:line="0" w:lineRule="atLeast"/>
        <w:jc w:val="both"/>
        <w:rPr>
          <w:color w:val="auto"/>
          <w:highlight w:val="none"/>
        </w:rPr>
      </w:pPr>
    </w:p>
    <w:p w14:paraId="7BFD87F7">
      <w:pPr>
        <w:pStyle w:val="14"/>
        <w:spacing w:beforeAutospacing="0" w:afterAutospacing="0" w:line="0" w:lineRule="atLeast"/>
        <w:jc w:val="both"/>
        <w:rPr>
          <w:color w:val="auto"/>
          <w:highlight w:val="none"/>
        </w:rPr>
      </w:pPr>
    </w:p>
    <w:p w14:paraId="46460017">
      <w:pPr>
        <w:pStyle w:val="14"/>
        <w:spacing w:beforeAutospacing="0" w:afterAutospacing="0" w:line="0" w:lineRule="atLeast"/>
        <w:jc w:val="both"/>
        <w:rPr>
          <w:color w:val="auto"/>
          <w:highlight w:val="none"/>
        </w:rPr>
      </w:pPr>
    </w:p>
    <w:p w14:paraId="319FDB43">
      <w:pPr>
        <w:pStyle w:val="14"/>
        <w:spacing w:beforeAutospacing="0" w:afterAutospacing="0" w:line="0" w:lineRule="atLeast"/>
        <w:jc w:val="both"/>
        <w:rPr>
          <w:color w:val="auto"/>
          <w:highlight w:val="none"/>
        </w:rPr>
      </w:pPr>
    </w:p>
    <w:p w14:paraId="48D90514">
      <w:pPr>
        <w:pStyle w:val="14"/>
        <w:spacing w:beforeAutospacing="0" w:afterAutospacing="0" w:line="0" w:lineRule="atLeast"/>
        <w:jc w:val="both"/>
        <w:rPr>
          <w:color w:val="auto"/>
          <w:highlight w:val="none"/>
        </w:rPr>
      </w:pPr>
    </w:p>
    <w:p w14:paraId="77319186">
      <w:pPr>
        <w:pStyle w:val="14"/>
        <w:spacing w:beforeAutospacing="0" w:afterAutospacing="0" w:line="0" w:lineRule="atLeast"/>
        <w:jc w:val="both"/>
        <w:rPr>
          <w:color w:val="auto"/>
          <w:highlight w:val="none"/>
        </w:rPr>
      </w:pPr>
    </w:p>
    <w:p w14:paraId="3EEE9B03">
      <w:pPr>
        <w:pStyle w:val="14"/>
        <w:spacing w:beforeAutospacing="0" w:afterAutospacing="0" w:line="0" w:lineRule="atLeast"/>
        <w:jc w:val="both"/>
        <w:rPr>
          <w:color w:val="auto"/>
          <w:highlight w:val="none"/>
        </w:rPr>
      </w:pPr>
    </w:p>
    <w:p w14:paraId="6F25DC03">
      <w:pPr>
        <w:pStyle w:val="14"/>
        <w:spacing w:beforeAutospacing="0" w:afterAutospacing="0" w:line="0" w:lineRule="atLeast"/>
        <w:jc w:val="both"/>
        <w:rPr>
          <w:color w:val="auto"/>
          <w:highlight w:val="none"/>
        </w:rPr>
      </w:pPr>
    </w:p>
    <w:p w14:paraId="5E3ACA2F">
      <w:pPr>
        <w:pStyle w:val="14"/>
        <w:spacing w:beforeAutospacing="0" w:afterAutospacing="0" w:line="0" w:lineRule="atLeast"/>
        <w:jc w:val="both"/>
        <w:rPr>
          <w:color w:val="auto"/>
          <w:highlight w:val="none"/>
        </w:rPr>
      </w:pPr>
    </w:p>
    <w:p w14:paraId="7E170FB9">
      <w:pPr>
        <w:pStyle w:val="14"/>
        <w:spacing w:beforeAutospacing="0" w:afterAutospacing="0" w:line="0" w:lineRule="atLeast"/>
        <w:jc w:val="both"/>
        <w:rPr>
          <w:color w:val="auto"/>
          <w:highlight w:val="none"/>
        </w:rPr>
      </w:pPr>
    </w:p>
    <w:p w14:paraId="07CFFF96">
      <w:pPr>
        <w:pStyle w:val="14"/>
        <w:spacing w:beforeAutospacing="0" w:afterAutospacing="0" w:line="0" w:lineRule="atLeast"/>
        <w:jc w:val="both"/>
        <w:rPr>
          <w:color w:val="auto"/>
          <w:highlight w:val="none"/>
        </w:rPr>
      </w:pPr>
    </w:p>
    <w:p w14:paraId="5940DC2F">
      <w:pPr>
        <w:pStyle w:val="14"/>
        <w:spacing w:beforeAutospacing="0" w:afterAutospacing="0" w:line="0" w:lineRule="atLeast"/>
        <w:jc w:val="both"/>
        <w:rPr>
          <w:color w:val="auto"/>
          <w:highlight w:val="none"/>
        </w:rPr>
      </w:pPr>
    </w:p>
    <w:p w14:paraId="1644ADE4">
      <w:pPr>
        <w:pStyle w:val="14"/>
        <w:spacing w:beforeAutospacing="0" w:afterAutospacing="0" w:line="0" w:lineRule="atLeast"/>
        <w:jc w:val="both"/>
        <w:rPr>
          <w:color w:val="auto"/>
          <w:highlight w:val="none"/>
        </w:rPr>
      </w:pPr>
    </w:p>
    <w:p w14:paraId="72752EF8">
      <w:pPr>
        <w:pStyle w:val="14"/>
        <w:spacing w:beforeAutospacing="0" w:afterAutospacing="0" w:line="0" w:lineRule="atLeast"/>
        <w:jc w:val="both"/>
        <w:rPr>
          <w:color w:val="auto"/>
          <w:highlight w:val="none"/>
        </w:rPr>
      </w:pPr>
    </w:p>
    <w:p w14:paraId="1627436F">
      <w:pPr>
        <w:pStyle w:val="14"/>
        <w:spacing w:beforeAutospacing="0" w:afterAutospacing="0" w:line="0" w:lineRule="atLeast"/>
        <w:jc w:val="both"/>
        <w:rPr>
          <w:color w:val="auto"/>
          <w:highlight w:val="none"/>
        </w:rPr>
      </w:pPr>
    </w:p>
    <w:p w14:paraId="752EB775">
      <w:pPr>
        <w:pStyle w:val="14"/>
        <w:spacing w:beforeAutospacing="0" w:afterAutospacing="0" w:line="0" w:lineRule="atLeast"/>
        <w:jc w:val="both"/>
        <w:rPr>
          <w:color w:val="auto"/>
          <w:highlight w:val="none"/>
        </w:rPr>
      </w:pPr>
      <w:r>
        <w:rPr>
          <w:color w:val="auto"/>
          <w:highlight w:val="none"/>
        </w:rPr>
        <w:t> </w:t>
      </w:r>
    </w:p>
    <w:p w14:paraId="047D93AE">
      <w:pPr>
        <w:pStyle w:val="14"/>
        <w:spacing w:beforeAutospacing="0" w:afterAutospacing="0"/>
        <w:jc w:val="both"/>
        <w:rPr>
          <w:color w:val="auto"/>
          <w:highlight w:val="none"/>
        </w:rPr>
      </w:pPr>
      <w:r>
        <w:rPr>
          <w:color w:val="auto"/>
          <w:highlight w:val="none"/>
        </w:rPr>
        <w:t> </w:t>
      </w:r>
    </w:p>
    <w:p w14:paraId="40A7DB27">
      <w:pPr>
        <w:pStyle w:val="14"/>
        <w:spacing w:beforeAutospacing="0" w:afterAutospacing="0"/>
        <w:jc w:val="center"/>
        <w:rPr>
          <w:color w:val="auto"/>
          <w:highlight w:val="none"/>
        </w:rPr>
      </w:pPr>
      <w:r>
        <w:rPr>
          <w:color w:val="auto"/>
          <w:highlight w:val="none"/>
        </w:rPr>
        <w:t> </w:t>
      </w:r>
    </w:p>
    <w:p w14:paraId="2D3E7171">
      <w:pPr>
        <w:pStyle w:val="14"/>
        <w:spacing w:beforeAutospacing="0" w:afterAutospacing="0"/>
        <w:jc w:val="center"/>
        <w:rPr>
          <w:color w:val="auto"/>
          <w:highlight w:val="none"/>
        </w:rPr>
      </w:pPr>
      <w:r>
        <w:rPr>
          <w:color w:val="auto"/>
          <w:highlight w:val="none"/>
        </w:rPr>
        <w:t> </w:t>
      </w:r>
    </w:p>
    <w:p w14:paraId="0FB8DD22">
      <w:pPr>
        <w:pStyle w:val="14"/>
        <w:spacing w:beforeAutospacing="0" w:afterAutospacing="0"/>
        <w:jc w:val="center"/>
        <w:rPr>
          <w:color w:val="auto"/>
          <w:highlight w:val="none"/>
        </w:rPr>
      </w:pPr>
    </w:p>
    <w:p w14:paraId="4C665761">
      <w:pPr>
        <w:pStyle w:val="14"/>
        <w:spacing w:beforeAutospacing="0" w:afterAutospacing="0"/>
        <w:jc w:val="center"/>
        <w:rPr>
          <w:color w:val="auto"/>
          <w:highlight w:val="none"/>
        </w:rPr>
      </w:pPr>
      <w:r>
        <w:rPr>
          <w:rFonts w:hint="eastAsia" w:ascii="黑体" w:hAnsi="宋体" w:eastAsia="黑体" w:cs="黑体"/>
          <w:b/>
          <w:color w:val="auto"/>
          <w:sz w:val="32"/>
          <w:szCs w:val="32"/>
          <w:highlight w:val="none"/>
        </w:rPr>
        <w:t>十、技术要求响应及偏离表（分包号：**）</w:t>
      </w:r>
    </w:p>
    <w:tbl>
      <w:tblPr>
        <w:tblStyle w:val="15"/>
        <w:tblW w:w="8520" w:type="dxa"/>
        <w:tblCellSpacing w:w="0" w:type="dxa"/>
        <w:tblInd w:w="10" w:type="dxa"/>
        <w:tblLayout w:type="fixed"/>
        <w:tblCellMar>
          <w:top w:w="0" w:type="dxa"/>
          <w:left w:w="108" w:type="dxa"/>
          <w:bottom w:w="0" w:type="dxa"/>
          <w:right w:w="108" w:type="dxa"/>
        </w:tblCellMar>
      </w:tblPr>
      <w:tblGrid>
        <w:gridCol w:w="538"/>
        <w:gridCol w:w="3026"/>
        <w:gridCol w:w="2608"/>
        <w:gridCol w:w="1247"/>
        <w:gridCol w:w="1101"/>
      </w:tblGrid>
      <w:tr w14:paraId="48C67D6B">
        <w:tblPrEx>
          <w:tblCellMar>
            <w:top w:w="0" w:type="dxa"/>
            <w:left w:w="108" w:type="dxa"/>
            <w:bottom w:w="0" w:type="dxa"/>
            <w:right w:w="108" w:type="dxa"/>
          </w:tblCellMar>
        </w:tblPrEx>
        <w:trPr>
          <w:tblCellSpacing w:w="0" w:type="dxa"/>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DE08D">
            <w:pPr>
              <w:pStyle w:val="14"/>
              <w:spacing w:beforeAutospacing="0" w:afterAutospacing="0"/>
              <w:jc w:val="center"/>
              <w:rPr>
                <w:color w:val="auto"/>
                <w:highlight w:val="none"/>
              </w:rPr>
            </w:pPr>
            <w:r>
              <w:rPr>
                <w:rFonts w:hint="eastAsia" w:ascii="宋体" w:hAnsi="宋体" w:eastAsia="宋体" w:cs="宋体"/>
                <w:color w:val="auto"/>
                <w:highlight w:val="none"/>
              </w:rPr>
              <w:t>序号</w:t>
            </w:r>
          </w:p>
        </w:tc>
        <w:tc>
          <w:tcPr>
            <w:tcW w:w="3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1E111">
            <w:pPr>
              <w:pStyle w:val="14"/>
              <w:spacing w:beforeAutospacing="0" w:afterAutospacing="0"/>
              <w:jc w:val="center"/>
              <w:rPr>
                <w:color w:val="auto"/>
                <w:highlight w:val="none"/>
              </w:rPr>
            </w:pPr>
            <w:r>
              <w:rPr>
                <w:rFonts w:hint="eastAsia" w:ascii="宋体" w:hAnsi="宋体" w:eastAsia="宋体" w:cs="宋体"/>
                <w:color w:val="auto"/>
                <w:highlight w:val="none"/>
              </w:rPr>
              <w:t>招标文件要求</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6C2EF">
            <w:pPr>
              <w:pStyle w:val="14"/>
              <w:spacing w:beforeAutospacing="0" w:afterAutospacing="0"/>
              <w:jc w:val="center"/>
              <w:rPr>
                <w:color w:val="auto"/>
                <w:highlight w:val="none"/>
              </w:rPr>
            </w:pPr>
            <w:r>
              <w:rPr>
                <w:rFonts w:hint="eastAsia" w:ascii="宋体" w:hAnsi="宋体" w:eastAsia="宋体" w:cs="宋体"/>
                <w:color w:val="auto"/>
                <w:highlight w:val="none"/>
              </w:rPr>
              <w:t>投标响应情况</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F4F6C">
            <w:pPr>
              <w:pStyle w:val="14"/>
              <w:spacing w:beforeAutospacing="0" w:afterAutospacing="0"/>
              <w:jc w:val="center"/>
              <w:rPr>
                <w:color w:val="auto"/>
                <w:highlight w:val="none"/>
              </w:rPr>
            </w:pPr>
            <w:r>
              <w:rPr>
                <w:rFonts w:hint="eastAsia" w:ascii="宋体" w:hAnsi="宋体" w:eastAsia="宋体" w:cs="宋体"/>
                <w:color w:val="auto"/>
                <w:highlight w:val="none"/>
              </w:rPr>
              <w:t>超出、符合或偏离</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50C9B">
            <w:pPr>
              <w:pStyle w:val="14"/>
              <w:spacing w:beforeAutospacing="0" w:afterAutospacing="0"/>
              <w:jc w:val="center"/>
              <w:rPr>
                <w:color w:val="auto"/>
                <w:highlight w:val="none"/>
              </w:rPr>
            </w:pPr>
            <w:r>
              <w:rPr>
                <w:rFonts w:hint="eastAsia" w:ascii="宋体" w:hAnsi="宋体" w:eastAsia="宋体" w:cs="宋体"/>
                <w:color w:val="auto"/>
                <w:highlight w:val="none"/>
              </w:rPr>
              <w:t>证明</w:t>
            </w:r>
          </w:p>
          <w:p w14:paraId="0AA567DE">
            <w:pPr>
              <w:pStyle w:val="14"/>
              <w:spacing w:beforeAutospacing="0" w:afterAutospacing="0"/>
              <w:jc w:val="center"/>
              <w:rPr>
                <w:color w:val="auto"/>
                <w:highlight w:val="none"/>
              </w:rPr>
            </w:pPr>
            <w:r>
              <w:rPr>
                <w:rFonts w:hint="eastAsia" w:ascii="宋体" w:hAnsi="宋体" w:eastAsia="宋体" w:cs="宋体"/>
                <w:color w:val="auto"/>
                <w:highlight w:val="none"/>
              </w:rPr>
              <w:t>材料</w:t>
            </w:r>
          </w:p>
        </w:tc>
      </w:tr>
      <w:tr w14:paraId="2D55E8DE">
        <w:tblPrEx>
          <w:tblCellMar>
            <w:top w:w="0" w:type="dxa"/>
            <w:left w:w="108" w:type="dxa"/>
            <w:bottom w:w="0" w:type="dxa"/>
            <w:right w:w="108" w:type="dxa"/>
          </w:tblCellMar>
        </w:tblPrEx>
        <w:trPr>
          <w:trHeight w:val="640" w:hRule="atLeast"/>
          <w:tblCellSpacing w:w="0" w:type="dxa"/>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13A6D">
            <w:pPr>
              <w:pStyle w:val="14"/>
              <w:spacing w:beforeAutospacing="0" w:afterAutospacing="0"/>
              <w:jc w:val="center"/>
              <w:rPr>
                <w:color w:val="auto"/>
                <w:highlight w:val="none"/>
              </w:rPr>
            </w:pPr>
            <w:r>
              <w:rPr>
                <w:color w:val="auto"/>
                <w:highlight w:val="none"/>
              </w:rPr>
              <w:t> </w:t>
            </w:r>
          </w:p>
        </w:tc>
        <w:tc>
          <w:tcPr>
            <w:tcW w:w="3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93F98">
            <w:pPr>
              <w:pStyle w:val="14"/>
              <w:spacing w:beforeAutospacing="0" w:afterAutospacing="0"/>
              <w:jc w:val="center"/>
              <w:rPr>
                <w:color w:val="auto"/>
                <w:highlight w:val="none"/>
              </w:rPr>
            </w:pPr>
            <w:r>
              <w:rPr>
                <w:color w:val="auto"/>
                <w:highlight w:val="none"/>
              </w:rPr>
              <w:t> </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E1D89">
            <w:pPr>
              <w:pStyle w:val="14"/>
              <w:spacing w:beforeAutospacing="0" w:afterAutospacing="0"/>
              <w:jc w:val="center"/>
              <w:rPr>
                <w:color w:val="auto"/>
                <w:highlight w:val="none"/>
              </w:rPr>
            </w:pPr>
            <w:r>
              <w:rPr>
                <w:color w:val="auto"/>
                <w:highlight w:val="none"/>
              </w:rPr>
              <w:t> </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87EF9">
            <w:pPr>
              <w:pStyle w:val="14"/>
              <w:spacing w:beforeAutospacing="0" w:afterAutospacing="0"/>
              <w:jc w:val="center"/>
              <w:rPr>
                <w:color w:val="auto"/>
                <w:highlight w:val="none"/>
              </w:rPr>
            </w:pPr>
            <w:r>
              <w:rPr>
                <w:color w:val="auto"/>
                <w:highlight w:val="none"/>
              </w:rPr>
              <w:t> </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5079C">
            <w:pPr>
              <w:pStyle w:val="14"/>
              <w:spacing w:beforeAutospacing="0" w:afterAutospacing="0"/>
              <w:jc w:val="center"/>
              <w:rPr>
                <w:color w:val="auto"/>
                <w:highlight w:val="none"/>
              </w:rPr>
            </w:pPr>
            <w:r>
              <w:rPr>
                <w:color w:val="auto"/>
                <w:highlight w:val="none"/>
              </w:rPr>
              <w:t> </w:t>
            </w:r>
          </w:p>
        </w:tc>
      </w:tr>
      <w:tr w14:paraId="6A22AAF7">
        <w:tblPrEx>
          <w:tblCellMar>
            <w:top w:w="0" w:type="dxa"/>
            <w:left w:w="108" w:type="dxa"/>
            <w:bottom w:w="0" w:type="dxa"/>
            <w:right w:w="108" w:type="dxa"/>
          </w:tblCellMar>
        </w:tblPrEx>
        <w:trPr>
          <w:trHeight w:val="640" w:hRule="atLeast"/>
          <w:tblCellSpacing w:w="0" w:type="dxa"/>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9958B">
            <w:pPr>
              <w:pStyle w:val="14"/>
              <w:spacing w:beforeAutospacing="0" w:afterAutospacing="0"/>
              <w:jc w:val="center"/>
              <w:rPr>
                <w:color w:val="auto"/>
                <w:highlight w:val="none"/>
              </w:rPr>
            </w:pPr>
            <w:r>
              <w:rPr>
                <w:color w:val="auto"/>
                <w:highlight w:val="none"/>
              </w:rPr>
              <w:t> </w:t>
            </w:r>
          </w:p>
        </w:tc>
        <w:tc>
          <w:tcPr>
            <w:tcW w:w="3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E19D3">
            <w:pPr>
              <w:pStyle w:val="14"/>
              <w:spacing w:beforeAutospacing="0" w:afterAutospacing="0"/>
              <w:jc w:val="center"/>
              <w:rPr>
                <w:color w:val="auto"/>
                <w:highlight w:val="none"/>
              </w:rPr>
            </w:pPr>
            <w:r>
              <w:rPr>
                <w:color w:val="auto"/>
                <w:highlight w:val="none"/>
              </w:rPr>
              <w:t> </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B75A1">
            <w:pPr>
              <w:pStyle w:val="14"/>
              <w:spacing w:beforeAutospacing="0" w:afterAutospacing="0"/>
              <w:jc w:val="center"/>
              <w:rPr>
                <w:color w:val="auto"/>
                <w:highlight w:val="none"/>
              </w:rPr>
            </w:pPr>
            <w:r>
              <w:rPr>
                <w:color w:val="auto"/>
                <w:highlight w:val="none"/>
              </w:rPr>
              <w:t> </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FC8BB">
            <w:pPr>
              <w:pStyle w:val="14"/>
              <w:spacing w:beforeAutospacing="0" w:afterAutospacing="0"/>
              <w:jc w:val="center"/>
              <w:rPr>
                <w:color w:val="auto"/>
                <w:highlight w:val="none"/>
              </w:rPr>
            </w:pPr>
            <w:r>
              <w:rPr>
                <w:color w:val="auto"/>
                <w:highlight w:val="none"/>
              </w:rPr>
              <w:t> </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BFCA8">
            <w:pPr>
              <w:pStyle w:val="14"/>
              <w:spacing w:beforeAutospacing="0" w:afterAutospacing="0"/>
              <w:jc w:val="center"/>
              <w:rPr>
                <w:color w:val="auto"/>
                <w:highlight w:val="none"/>
              </w:rPr>
            </w:pPr>
            <w:r>
              <w:rPr>
                <w:color w:val="auto"/>
                <w:highlight w:val="none"/>
              </w:rPr>
              <w:t> </w:t>
            </w:r>
          </w:p>
        </w:tc>
      </w:tr>
      <w:tr w14:paraId="0A96D922">
        <w:tblPrEx>
          <w:tblCellMar>
            <w:top w:w="0" w:type="dxa"/>
            <w:left w:w="108" w:type="dxa"/>
            <w:bottom w:w="0" w:type="dxa"/>
            <w:right w:w="108" w:type="dxa"/>
          </w:tblCellMar>
        </w:tblPrEx>
        <w:trPr>
          <w:trHeight w:val="640" w:hRule="atLeast"/>
          <w:tblCellSpacing w:w="0" w:type="dxa"/>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845D8">
            <w:pPr>
              <w:pStyle w:val="14"/>
              <w:spacing w:beforeAutospacing="0" w:afterAutospacing="0"/>
              <w:jc w:val="center"/>
              <w:rPr>
                <w:color w:val="auto"/>
                <w:highlight w:val="none"/>
              </w:rPr>
            </w:pPr>
            <w:r>
              <w:rPr>
                <w:color w:val="auto"/>
                <w:highlight w:val="none"/>
              </w:rPr>
              <w:t> </w:t>
            </w:r>
          </w:p>
        </w:tc>
        <w:tc>
          <w:tcPr>
            <w:tcW w:w="3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F83CE">
            <w:pPr>
              <w:pStyle w:val="14"/>
              <w:spacing w:beforeAutospacing="0" w:afterAutospacing="0"/>
              <w:jc w:val="center"/>
              <w:rPr>
                <w:color w:val="auto"/>
                <w:highlight w:val="none"/>
              </w:rPr>
            </w:pPr>
            <w:r>
              <w:rPr>
                <w:color w:val="auto"/>
                <w:highlight w:val="none"/>
              </w:rPr>
              <w:t> </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5206A">
            <w:pPr>
              <w:pStyle w:val="14"/>
              <w:spacing w:beforeAutospacing="0" w:afterAutospacing="0"/>
              <w:jc w:val="center"/>
              <w:rPr>
                <w:color w:val="auto"/>
                <w:highlight w:val="none"/>
              </w:rPr>
            </w:pPr>
            <w:r>
              <w:rPr>
                <w:color w:val="auto"/>
                <w:highlight w:val="none"/>
              </w:rPr>
              <w:t> </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64FE1">
            <w:pPr>
              <w:pStyle w:val="14"/>
              <w:spacing w:beforeAutospacing="0" w:afterAutospacing="0"/>
              <w:jc w:val="center"/>
              <w:rPr>
                <w:color w:val="auto"/>
                <w:highlight w:val="none"/>
              </w:rPr>
            </w:pPr>
            <w:r>
              <w:rPr>
                <w:color w:val="auto"/>
                <w:highlight w:val="none"/>
              </w:rPr>
              <w:t> </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581DA">
            <w:pPr>
              <w:pStyle w:val="14"/>
              <w:spacing w:beforeAutospacing="0" w:afterAutospacing="0"/>
              <w:jc w:val="center"/>
              <w:rPr>
                <w:color w:val="auto"/>
                <w:highlight w:val="none"/>
              </w:rPr>
            </w:pPr>
            <w:r>
              <w:rPr>
                <w:color w:val="auto"/>
                <w:highlight w:val="none"/>
              </w:rPr>
              <w:t> </w:t>
            </w:r>
          </w:p>
        </w:tc>
      </w:tr>
      <w:tr w14:paraId="6A3D630E">
        <w:tblPrEx>
          <w:tblCellMar>
            <w:top w:w="0" w:type="dxa"/>
            <w:left w:w="108" w:type="dxa"/>
            <w:bottom w:w="0" w:type="dxa"/>
            <w:right w:w="108" w:type="dxa"/>
          </w:tblCellMar>
        </w:tblPrEx>
        <w:trPr>
          <w:trHeight w:val="640" w:hRule="atLeast"/>
          <w:tblCellSpacing w:w="0" w:type="dxa"/>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F5B2F">
            <w:pPr>
              <w:pStyle w:val="14"/>
              <w:spacing w:beforeAutospacing="0" w:afterAutospacing="0"/>
              <w:jc w:val="center"/>
              <w:rPr>
                <w:color w:val="auto"/>
                <w:highlight w:val="none"/>
              </w:rPr>
            </w:pPr>
            <w:r>
              <w:rPr>
                <w:color w:val="auto"/>
                <w:highlight w:val="none"/>
              </w:rPr>
              <w:t> </w:t>
            </w:r>
          </w:p>
        </w:tc>
        <w:tc>
          <w:tcPr>
            <w:tcW w:w="3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DB8D7">
            <w:pPr>
              <w:pStyle w:val="14"/>
              <w:spacing w:beforeAutospacing="0" w:afterAutospacing="0"/>
              <w:jc w:val="center"/>
              <w:rPr>
                <w:color w:val="auto"/>
                <w:highlight w:val="none"/>
              </w:rPr>
            </w:pPr>
            <w:r>
              <w:rPr>
                <w:color w:val="auto"/>
                <w:highlight w:val="none"/>
              </w:rPr>
              <w:t> </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EDA57">
            <w:pPr>
              <w:pStyle w:val="14"/>
              <w:spacing w:beforeAutospacing="0" w:afterAutospacing="0"/>
              <w:jc w:val="center"/>
              <w:rPr>
                <w:color w:val="auto"/>
                <w:highlight w:val="none"/>
              </w:rPr>
            </w:pPr>
            <w:r>
              <w:rPr>
                <w:color w:val="auto"/>
                <w:highlight w:val="none"/>
              </w:rPr>
              <w:t> </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CB6AD">
            <w:pPr>
              <w:pStyle w:val="14"/>
              <w:spacing w:beforeAutospacing="0" w:afterAutospacing="0"/>
              <w:jc w:val="center"/>
              <w:rPr>
                <w:color w:val="auto"/>
                <w:highlight w:val="none"/>
              </w:rPr>
            </w:pPr>
            <w:r>
              <w:rPr>
                <w:color w:val="auto"/>
                <w:highlight w:val="none"/>
              </w:rPr>
              <w:t> </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D1883">
            <w:pPr>
              <w:pStyle w:val="14"/>
              <w:spacing w:beforeAutospacing="0" w:afterAutospacing="0"/>
              <w:jc w:val="center"/>
              <w:rPr>
                <w:color w:val="auto"/>
                <w:highlight w:val="none"/>
              </w:rPr>
            </w:pPr>
            <w:r>
              <w:rPr>
                <w:color w:val="auto"/>
                <w:highlight w:val="none"/>
              </w:rPr>
              <w:t> </w:t>
            </w:r>
          </w:p>
        </w:tc>
      </w:tr>
      <w:tr w14:paraId="1FD10307">
        <w:tblPrEx>
          <w:tblCellMar>
            <w:top w:w="0" w:type="dxa"/>
            <w:left w:w="108" w:type="dxa"/>
            <w:bottom w:w="0" w:type="dxa"/>
            <w:right w:w="108" w:type="dxa"/>
          </w:tblCellMar>
        </w:tblPrEx>
        <w:trPr>
          <w:trHeight w:val="640" w:hRule="atLeast"/>
          <w:tblCellSpacing w:w="0" w:type="dxa"/>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8B157">
            <w:pPr>
              <w:pStyle w:val="14"/>
              <w:spacing w:beforeAutospacing="0" w:afterAutospacing="0"/>
              <w:jc w:val="center"/>
              <w:rPr>
                <w:color w:val="auto"/>
                <w:highlight w:val="none"/>
              </w:rPr>
            </w:pPr>
            <w:r>
              <w:rPr>
                <w:color w:val="auto"/>
                <w:highlight w:val="none"/>
              </w:rPr>
              <w:t> </w:t>
            </w:r>
          </w:p>
        </w:tc>
        <w:tc>
          <w:tcPr>
            <w:tcW w:w="3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7CAED">
            <w:pPr>
              <w:pStyle w:val="14"/>
              <w:spacing w:beforeAutospacing="0" w:afterAutospacing="0"/>
              <w:jc w:val="center"/>
              <w:rPr>
                <w:color w:val="auto"/>
                <w:highlight w:val="none"/>
              </w:rPr>
            </w:pPr>
            <w:r>
              <w:rPr>
                <w:color w:val="auto"/>
                <w:highlight w:val="none"/>
              </w:rPr>
              <w:t> </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8D6B9">
            <w:pPr>
              <w:pStyle w:val="14"/>
              <w:spacing w:beforeAutospacing="0" w:afterAutospacing="0"/>
              <w:jc w:val="center"/>
              <w:rPr>
                <w:color w:val="auto"/>
                <w:highlight w:val="none"/>
              </w:rPr>
            </w:pPr>
            <w:r>
              <w:rPr>
                <w:color w:val="auto"/>
                <w:highlight w:val="none"/>
              </w:rPr>
              <w:t> </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BF19F">
            <w:pPr>
              <w:pStyle w:val="14"/>
              <w:spacing w:beforeAutospacing="0" w:afterAutospacing="0"/>
              <w:jc w:val="center"/>
              <w:rPr>
                <w:color w:val="auto"/>
                <w:highlight w:val="none"/>
              </w:rPr>
            </w:pPr>
            <w:r>
              <w:rPr>
                <w:color w:val="auto"/>
                <w:highlight w:val="none"/>
              </w:rPr>
              <w:t> </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55CDD">
            <w:pPr>
              <w:pStyle w:val="14"/>
              <w:spacing w:beforeAutospacing="0" w:afterAutospacing="0"/>
              <w:jc w:val="center"/>
              <w:rPr>
                <w:color w:val="auto"/>
                <w:highlight w:val="none"/>
              </w:rPr>
            </w:pPr>
            <w:r>
              <w:rPr>
                <w:color w:val="auto"/>
                <w:highlight w:val="none"/>
              </w:rPr>
              <w:t> </w:t>
            </w:r>
          </w:p>
        </w:tc>
      </w:tr>
      <w:tr w14:paraId="7E7BEB0F">
        <w:tblPrEx>
          <w:tblCellMar>
            <w:top w:w="0" w:type="dxa"/>
            <w:left w:w="108" w:type="dxa"/>
            <w:bottom w:w="0" w:type="dxa"/>
            <w:right w:w="108" w:type="dxa"/>
          </w:tblCellMar>
        </w:tblPrEx>
        <w:trPr>
          <w:trHeight w:val="640" w:hRule="atLeast"/>
          <w:tblCellSpacing w:w="0" w:type="dxa"/>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AE6E8">
            <w:pPr>
              <w:pStyle w:val="14"/>
              <w:spacing w:beforeAutospacing="0" w:afterAutospacing="0"/>
              <w:jc w:val="center"/>
              <w:rPr>
                <w:color w:val="auto"/>
                <w:highlight w:val="none"/>
              </w:rPr>
            </w:pPr>
            <w:r>
              <w:rPr>
                <w:color w:val="auto"/>
                <w:highlight w:val="none"/>
              </w:rPr>
              <w:t> </w:t>
            </w:r>
          </w:p>
        </w:tc>
        <w:tc>
          <w:tcPr>
            <w:tcW w:w="3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22274">
            <w:pPr>
              <w:pStyle w:val="14"/>
              <w:spacing w:beforeAutospacing="0" w:afterAutospacing="0"/>
              <w:jc w:val="center"/>
              <w:rPr>
                <w:color w:val="auto"/>
                <w:highlight w:val="none"/>
              </w:rPr>
            </w:pPr>
            <w:r>
              <w:rPr>
                <w:color w:val="auto"/>
                <w:highlight w:val="none"/>
              </w:rPr>
              <w:t> </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9B729">
            <w:pPr>
              <w:pStyle w:val="14"/>
              <w:spacing w:beforeAutospacing="0" w:afterAutospacing="0"/>
              <w:jc w:val="center"/>
              <w:rPr>
                <w:color w:val="auto"/>
                <w:highlight w:val="none"/>
              </w:rPr>
            </w:pPr>
            <w:r>
              <w:rPr>
                <w:color w:val="auto"/>
                <w:highlight w:val="none"/>
              </w:rPr>
              <w:t> </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035ED">
            <w:pPr>
              <w:pStyle w:val="14"/>
              <w:spacing w:beforeAutospacing="0" w:afterAutospacing="0"/>
              <w:jc w:val="center"/>
              <w:rPr>
                <w:color w:val="auto"/>
                <w:highlight w:val="none"/>
              </w:rPr>
            </w:pPr>
            <w:r>
              <w:rPr>
                <w:color w:val="auto"/>
                <w:highlight w:val="none"/>
              </w:rPr>
              <w:t> </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023FA">
            <w:pPr>
              <w:pStyle w:val="14"/>
              <w:spacing w:beforeAutospacing="0" w:afterAutospacing="0"/>
              <w:jc w:val="center"/>
              <w:rPr>
                <w:color w:val="auto"/>
                <w:highlight w:val="none"/>
              </w:rPr>
            </w:pPr>
            <w:r>
              <w:rPr>
                <w:color w:val="auto"/>
                <w:highlight w:val="none"/>
              </w:rPr>
              <w:t> </w:t>
            </w:r>
          </w:p>
        </w:tc>
      </w:tr>
      <w:tr w14:paraId="04CD8F28">
        <w:tblPrEx>
          <w:tblCellMar>
            <w:top w:w="0" w:type="dxa"/>
            <w:left w:w="108" w:type="dxa"/>
            <w:bottom w:w="0" w:type="dxa"/>
            <w:right w:w="108" w:type="dxa"/>
          </w:tblCellMar>
        </w:tblPrEx>
        <w:trPr>
          <w:trHeight w:val="640" w:hRule="atLeast"/>
          <w:tblCellSpacing w:w="0" w:type="dxa"/>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2F401">
            <w:pPr>
              <w:pStyle w:val="14"/>
              <w:spacing w:beforeAutospacing="0" w:afterAutospacing="0"/>
              <w:jc w:val="center"/>
              <w:rPr>
                <w:color w:val="auto"/>
                <w:highlight w:val="none"/>
              </w:rPr>
            </w:pPr>
            <w:r>
              <w:rPr>
                <w:color w:val="auto"/>
                <w:highlight w:val="none"/>
              </w:rPr>
              <w:t> </w:t>
            </w:r>
          </w:p>
        </w:tc>
        <w:tc>
          <w:tcPr>
            <w:tcW w:w="3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4C446">
            <w:pPr>
              <w:pStyle w:val="14"/>
              <w:spacing w:beforeAutospacing="0" w:afterAutospacing="0"/>
              <w:jc w:val="center"/>
              <w:rPr>
                <w:color w:val="auto"/>
                <w:highlight w:val="none"/>
              </w:rPr>
            </w:pPr>
            <w:r>
              <w:rPr>
                <w:color w:val="auto"/>
                <w:highlight w:val="none"/>
              </w:rPr>
              <w:t> </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32FF0">
            <w:pPr>
              <w:pStyle w:val="14"/>
              <w:spacing w:beforeAutospacing="0" w:afterAutospacing="0"/>
              <w:jc w:val="center"/>
              <w:rPr>
                <w:color w:val="auto"/>
                <w:highlight w:val="none"/>
              </w:rPr>
            </w:pPr>
            <w:r>
              <w:rPr>
                <w:color w:val="auto"/>
                <w:highlight w:val="none"/>
              </w:rPr>
              <w:t> </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46148">
            <w:pPr>
              <w:pStyle w:val="14"/>
              <w:spacing w:beforeAutospacing="0" w:afterAutospacing="0"/>
              <w:jc w:val="center"/>
              <w:rPr>
                <w:color w:val="auto"/>
                <w:highlight w:val="none"/>
              </w:rPr>
            </w:pPr>
            <w:r>
              <w:rPr>
                <w:color w:val="auto"/>
                <w:highlight w:val="none"/>
              </w:rPr>
              <w:t> </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A4035">
            <w:pPr>
              <w:pStyle w:val="14"/>
              <w:spacing w:beforeAutospacing="0" w:afterAutospacing="0"/>
              <w:jc w:val="center"/>
              <w:rPr>
                <w:color w:val="auto"/>
                <w:highlight w:val="none"/>
              </w:rPr>
            </w:pPr>
            <w:r>
              <w:rPr>
                <w:color w:val="auto"/>
                <w:highlight w:val="none"/>
              </w:rPr>
              <w:t> </w:t>
            </w:r>
          </w:p>
        </w:tc>
      </w:tr>
      <w:tr w14:paraId="42CC7CC8">
        <w:tblPrEx>
          <w:tblCellMar>
            <w:top w:w="0" w:type="dxa"/>
            <w:left w:w="108" w:type="dxa"/>
            <w:bottom w:w="0" w:type="dxa"/>
            <w:right w:w="108" w:type="dxa"/>
          </w:tblCellMar>
        </w:tblPrEx>
        <w:trPr>
          <w:trHeight w:val="640" w:hRule="atLeast"/>
          <w:tblCellSpacing w:w="0" w:type="dxa"/>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8F694">
            <w:pPr>
              <w:pStyle w:val="14"/>
              <w:spacing w:beforeAutospacing="0" w:afterAutospacing="0"/>
              <w:jc w:val="center"/>
              <w:rPr>
                <w:color w:val="auto"/>
                <w:highlight w:val="none"/>
              </w:rPr>
            </w:pPr>
            <w:r>
              <w:rPr>
                <w:color w:val="auto"/>
                <w:highlight w:val="none"/>
              </w:rPr>
              <w:t> </w:t>
            </w:r>
          </w:p>
        </w:tc>
        <w:tc>
          <w:tcPr>
            <w:tcW w:w="3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9BBC6">
            <w:pPr>
              <w:pStyle w:val="14"/>
              <w:spacing w:beforeAutospacing="0" w:afterAutospacing="0"/>
              <w:jc w:val="center"/>
              <w:rPr>
                <w:color w:val="auto"/>
                <w:highlight w:val="none"/>
              </w:rPr>
            </w:pPr>
            <w:r>
              <w:rPr>
                <w:rFonts w:hint="eastAsia" w:ascii="宋体" w:hAnsi="宋体" w:eastAsia="宋体" w:cs="宋体"/>
                <w:color w:val="auto"/>
                <w:highlight w:val="none"/>
              </w:rPr>
              <w:t>……</w:t>
            </w:r>
          </w:p>
        </w:tc>
        <w:tc>
          <w:tcPr>
            <w:tcW w:w="26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054F4">
            <w:pPr>
              <w:pStyle w:val="14"/>
              <w:spacing w:beforeAutospacing="0" w:afterAutospacing="0"/>
              <w:jc w:val="center"/>
              <w:rPr>
                <w:color w:val="auto"/>
                <w:highlight w:val="none"/>
              </w:rPr>
            </w:pPr>
            <w:r>
              <w:rPr>
                <w:color w:val="auto"/>
                <w:highlight w:val="none"/>
              </w:rPr>
              <w:t> </w:t>
            </w:r>
          </w:p>
        </w:tc>
        <w:tc>
          <w:tcPr>
            <w:tcW w:w="12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B8EFF">
            <w:pPr>
              <w:pStyle w:val="14"/>
              <w:spacing w:beforeAutospacing="0" w:afterAutospacing="0"/>
              <w:jc w:val="center"/>
              <w:rPr>
                <w:color w:val="auto"/>
                <w:highlight w:val="none"/>
              </w:rPr>
            </w:pPr>
            <w:r>
              <w:rPr>
                <w:color w:val="auto"/>
                <w:highlight w:val="none"/>
              </w:rPr>
              <w:t> </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890D4">
            <w:pPr>
              <w:pStyle w:val="14"/>
              <w:spacing w:beforeAutospacing="0" w:afterAutospacing="0"/>
              <w:jc w:val="center"/>
              <w:rPr>
                <w:color w:val="auto"/>
                <w:highlight w:val="none"/>
              </w:rPr>
            </w:pPr>
            <w:r>
              <w:rPr>
                <w:color w:val="auto"/>
                <w:highlight w:val="none"/>
              </w:rPr>
              <w:t> </w:t>
            </w:r>
          </w:p>
        </w:tc>
      </w:tr>
    </w:tbl>
    <w:p w14:paraId="039DC209">
      <w:pPr>
        <w:pStyle w:val="14"/>
        <w:spacing w:beforeAutospacing="0" w:afterAutospacing="0"/>
        <w:jc w:val="both"/>
        <w:rPr>
          <w:color w:val="auto"/>
          <w:highlight w:val="none"/>
        </w:rPr>
      </w:pPr>
      <w:r>
        <w:rPr>
          <w:rFonts w:hint="eastAsia" w:ascii="宋体" w:hAnsi="宋体" w:eastAsia="宋体" w:cs="宋体"/>
          <w:color w:val="auto"/>
          <w:highlight w:val="none"/>
        </w:rPr>
        <w:t>注： 行数不够，可自行添加。</w:t>
      </w:r>
    </w:p>
    <w:p w14:paraId="15AA5ABF">
      <w:pPr>
        <w:pStyle w:val="14"/>
        <w:spacing w:beforeAutospacing="0" w:afterAutospacing="0"/>
        <w:jc w:val="center"/>
        <w:rPr>
          <w:color w:val="auto"/>
          <w:highlight w:val="none"/>
        </w:rPr>
      </w:pPr>
      <w:r>
        <w:rPr>
          <w:color w:val="auto"/>
          <w:highlight w:val="none"/>
        </w:rPr>
        <w:t> </w:t>
      </w:r>
    </w:p>
    <w:p w14:paraId="3DE57A72">
      <w:pPr>
        <w:pStyle w:val="14"/>
        <w:spacing w:beforeAutospacing="0" w:afterAutospacing="0"/>
        <w:jc w:val="center"/>
        <w:rPr>
          <w:color w:val="auto"/>
          <w:highlight w:val="none"/>
        </w:rPr>
      </w:pPr>
      <w:r>
        <w:rPr>
          <w:color w:val="auto"/>
          <w:highlight w:val="none"/>
        </w:rPr>
        <w:t> </w:t>
      </w:r>
    </w:p>
    <w:p w14:paraId="5D8A6DEA">
      <w:pPr>
        <w:pStyle w:val="14"/>
        <w:spacing w:beforeAutospacing="0" w:afterAutospacing="0"/>
        <w:jc w:val="center"/>
        <w:rPr>
          <w:color w:val="auto"/>
          <w:highlight w:val="none"/>
        </w:rPr>
      </w:pPr>
      <w:r>
        <w:rPr>
          <w:color w:val="auto"/>
          <w:highlight w:val="none"/>
        </w:rPr>
        <w:t> </w:t>
      </w:r>
    </w:p>
    <w:p w14:paraId="4F7E03C8">
      <w:pPr>
        <w:pStyle w:val="14"/>
        <w:spacing w:beforeAutospacing="0" w:afterAutospacing="0"/>
        <w:jc w:val="center"/>
        <w:rPr>
          <w:color w:val="auto"/>
          <w:highlight w:val="none"/>
        </w:rPr>
      </w:pPr>
      <w:r>
        <w:rPr>
          <w:color w:val="auto"/>
          <w:highlight w:val="none"/>
        </w:rPr>
        <w:t> </w:t>
      </w:r>
    </w:p>
    <w:p w14:paraId="068A4565">
      <w:pPr>
        <w:pStyle w:val="14"/>
        <w:spacing w:beforeAutospacing="0" w:afterAutospacing="0"/>
        <w:jc w:val="both"/>
        <w:rPr>
          <w:color w:val="auto"/>
          <w:highlight w:val="none"/>
        </w:rPr>
      </w:pPr>
      <w:r>
        <w:rPr>
          <w:color w:val="auto"/>
          <w:highlight w:val="none"/>
        </w:rPr>
        <w:t> </w:t>
      </w:r>
    </w:p>
    <w:p w14:paraId="6EC5A847">
      <w:pPr>
        <w:pStyle w:val="14"/>
        <w:spacing w:beforeAutospacing="0" w:afterAutospacing="0"/>
        <w:jc w:val="both"/>
        <w:rPr>
          <w:color w:val="auto"/>
          <w:highlight w:val="none"/>
        </w:rPr>
      </w:pPr>
      <w:r>
        <w:rPr>
          <w:color w:val="auto"/>
          <w:highlight w:val="none"/>
        </w:rPr>
        <w:t> </w:t>
      </w:r>
    </w:p>
    <w:p w14:paraId="78FCBE0B">
      <w:pPr>
        <w:pStyle w:val="14"/>
        <w:spacing w:beforeAutospacing="0" w:afterAutospacing="0"/>
        <w:jc w:val="both"/>
        <w:rPr>
          <w:color w:val="auto"/>
          <w:highlight w:val="none"/>
        </w:rPr>
      </w:pPr>
      <w:r>
        <w:rPr>
          <w:color w:val="auto"/>
          <w:highlight w:val="none"/>
        </w:rPr>
        <w:t> </w:t>
      </w:r>
    </w:p>
    <w:p w14:paraId="174ABED4">
      <w:pPr>
        <w:pStyle w:val="14"/>
        <w:spacing w:beforeAutospacing="0" w:afterAutospacing="0"/>
        <w:jc w:val="both"/>
        <w:rPr>
          <w:color w:val="auto"/>
          <w:highlight w:val="none"/>
        </w:rPr>
      </w:pPr>
      <w:r>
        <w:rPr>
          <w:color w:val="auto"/>
          <w:highlight w:val="none"/>
        </w:rPr>
        <w:t> </w:t>
      </w:r>
    </w:p>
    <w:p w14:paraId="79285A37">
      <w:pPr>
        <w:pStyle w:val="14"/>
        <w:spacing w:beforeAutospacing="0" w:afterAutospacing="0"/>
        <w:jc w:val="both"/>
        <w:rPr>
          <w:color w:val="auto"/>
          <w:highlight w:val="none"/>
        </w:rPr>
      </w:pPr>
    </w:p>
    <w:p w14:paraId="1F8896A9">
      <w:pPr>
        <w:pStyle w:val="14"/>
        <w:spacing w:beforeAutospacing="0" w:afterAutospacing="0"/>
        <w:jc w:val="both"/>
        <w:rPr>
          <w:color w:val="auto"/>
          <w:highlight w:val="none"/>
        </w:rPr>
      </w:pPr>
    </w:p>
    <w:p w14:paraId="33FE263D">
      <w:pPr>
        <w:pStyle w:val="14"/>
        <w:spacing w:beforeAutospacing="0" w:afterAutospacing="0"/>
        <w:jc w:val="both"/>
        <w:rPr>
          <w:color w:val="auto"/>
          <w:highlight w:val="none"/>
        </w:rPr>
      </w:pPr>
    </w:p>
    <w:p w14:paraId="6377BA79">
      <w:pPr>
        <w:pStyle w:val="14"/>
        <w:spacing w:beforeAutospacing="0" w:afterAutospacing="0"/>
        <w:jc w:val="both"/>
        <w:rPr>
          <w:color w:val="auto"/>
          <w:highlight w:val="none"/>
        </w:rPr>
      </w:pPr>
    </w:p>
    <w:p w14:paraId="7251072B">
      <w:pPr>
        <w:pStyle w:val="14"/>
        <w:spacing w:beforeAutospacing="0" w:afterAutospacing="0"/>
        <w:jc w:val="both"/>
        <w:rPr>
          <w:color w:val="auto"/>
          <w:highlight w:val="none"/>
        </w:rPr>
      </w:pPr>
    </w:p>
    <w:p w14:paraId="1B25334D">
      <w:pPr>
        <w:pStyle w:val="14"/>
        <w:spacing w:beforeAutospacing="0" w:afterAutospacing="0"/>
        <w:jc w:val="both"/>
        <w:rPr>
          <w:color w:val="auto"/>
          <w:highlight w:val="none"/>
        </w:rPr>
      </w:pPr>
    </w:p>
    <w:p w14:paraId="5D154BA8">
      <w:pPr>
        <w:pStyle w:val="14"/>
        <w:spacing w:beforeAutospacing="0" w:afterAutospacing="0"/>
        <w:jc w:val="both"/>
        <w:rPr>
          <w:color w:val="auto"/>
          <w:highlight w:val="none"/>
        </w:rPr>
      </w:pPr>
    </w:p>
    <w:p w14:paraId="50B76237">
      <w:pPr>
        <w:pStyle w:val="14"/>
        <w:spacing w:beforeAutospacing="0" w:afterAutospacing="0"/>
        <w:jc w:val="both"/>
        <w:rPr>
          <w:color w:val="auto"/>
          <w:highlight w:val="none"/>
        </w:rPr>
      </w:pPr>
    </w:p>
    <w:p w14:paraId="3C29FEC0">
      <w:pPr>
        <w:pStyle w:val="14"/>
        <w:spacing w:beforeAutospacing="0" w:afterAutospacing="0"/>
        <w:jc w:val="both"/>
        <w:rPr>
          <w:color w:val="auto"/>
          <w:highlight w:val="none"/>
        </w:rPr>
      </w:pPr>
    </w:p>
    <w:p w14:paraId="341FB04E">
      <w:pPr>
        <w:pStyle w:val="14"/>
        <w:spacing w:beforeAutospacing="0" w:afterAutospacing="0"/>
        <w:jc w:val="both"/>
        <w:rPr>
          <w:color w:val="auto"/>
          <w:highlight w:val="none"/>
        </w:rPr>
      </w:pPr>
    </w:p>
    <w:p w14:paraId="388B35FD">
      <w:pPr>
        <w:pStyle w:val="14"/>
        <w:spacing w:beforeAutospacing="0" w:afterAutospacing="0"/>
        <w:jc w:val="both"/>
        <w:rPr>
          <w:color w:val="auto"/>
          <w:highlight w:val="none"/>
        </w:rPr>
      </w:pPr>
    </w:p>
    <w:p w14:paraId="07E2D191">
      <w:pPr>
        <w:pStyle w:val="14"/>
        <w:spacing w:beforeAutospacing="0" w:afterAutospacing="0"/>
        <w:jc w:val="both"/>
        <w:rPr>
          <w:color w:val="auto"/>
          <w:highlight w:val="none"/>
        </w:rPr>
      </w:pPr>
    </w:p>
    <w:p w14:paraId="40F74D23">
      <w:pPr>
        <w:pStyle w:val="14"/>
        <w:spacing w:beforeAutospacing="0" w:afterAutospacing="0"/>
        <w:jc w:val="both"/>
        <w:rPr>
          <w:color w:val="auto"/>
          <w:highlight w:val="none"/>
        </w:rPr>
      </w:pPr>
    </w:p>
    <w:p w14:paraId="22A00EBC">
      <w:pPr>
        <w:pStyle w:val="14"/>
        <w:spacing w:beforeAutospacing="0" w:afterAutospacing="0"/>
        <w:jc w:val="both"/>
        <w:rPr>
          <w:color w:val="auto"/>
          <w:highlight w:val="none"/>
        </w:rPr>
      </w:pPr>
      <w:r>
        <w:rPr>
          <w:color w:val="auto"/>
          <w:highlight w:val="none"/>
        </w:rPr>
        <w:t> </w:t>
      </w:r>
    </w:p>
    <w:p w14:paraId="450607F9">
      <w:pPr>
        <w:pStyle w:val="14"/>
        <w:spacing w:beforeAutospacing="0" w:afterAutospacing="0"/>
        <w:jc w:val="both"/>
        <w:rPr>
          <w:color w:val="auto"/>
          <w:highlight w:val="none"/>
        </w:rPr>
      </w:pPr>
      <w:r>
        <w:rPr>
          <w:color w:val="auto"/>
          <w:highlight w:val="none"/>
        </w:rPr>
        <w:t> </w:t>
      </w:r>
    </w:p>
    <w:p w14:paraId="7EDA3CA6">
      <w:pPr>
        <w:pStyle w:val="14"/>
        <w:spacing w:beforeAutospacing="0" w:afterAutospacing="0"/>
        <w:jc w:val="both"/>
        <w:rPr>
          <w:color w:val="auto"/>
          <w:highlight w:val="none"/>
        </w:rPr>
      </w:pPr>
      <w:r>
        <w:rPr>
          <w:color w:val="auto"/>
          <w:highlight w:val="none"/>
        </w:rPr>
        <w:t> </w:t>
      </w:r>
    </w:p>
    <w:p w14:paraId="2937E1C6">
      <w:pPr>
        <w:pStyle w:val="14"/>
        <w:spacing w:beforeAutospacing="0" w:afterAutospacing="0"/>
        <w:jc w:val="center"/>
        <w:rPr>
          <w:color w:val="auto"/>
          <w:highlight w:val="none"/>
        </w:rPr>
      </w:pPr>
      <w:bookmarkStart w:id="180" w:name="_Hlt26955054"/>
      <w:r>
        <w:rPr>
          <w:rFonts w:hint="eastAsia" w:ascii="黑体" w:hAnsi="宋体" w:eastAsia="黑体" w:cs="黑体"/>
          <w:b/>
          <w:color w:val="auto"/>
          <w:sz w:val="32"/>
          <w:szCs w:val="32"/>
          <w:highlight w:val="none"/>
        </w:rPr>
        <w:t>十</w:t>
      </w:r>
      <w:r>
        <w:rPr>
          <w:rFonts w:hint="eastAsia" w:ascii="黑体" w:hAnsi="宋体" w:eastAsia="黑体" w:cs="黑体"/>
          <w:b/>
          <w:color w:val="auto"/>
          <w:sz w:val="32"/>
          <w:szCs w:val="32"/>
          <w:highlight w:val="none"/>
          <w:lang w:val="en-US" w:eastAsia="zh-CN"/>
        </w:rPr>
        <w:t>一</w:t>
      </w:r>
      <w:r>
        <w:rPr>
          <w:rFonts w:hint="eastAsia" w:ascii="黑体" w:hAnsi="宋体" w:eastAsia="黑体" w:cs="黑体"/>
          <w:b/>
          <w:color w:val="auto"/>
          <w:sz w:val="32"/>
          <w:szCs w:val="32"/>
          <w:highlight w:val="none"/>
        </w:rPr>
        <w:t>、商务要求响应及偏离表（分包号：**）</w:t>
      </w:r>
    </w:p>
    <w:tbl>
      <w:tblPr>
        <w:tblStyle w:val="15"/>
        <w:tblW w:w="8520" w:type="dxa"/>
        <w:tblCellSpacing w:w="0" w:type="dxa"/>
        <w:tblInd w:w="10" w:type="dxa"/>
        <w:tblLayout w:type="fixed"/>
        <w:tblCellMar>
          <w:top w:w="0" w:type="dxa"/>
          <w:left w:w="108" w:type="dxa"/>
          <w:bottom w:w="0" w:type="dxa"/>
          <w:right w:w="108" w:type="dxa"/>
        </w:tblCellMar>
      </w:tblPr>
      <w:tblGrid>
        <w:gridCol w:w="661"/>
        <w:gridCol w:w="2469"/>
        <w:gridCol w:w="2645"/>
        <w:gridCol w:w="1244"/>
        <w:gridCol w:w="1501"/>
      </w:tblGrid>
      <w:tr w14:paraId="41983AF4">
        <w:tblPrEx>
          <w:tblCellMar>
            <w:top w:w="0" w:type="dxa"/>
            <w:left w:w="108" w:type="dxa"/>
            <w:bottom w:w="0" w:type="dxa"/>
            <w:right w:w="108" w:type="dxa"/>
          </w:tblCellMar>
        </w:tblPrEx>
        <w:trPr>
          <w:tblCellSpacing w:w="0" w:type="dxa"/>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69174">
            <w:pPr>
              <w:pStyle w:val="14"/>
              <w:spacing w:beforeAutospacing="0" w:afterAutospacing="0"/>
              <w:jc w:val="center"/>
              <w:rPr>
                <w:color w:val="auto"/>
                <w:highlight w:val="none"/>
              </w:rPr>
            </w:pPr>
            <w:bookmarkStart w:id="181" w:name="_Hlt26671372"/>
            <w:bookmarkStart w:id="182" w:name="_Hlt26782999"/>
            <w:bookmarkStart w:id="183" w:name="_Hlt26955056"/>
            <w:bookmarkStart w:id="184" w:name="_Hlt26609391"/>
            <w:bookmarkStart w:id="185" w:name="_Hlt26580838"/>
            <w:bookmarkStart w:id="186" w:name="_Hlt26955064"/>
            <w:bookmarkStart w:id="187" w:name="_Hlt26671343"/>
            <w:bookmarkStart w:id="188" w:name="_Hlt24879081"/>
            <w:r>
              <w:rPr>
                <w:rFonts w:hint="eastAsia" w:ascii="宋体" w:hAnsi="宋体" w:eastAsia="宋体" w:cs="宋体"/>
                <w:color w:val="auto"/>
                <w:highlight w:val="none"/>
              </w:rPr>
              <w:t>序号</w:t>
            </w:r>
          </w:p>
          <w:bookmarkEnd w:id="181"/>
          <w:bookmarkEnd w:id="182"/>
          <w:bookmarkEnd w:id="183"/>
          <w:bookmarkEnd w:id="184"/>
          <w:bookmarkEnd w:id="185"/>
          <w:bookmarkEnd w:id="186"/>
          <w:bookmarkEnd w:id="187"/>
          <w:bookmarkEnd w:id="188"/>
        </w:tc>
        <w:tc>
          <w:tcPr>
            <w:tcW w:w="2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66234">
            <w:pPr>
              <w:pStyle w:val="14"/>
              <w:spacing w:beforeAutospacing="0" w:afterAutospacing="0"/>
              <w:jc w:val="center"/>
              <w:rPr>
                <w:color w:val="auto"/>
                <w:highlight w:val="none"/>
              </w:rPr>
            </w:pPr>
            <w:r>
              <w:rPr>
                <w:rFonts w:hint="eastAsia" w:ascii="宋体" w:hAnsi="宋体" w:eastAsia="宋体" w:cs="宋体"/>
                <w:color w:val="auto"/>
                <w:highlight w:val="none"/>
              </w:rPr>
              <w:t>招标文件要求</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DE2C3">
            <w:pPr>
              <w:pStyle w:val="14"/>
              <w:spacing w:beforeAutospacing="0" w:afterAutospacing="0"/>
              <w:jc w:val="center"/>
              <w:rPr>
                <w:color w:val="auto"/>
                <w:highlight w:val="none"/>
              </w:rPr>
            </w:pPr>
            <w:r>
              <w:rPr>
                <w:rFonts w:hint="eastAsia" w:ascii="宋体" w:hAnsi="宋体" w:eastAsia="宋体" w:cs="宋体"/>
                <w:color w:val="auto"/>
                <w:highlight w:val="none"/>
              </w:rPr>
              <w:t>投标响应情况</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3B165">
            <w:pPr>
              <w:pStyle w:val="14"/>
              <w:spacing w:beforeAutospacing="0" w:afterAutospacing="0"/>
              <w:jc w:val="center"/>
              <w:rPr>
                <w:color w:val="auto"/>
                <w:highlight w:val="none"/>
              </w:rPr>
            </w:pPr>
            <w:r>
              <w:rPr>
                <w:rFonts w:hint="eastAsia" w:ascii="宋体" w:hAnsi="宋体" w:eastAsia="宋体" w:cs="宋体"/>
                <w:color w:val="auto"/>
                <w:highlight w:val="none"/>
              </w:rPr>
              <w:t>超出、符合或偏离</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5564C">
            <w:pPr>
              <w:pStyle w:val="14"/>
              <w:spacing w:beforeAutospacing="0" w:afterAutospacing="0"/>
              <w:jc w:val="center"/>
              <w:rPr>
                <w:color w:val="auto"/>
                <w:highlight w:val="none"/>
              </w:rPr>
            </w:pPr>
            <w:r>
              <w:rPr>
                <w:rFonts w:hint="eastAsia" w:ascii="宋体" w:hAnsi="宋体" w:eastAsia="宋体" w:cs="宋体"/>
                <w:color w:val="auto"/>
                <w:highlight w:val="none"/>
              </w:rPr>
              <w:t>证明</w:t>
            </w:r>
          </w:p>
          <w:p w14:paraId="07127613">
            <w:pPr>
              <w:pStyle w:val="14"/>
              <w:spacing w:beforeAutospacing="0" w:afterAutospacing="0"/>
              <w:jc w:val="center"/>
              <w:rPr>
                <w:color w:val="auto"/>
                <w:highlight w:val="none"/>
              </w:rPr>
            </w:pPr>
            <w:r>
              <w:rPr>
                <w:rFonts w:hint="eastAsia" w:ascii="宋体" w:hAnsi="宋体" w:eastAsia="宋体" w:cs="宋体"/>
                <w:color w:val="auto"/>
                <w:highlight w:val="none"/>
              </w:rPr>
              <w:t>材料</w:t>
            </w:r>
          </w:p>
        </w:tc>
      </w:tr>
      <w:tr w14:paraId="62547FD9">
        <w:tblPrEx>
          <w:tblCellMar>
            <w:top w:w="0" w:type="dxa"/>
            <w:left w:w="108" w:type="dxa"/>
            <w:bottom w:w="0" w:type="dxa"/>
            <w:right w:w="108" w:type="dxa"/>
          </w:tblCellMar>
        </w:tblPrEx>
        <w:trPr>
          <w:trHeight w:val="640" w:hRule="atLeast"/>
          <w:tblCellSpacing w:w="0" w:type="dxa"/>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B7343">
            <w:pPr>
              <w:pStyle w:val="14"/>
              <w:spacing w:beforeAutospacing="0" w:afterAutospacing="0"/>
              <w:jc w:val="center"/>
              <w:rPr>
                <w:color w:val="auto"/>
                <w:highlight w:val="none"/>
              </w:rPr>
            </w:pPr>
            <w:r>
              <w:rPr>
                <w:color w:val="auto"/>
                <w:highlight w:val="none"/>
              </w:rPr>
              <w:t> </w:t>
            </w:r>
          </w:p>
        </w:tc>
        <w:tc>
          <w:tcPr>
            <w:tcW w:w="2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00662">
            <w:pPr>
              <w:pStyle w:val="14"/>
              <w:spacing w:beforeAutospacing="0" w:afterAutospacing="0"/>
              <w:jc w:val="center"/>
              <w:rPr>
                <w:color w:val="auto"/>
                <w:highlight w:val="none"/>
              </w:rPr>
            </w:pPr>
            <w:r>
              <w:rPr>
                <w:color w:val="auto"/>
                <w:highlight w:val="none"/>
              </w:rPr>
              <w:t> </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BBD93">
            <w:pPr>
              <w:pStyle w:val="14"/>
              <w:spacing w:beforeAutospacing="0" w:afterAutospacing="0"/>
              <w:jc w:val="center"/>
              <w:rPr>
                <w:color w:val="auto"/>
                <w:highlight w:val="none"/>
              </w:rPr>
            </w:pPr>
            <w:r>
              <w:rPr>
                <w:color w:val="auto"/>
                <w:highlight w:val="none"/>
              </w:rPr>
              <w:t> </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EE4BC">
            <w:pPr>
              <w:pStyle w:val="14"/>
              <w:spacing w:beforeAutospacing="0" w:afterAutospacing="0"/>
              <w:jc w:val="center"/>
              <w:rPr>
                <w:color w:val="auto"/>
                <w:highlight w:val="none"/>
              </w:rPr>
            </w:pPr>
            <w:r>
              <w:rPr>
                <w:color w:val="auto"/>
                <w:highlight w:val="none"/>
              </w:rPr>
              <w:t> </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40B98">
            <w:pPr>
              <w:pStyle w:val="14"/>
              <w:spacing w:beforeAutospacing="0" w:afterAutospacing="0"/>
              <w:jc w:val="center"/>
              <w:rPr>
                <w:color w:val="auto"/>
                <w:highlight w:val="none"/>
              </w:rPr>
            </w:pPr>
            <w:r>
              <w:rPr>
                <w:color w:val="auto"/>
                <w:highlight w:val="none"/>
              </w:rPr>
              <w:t> </w:t>
            </w:r>
          </w:p>
        </w:tc>
      </w:tr>
      <w:tr w14:paraId="71131C2C">
        <w:tblPrEx>
          <w:tblCellMar>
            <w:top w:w="0" w:type="dxa"/>
            <w:left w:w="108" w:type="dxa"/>
            <w:bottom w:w="0" w:type="dxa"/>
            <w:right w:w="108" w:type="dxa"/>
          </w:tblCellMar>
        </w:tblPrEx>
        <w:trPr>
          <w:trHeight w:val="640" w:hRule="atLeast"/>
          <w:tblCellSpacing w:w="0" w:type="dxa"/>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D40B7">
            <w:pPr>
              <w:pStyle w:val="14"/>
              <w:spacing w:beforeAutospacing="0" w:afterAutospacing="0"/>
              <w:jc w:val="center"/>
              <w:rPr>
                <w:color w:val="auto"/>
                <w:highlight w:val="none"/>
              </w:rPr>
            </w:pPr>
            <w:r>
              <w:rPr>
                <w:color w:val="auto"/>
                <w:highlight w:val="none"/>
              </w:rPr>
              <w:t> </w:t>
            </w:r>
          </w:p>
        </w:tc>
        <w:tc>
          <w:tcPr>
            <w:tcW w:w="2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E3336">
            <w:pPr>
              <w:pStyle w:val="14"/>
              <w:spacing w:beforeAutospacing="0" w:afterAutospacing="0"/>
              <w:jc w:val="center"/>
              <w:rPr>
                <w:color w:val="auto"/>
                <w:highlight w:val="none"/>
              </w:rPr>
            </w:pPr>
            <w:r>
              <w:rPr>
                <w:color w:val="auto"/>
                <w:highlight w:val="none"/>
              </w:rPr>
              <w:t> </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6CF03">
            <w:pPr>
              <w:pStyle w:val="14"/>
              <w:spacing w:beforeAutospacing="0" w:afterAutospacing="0"/>
              <w:jc w:val="center"/>
              <w:rPr>
                <w:color w:val="auto"/>
                <w:highlight w:val="none"/>
              </w:rPr>
            </w:pPr>
            <w:r>
              <w:rPr>
                <w:color w:val="auto"/>
                <w:highlight w:val="none"/>
              </w:rPr>
              <w:t> </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7E368">
            <w:pPr>
              <w:pStyle w:val="14"/>
              <w:spacing w:beforeAutospacing="0" w:afterAutospacing="0"/>
              <w:jc w:val="center"/>
              <w:rPr>
                <w:color w:val="auto"/>
                <w:highlight w:val="none"/>
              </w:rPr>
            </w:pPr>
            <w:r>
              <w:rPr>
                <w:color w:val="auto"/>
                <w:highlight w:val="none"/>
              </w:rPr>
              <w:t> </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97859">
            <w:pPr>
              <w:pStyle w:val="14"/>
              <w:spacing w:beforeAutospacing="0" w:afterAutospacing="0"/>
              <w:jc w:val="center"/>
              <w:rPr>
                <w:color w:val="auto"/>
                <w:highlight w:val="none"/>
              </w:rPr>
            </w:pPr>
            <w:r>
              <w:rPr>
                <w:color w:val="auto"/>
                <w:highlight w:val="none"/>
              </w:rPr>
              <w:t> </w:t>
            </w:r>
          </w:p>
        </w:tc>
      </w:tr>
      <w:tr w14:paraId="38207842">
        <w:tblPrEx>
          <w:tblCellMar>
            <w:top w:w="0" w:type="dxa"/>
            <w:left w:w="108" w:type="dxa"/>
            <w:bottom w:w="0" w:type="dxa"/>
            <w:right w:w="108" w:type="dxa"/>
          </w:tblCellMar>
        </w:tblPrEx>
        <w:trPr>
          <w:trHeight w:val="640" w:hRule="atLeast"/>
          <w:tblCellSpacing w:w="0" w:type="dxa"/>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A9B7D">
            <w:pPr>
              <w:pStyle w:val="14"/>
              <w:spacing w:beforeAutospacing="0" w:afterAutospacing="0"/>
              <w:jc w:val="center"/>
              <w:rPr>
                <w:color w:val="auto"/>
                <w:highlight w:val="none"/>
              </w:rPr>
            </w:pPr>
            <w:r>
              <w:rPr>
                <w:color w:val="auto"/>
                <w:highlight w:val="none"/>
              </w:rPr>
              <w:t> </w:t>
            </w:r>
          </w:p>
        </w:tc>
        <w:tc>
          <w:tcPr>
            <w:tcW w:w="2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D99A5">
            <w:pPr>
              <w:pStyle w:val="14"/>
              <w:spacing w:beforeAutospacing="0" w:afterAutospacing="0"/>
              <w:jc w:val="center"/>
              <w:rPr>
                <w:color w:val="auto"/>
                <w:highlight w:val="none"/>
              </w:rPr>
            </w:pPr>
            <w:r>
              <w:rPr>
                <w:color w:val="auto"/>
                <w:highlight w:val="none"/>
              </w:rPr>
              <w:t> </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4C122">
            <w:pPr>
              <w:pStyle w:val="14"/>
              <w:spacing w:beforeAutospacing="0" w:afterAutospacing="0"/>
              <w:jc w:val="center"/>
              <w:rPr>
                <w:color w:val="auto"/>
                <w:highlight w:val="none"/>
              </w:rPr>
            </w:pPr>
            <w:r>
              <w:rPr>
                <w:color w:val="auto"/>
                <w:highlight w:val="none"/>
              </w:rPr>
              <w:t> </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89354">
            <w:pPr>
              <w:pStyle w:val="14"/>
              <w:spacing w:beforeAutospacing="0" w:afterAutospacing="0"/>
              <w:jc w:val="center"/>
              <w:rPr>
                <w:color w:val="auto"/>
                <w:highlight w:val="none"/>
              </w:rPr>
            </w:pPr>
            <w:r>
              <w:rPr>
                <w:color w:val="auto"/>
                <w:highlight w:val="none"/>
              </w:rPr>
              <w:t> </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3AF76">
            <w:pPr>
              <w:pStyle w:val="14"/>
              <w:spacing w:beforeAutospacing="0" w:afterAutospacing="0"/>
              <w:jc w:val="center"/>
              <w:rPr>
                <w:color w:val="auto"/>
                <w:highlight w:val="none"/>
              </w:rPr>
            </w:pPr>
            <w:r>
              <w:rPr>
                <w:color w:val="auto"/>
                <w:highlight w:val="none"/>
              </w:rPr>
              <w:t> </w:t>
            </w:r>
          </w:p>
        </w:tc>
      </w:tr>
      <w:tr w14:paraId="37E06C0A">
        <w:tblPrEx>
          <w:tblCellMar>
            <w:top w:w="0" w:type="dxa"/>
            <w:left w:w="108" w:type="dxa"/>
            <w:bottom w:w="0" w:type="dxa"/>
            <w:right w:w="108" w:type="dxa"/>
          </w:tblCellMar>
        </w:tblPrEx>
        <w:trPr>
          <w:trHeight w:val="640" w:hRule="atLeast"/>
          <w:tblCellSpacing w:w="0" w:type="dxa"/>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07472">
            <w:pPr>
              <w:pStyle w:val="14"/>
              <w:spacing w:beforeAutospacing="0" w:afterAutospacing="0"/>
              <w:jc w:val="center"/>
              <w:rPr>
                <w:color w:val="auto"/>
                <w:highlight w:val="none"/>
              </w:rPr>
            </w:pPr>
            <w:r>
              <w:rPr>
                <w:color w:val="auto"/>
                <w:highlight w:val="none"/>
              </w:rPr>
              <w:t> </w:t>
            </w:r>
          </w:p>
        </w:tc>
        <w:tc>
          <w:tcPr>
            <w:tcW w:w="2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C8784">
            <w:pPr>
              <w:pStyle w:val="14"/>
              <w:spacing w:beforeAutospacing="0" w:afterAutospacing="0"/>
              <w:jc w:val="center"/>
              <w:rPr>
                <w:color w:val="auto"/>
                <w:highlight w:val="none"/>
              </w:rPr>
            </w:pPr>
            <w:r>
              <w:rPr>
                <w:color w:val="auto"/>
                <w:highlight w:val="none"/>
              </w:rPr>
              <w:t> </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62DCF">
            <w:pPr>
              <w:pStyle w:val="14"/>
              <w:spacing w:beforeAutospacing="0" w:afterAutospacing="0"/>
              <w:jc w:val="center"/>
              <w:rPr>
                <w:color w:val="auto"/>
                <w:highlight w:val="none"/>
              </w:rPr>
            </w:pPr>
            <w:r>
              <w:rPr>
                <w:color w:val="auto"/>
                <w:highlight w:val="none"/>
              </w:rPr>
              <w:t> </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74011">
            <w:pPr>
              <w:pStyle w:val="14"/>
              <w:spacing w:beforeAutospacing="0" w:afterAutospacing="0"/>
              <w:jc w:val="center"/>
              <w:rPr>
                <w:color w:val="auto"/>
                <w:highlight w:val="none"/>
              </w:rPr>
            </w:pPr>
            <w:r>
              <w:rPr>
                <w:color w:val="auto"/>
                <w:highlight w:val="none"/>
              </w:rPr>
              <w:t> </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91310">
            <w:pPr>
              <w:pStyle w:val="14"/>
              <w:spacing w:beforeAutospacing="0" w:afterAutospacing="0"/>
              <w:jc w:val="center"/>
              <w:rPr>
                <w:color w:val="auto"/>
                <w:highlight w:val="none"/>
              </w:rPr>
            </w:pPr>
            <w:r>
              <w:rPr>
                <w:color w:val="auto"/>
                <w:highlight w:val="none"/>
              </w:rPr>
              <w:t> </w:t>
            </w:r>
          </w:p>
        </w:tc>
      </w:tr>
      <w:tr w14:paraId="1649B01C">
        <w:tblPrEx>
          <w:tblCellMar>
            <w:top w:w="0" w:type="dxa"/>
            <w:left w:w="108" w:type="dxa"/>
            <w:bottom w:w="0" w:type="dxa"/>
            <w:right w:w="108" w:type="dxa"/>
          </w:tblCellMar>
        </w:tblPrEx>
        <w:trPr>
          <w:trHeight w:val="640" w:hRule="atLeast"/>
          <w:tblCellSpacing w:w="0" w:type="dxa"/>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12B5E">
            <w:pPr>
              <w:pStyle w:val="14"/>
              <w:spacing w:beforeAutospacing="0" w:afterAutospacing="0"/>
              <w:jc w:val="center"/>
              <w:rPr>
                <w:color w:val="auto"/>
                <w:highlight w:val="none"/>
              </w:rPr>
            </w:pPr>
            <w:r>
              <w:rPr>
                <w:color w:val="auto"/>
                <w:highlight w:val="none"/>
              </w:rPr>
              <w:t> </w:t>
            </w:r>
          </w:p>
        </w:tc>
        <w:tc>
          <w:tcPr>
            <w:tcW w:w="2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F250D">
            <w:pPr>
              <w:pStyle w:val="14"/>
              <w:spacing w:beforeAutospacing="0" w:afterAutospacing="0"/>
              <w:jc w:val="center"/>
              <w:rPr>
                <w:color w:val="auto"/>
                <w:highlight w:val="none"/>
              </w:rPr>
            </w:pPr>
            <w:r>
              <w:rPr>
                <w:color w:val="auto"/>
                <w:highlight w:val="none"/>
              </w:rPr>
              <w:t> </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60118">
            <w:pPr>
              <w:pStyle w:val="14"/>
              <w:spacing w:beforeAutospacing="0" w:afterAutospacing="0"/>
              <w:jc w:val="center"/>
              <w:rPr>
                <w:color w:val="auto"/>
                <w:highlight w:val="none"/>
              </w:rPr>
            </w:pPr>
            <w:r>
              <w:rPr>
                <w:color w:val="auto"/>
                <w:highlight w:val="none"/>
              </w:rPr>
              <w:t> </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10CD6">
            <w:pPr>
              <w:pStyle w:val="14"/>
              <w:spacing w:beforeAutospacing="0" w:afterAutospacing="0"/>
              <w:jc w:val="center"/>
              <w:rPr>
                <w:color w:val="auto"/>
                <w:highlight w:val="none"/>
              </w:rPr>
            </w:pPr>
            <w:r>
              <w:rPr>
                <w:color w:val="auto"/>
                <w:highlight w:val="none"/>
              </w:rPr>
              <w:t> </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7CDC2">
            <w:pPr>
              <w:pStyle w:val="14"/>
              <w:spacing w:beforeAutospacing="0" w:afterAutospacing="0"/>
              <w:jc w:val="center"/>
              <w:rPr>
                <w:color w:val="auto"/>
                <w:highlight w:val="none"/>
              </w:rPr>
            </w:pPr>
            <w:r>
              <w:rPr>
                <w:color w:val="auto"/>
                <w:highlight w:val="none"/>
              </w:rPr>
              <w:t> </w:t>
            </w:r>
          </w:p>
        </w:tc>
      </w:tr>
      <w:tr w14:paraId="4C46CBE9">
        <w:tblPrEx>
          <w:tblCellMar>
            <w:top w:w="0" w:type="dxa"/>
            <w:left w:w="108" w:type="dxa"/>
            <w:bottom w:w="0" w:type="dxa"/>
            <w:right w:w="108" w:type="dxa"/>
          </w:tblCellMar>
        </w:tblPrEx>
        <w:trPr>
          <w:trHeight w:val="640" w:hRule="atLeast"/>
          <w:tblCellSpacing w:w="0" w:type="dxa"/>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C2130">
            <w:pPr>
              <w:pStyle w:val="14"/>
              <w:spacing w:beforeAutospacing="0" w:afterAutospacing="0"/>
              <w:jc w:val="center"/>
              <w:rPr>
                <w:color w:val="auto"/>
                <w:highlight w:val="none"/>
              </w:rPr>
            </w:pPr>
            <w:r>
              <w:rPr>
                <w:color w:val="auto"/>
                <w:highlight w:val="none"/>
              </w:rPr>
              <w:t> </w:t>
            </w:r>
          </w:p>
        </w:tc>
        <w:tc>
          <w:tcPr>
            <w:tcW w:w="2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52399">
            <w:pPr>
              <w:pStyle w:val="14"/>
              <w:spacing w:beforeAutospacing="0" w:afterAutospacing="0"/>
              <w:jc w:val="center"/>
              <w:rPr>
                <w:color w:val="auto"/>
                <w:highlight w:val="none"/>
              </w:rPr>
            </w:pPr>
            <w:r>
              <w:rPr>
                <w:color w:val="auto"/>
                <w:highlight w:val="none"/>
              </w:rPr>
              <w:t> </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BE612">
            <w:pPr>
              <w:pStyle w:val="14"/>
              <w:spacing w:beforeAutospacing="0" w:afterAutospacing="0"/>
              <w:jc w:val="center"/>
              <w:rPr>
                <w:color w:val="auto"/>
                <w:highlight w:val="none"/>
              </w:rPr>
            </w:pPr>
            <w:r>
              <w:rPr>
                <w:color w:val="auto"/>
                <w:highlight w:val="none"/>
              </w:rPr>
              <w:t> </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2BB81">
            <w:pPr>
              <w:pStyle w:val="14"/>
              <w:spacing w:beforeAutospacing="0" w:afterAutospacing="0"/>
              <w:jc w:val="center"/>
              <w:rPr>
                <w:color w:val="auto"/>
                <w:highlight w:val="none"/>
              </w:rPr>
            </w:pPr>
            <w:r>
              <w:rPr>
                <w:color w:val="auto"/>
                <w:highlight w:val="none"/>
              </w:rPr>
              <w:t> </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72123">
            <w:pPr>
              <w:pStyle w:val="14"/>
              <w:spacing w:beforeAutospacing="0" w:afterAutospacing="0"/>
              <w:jc w:val="center"/>
              <w:rPr>
                <w:color w:val="auto"/>
                <w:highlight w:val="none"/>
              </w:rPr>
            </w:pPr>
            <w:r>
              <w:rPr>
                <w:color w:val="auto"/>
                <w:highlight w:val="none"/>
              </w:rPr>
              <w:t> </w:t>
            </w:r>
          </w:p>
        </w:tc>
      </w:tr>
      <w:tr w14:paraId="1AD28F79">
        <w:tblPrEx>
          <w:tblCellMar>
            <w:top w:w="0" w:type="dxa"/>
            <w:left w:w="108" w:type="dxa"/>
            <w:bottom w:w="0" w:type="dxa"/>
            <w:right w:w="108" w:type="dxa"/>
          </w:tblCellMar>
        </w:tblPrEx>
        <w:trPr>
          <w:trHeight w:val="640" w:hRule="atLeast"/>
          <w:tblCellSpacing w:w="0" w:type="dxa"/>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F8B3F">
            <w:pPr>
              <w:pStyle w:val="14"/>
              <w:spacing w:beforeAutospacing="0" w:afterAutospacing="0"/>
              <w:jc w:val="center"/>
              <w:rPr>
                <w:color w:val="auto"/>
                <w:highlight w:val="none"/>
              </w:rPr>
            </w:pPr>
            <w:r>
              <w:rPr>
                <w:color w:val="auto"/>
                <w:highlight w:val="none"/>
              </w:rPr>
              <w:t> </w:t>
            </w:r>
          </w:p>
        </w:tc>
        <w:tc>
          <w:tcPr>
            <w:tcW w:w="2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CDC77">
            <w:pPr>
              <w:pStyle w:val="14"/>
              <w:spacing w:beforeAutospacing="0" w:afterAutospacing="0"/>
              <w:jc w:val="center"/>
              <w:rPr>
                <w:color w:val="auto"/>
                <w:highlight w:val="none"/>
              </w:rPr>
            </w:pPr>
            <w:r>
              <w:rPr>
                <w:color w:val="auto"/>
                <w:highlight w:val="none"/>
              </w:rPr>
              <w:t> </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05B54">
            <w:pPr>
              <w:pStyle w:val="14"/>
              <w:spacing w:beforeAutospacing="0" w:afterAutospacing="0"/>
              <w:jc w:val="center"/>
              <w:rPr>
                <w:color w:val="auto"/>
                <w:highlight w:val="none"/>
              </w:rPr>
            </w:pPr>
            <w:r>
              <w:rPr>
                <w:color w:val="auto"/>
                <w:highlight w:val="none"/>
              </w:rPr>
              <w:t> </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4CE64">
            <w:pPr>
              <w:pStyle w:val="14"/>
              <w:spacing w:beforeAutospacing="0" w:afterAutospacing="0"/>
              <w:jc w:val="center"/>
              <w:rPr>
                <w:color w:val="auto"/>
                <w:highlight w:val="none"/>
              </w:rPr>
            </w:pPr>
            <w:r>
              <w:rPr>
                <w:color w:val="auto"/>
                <w:highlight w:val="none"/>
              </w:rPr>
              <w:t> </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C395F">
            <w:pPr>
              <w:pStyle w:val="14"/>
              <w:spacing w:beforeAutospacing="0" w:afterAutospacing="0"/>
              <w:jc w:val="center"/>
              <w:rPr>
                <w:color w:val="auto"/>
                <w:highlight w:val="none"/>
              </w:rPr>
            </w:pPr>
            <w:r>
              <w:rPr>
                <w:color w:val="auto"/>
                <w:highlight w:val="none"/>
              </w:rPr>
              <w:t> </w:t>
            </w:r>
          </w:p>
        </w:tc>
      </w:tr>
      <w:tr w14:paraId="3A13CA4F">
        <w:tblPrEx>
          <w:tblCellMar>
            <w:top w:w="0" w:type="dxa"/>
            <w:left w:w="108" w:type="dxa"/>
            <w:bottom w:w="0" w:type="dxa"/>
            <w:right w:w="108" w:type="dxa"/>
          </w:tblCellMar>
        </w:tblPrEx>
        <w:trPr>
          <w:trHeight w:val="640" w:hRule="atLeast"/>
          <w:tblCellSpacing w:w="0" w:type="dxa"/>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95AB7">
            <w:pPr>
              <w:pStyle w:val="14"/>
              <w:spacing w:beforeAutospacing="0" w:afterAutospacing="0"/>
              <w:jc w:val="center"/>
              <w:rPr>
                <w:color w:val="auto"/>
                <w:highlight w:val="none"/>
              </w:rPr>
            </w:pPr>
            <w:r>
              <w:rPr>
                <w:color w:val="auto"/>
                <w:highlight w:val="none"/>
              </w:rPr>
              <w:t> </w:t>
            </w:r>
          </w:p>
        </w:tc>
        <w:tc>
          <w:tcPr>
            <w:tcW w:w="24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CCEF1">
            <w:pPr>
              <w:pStyle w:val="14"/>
              <w:spacing w:beforeAutospacing="0" w:afterAutospacing="0"/>
              <w:jc w:val="center"/>
              <w:rPr>
                <w:color w:val="auto"/>
                <w:highlight w:val="none"/>
              </w:rPr>
            </w:pPr>
            <w:r>
              <w:rPr>
                <w:color w:val="auto"/>
                <w:highlight w:val="none"/>
              </w:rPr>
              <w:t> </w:t>
            </w:r>
          </w:p>
        </w:tc>
        <w:tc>
          <w:tcPr>
            <w:tcW w:w="2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25450">
            <w:pPr>
              <w:pStyle w:val="14"/>
              <w:spacing w:beforeAutospacing="0" w:afterAutospacing="0"/>
              <w:jc w:val="center"/>
              <w:rPr>
                <w:color w:val="auto"/>
                <w:highlight w:val="none"/>
              </w:rPr>
            </w:pPr>
            <w:r>
              <w:rPr>
                <w:color w:val="auto"/>
                <w:highlight w:val="none"/>
              </w:rPr>
              <w:t> </w:t>
            </w:r>
          </w:p>
        </w:tc>
        <w:tc>
          <w:tcPr>
            <w:tcW w:w="12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159AF">
            <w:pPr>
              <w:pStyle w:val="14"/>
              <w:spacing w:beforeAutospacing="0" w:afterAutospacing="0"/>
              <w:jc w:val="center"/>
              <w:rPr>
                <w:color w:val="auto"/>
                <w:highlight w:val="none"/>
              </w:rPr>
            </w:pPr>
            <w:r>
              <w:rPr>
                <w:color w:val="auto"/>
                <w:highlight w:val="none"/>
              </w:rPr>
              <w:t> </w:t>
            </w:r>
          </w:p>
        </w:tc>
        <w:tc>
          <w:tcPr>
            <w:tcW w:w="15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CB8C6">
            <w:pPr>
              <w:pStyle w:val="14"/>
              <w:spacing w:beforeAutospacing="0" w:afterAutospacing="0"/>
              <w:jc w:val="center"/>
              <w:rPr>
                <w:color w:val="auto"/>
                <w:highlight w:val="none"/>
              </w:rPr>
            </w:pPr>
            <w:r>
              <w:rPr>
                <w:color w:val="auto"/>
                <w:highlight w:val="none"/>
              </w:rPr>
              <w:t> </w:t>
            </w:r>
          </w:p>
        </w:tc>
      </w:tr>
    </w:tbl>
    <w:p w14:paraId="0515F675">
      <w:pPr>
        <w:pStyle w:val="14"/>
        <w:spacing w:beforeAutospacing="0" w:afterAutospacing="0"/>
        <w:jc w:val="both"/>
        <w:rPr>
          <w:color w:val="auto"/>
          <w:highlight w:val="none"/>
        </w:rPr>
      </w:pPr>
      <w:r>
        <w:rPr>
          <w:rFonts w:hint="eastAsia" w:ascii="宋体" w:hAnsi="宋体" w:eastAsia="宋体" w:cs="宋体"/>
          <w:color w:val="auto"/>
          <w:highlight w:val="none"/>
        </w:rPr>
        <w:t>注： 行数不够，可自行添加。</w:t>
      </w:r>
    </w:p>
    <w:p w14:paraId="4F9477BB">
      <w:pPr>
        <w:pStyle w:val="14"/>
        <w:spacing w:beforeAutospacing="0" w:afterAutospacing="0" w:line="480" w:lineRule="auto"/>
        <w:jc w:val="both"/>
        <w:rPr>
          <w:color w:val="auto"/>
          <w:highlight w:val="none"/>
        </w:rPr>
      </w:pPr>
      <w:r>
        <w:rPr>
          <w:color w:val="auto"/>
          <w:highlight w:val="none"/>
        </w:rPr>
        <w:t> </w:t>
      </w:r>
    </w:p>
    <w:p w14:paraId="771A2ABD">
      <w:pPr>
        <w:pStyle w:val="14"/>
        <w:spacing w:beforeAutospacing="0" w:afterAutospacing="0" w:line="480" w:lineRule="auto"/>
        <w:jc w:val="both"/>
        <w:rPr>
          <w:color w:val="auto"/>
          <w:highlight w:val="none"/>
        </w:rPr>
      </w:pPr>
      <w:r>
        <w:rPr>
          <w:color w:val="auto"/>
          <w:highlight w:val="none"/>
        </w:rPr>
        <w:t> </w:t>
      </w:r>
    </w:p>
    <w:p w14:paraId="6564921F">
      <w:pPr>
        <w:pStyle w:val="14"/>
        <w:spacing w:beforeAutospacing="0" w:afterAutospacing="0"/>
        <w:jc w:val="center"/>
        <w:rPr>
          <w:color w:val="auto"/>
          <w:highlight w:val="none"/>
        </w:rPr>
      </w:pPr>
      <w:bookmarkStart w:id="189" w:name="_Hlt26609389"/>
      <w:bookmarkStart w:id="190" w:name="_Hlt26671374"/>
      <w:bookmarkStart w:id="191" w:name="_格式2__法定代表人授权书"/>
      <w:bookmarkStart w:id="192" w:name="_Toc462564146"/>
      <w:bookmarkStart w:id="193" w:name="_Hlt26955066"/>
      <w:r>
        <w:rPr>
          <w:color w:val="auto"/>
          <w:highlight w:val="none"/>
        </w:rPr>
        <w:t> </w:t>
      </w:r>
    </w:p>
    <w:p w14:paraId="43E033E8">
      <w:pPr>
        <w:pStyle w:val="14"/>
        <w:spacing w:beforeAutospacing="0" w:afterAutospacing="0"/>
        <w:jc w:val="both"/>
        <w:rPr>
          <w:color w:val="auto"/>
          <w:highlight w:val="none"/>
        </w:rPr>
      </w:pPr>
      <w:r>
        <w:rPr>
          <w:color w:val="auto"/>
          <w:highlight w:val="none"/>
        </w:rPr>
        <w:t> </w:t>
      </w:r>
    </w:p>
    <w:p w14:paraId="34DD36AA">
      <w:pPr>
        <w:pStyle w:val="14"/>
        <w:spacing w:beforeAutospacing="0" w:afterAutospacing="0"/>
        <w:jc w:val="both"/>
        <w:rPr>
          <w:color w:val="auto"/>
          <w:highlight w:val="none"/>
        </w:rPr>
      </w:pPr>
      <w:r>
        <w:rPr>
          <w:color w:val="auto"/>
          <w:highlight w:val="none"/>
        </w:rPr>
        <w:t> </w:t>
      </w:r>
    </w:p>
    <w:p w14:paraId="0B59FED3">
      <w:pPr>
        <w:pStyle w:val="14"/>
        <w:spacing w:beforeAutospacing="0" w:afterAutospacing="0"/>
        <w:jc w:val="both"/>
        <w:rPr>
          <w:color w:val="auto"/>
          <w:highlight w:val="none"/>
        </w:rPr>
      </w:pPr>
    </w:p>
    <w:p w14:paraId="674A53C6">
      <w:pPr>
        <w:pStyle w:val="14"/>
        <w:spacing w:beforeAutospacing="0" w:afterAutospacing="0"/>
        <w:jc w:val="both"/>
        <w:rPr>
          <w:color w:val="auto"/>
          <w:highlight w:val="none"/>
        </w:rPr>
      </w:pPr>
    </w:p>
    <w:p w14:paraId="7646B14A">
      <w:pPr>
        <w:pStyle w:val="14"/>
        <w:spacing w:beforeAutospacing="0" w:afterAutospacing="0"/>
        <w:jc w:val="both"/>
        <w:rPr>
          <w:color w:val="auto"/>
          <w:highlight w:val="none"/>
        </w:rPr>
      </w:pPr>
    </w:p>
    <w:p w14:paraId="18437834">
      <w:pPr>
        <w:pStyle w:val="14"/>
        <w:spacing w:beforeAutospacing="0" w:afterAutospacing="0"/>
        <w:jc w:val="both"/>
        <w:rPr>
          <w:color w:val="auto"/>
          <w:highlight w:val="none"/>
        </w:rPr>
      </w:pPr>
    </w:p>
    <w:p w14:paraId="6AC5CF75">
      <w:pPr>
        <w:pStyle w:val="14"/>
        <w:spacing w:beforeAutospacing="0" w:afterAutospacing="0"/>
        <w:jc w:val="both"/>
        <w:rPr>
          <w:color w:val="auto"/>
          <w:highlight w:val="none"/>
        </w:rPr>
      </w:pPr>
    </w:p>
    <w:p w14:paraId="4402A329">
      <w:pPr>
        <w:pStyle w:val="14"/>
        <w:spacing w:beforeAutospacing="0" w:afterAutospacing="0"/>
        <w:jc w:val="both"/>
        <w:rPr>
          <w:color w:val="auto"/>
          <w:highlight w:val="none"/>
        </w:rPr>
      </w:pPr>
    </w:p>
    <w:p w14:paraId="433415F5">
      <w:pPr>
        <w:pStyle w:val="14"/>
        <w:spacing w:beforeAutospacing="0" w:afterAutospacing="0"/>
        <w:jc w:val="both"/>
        <w:rPr>
          <w:color w:val="auto"/>
          <w:highlight w:val="none"/>
        </w:rPr>
      </w:pPr>
    </w:p>
    <w:p w14:paraId="664A23CF">
      <w:pPr>
        <w:pStyle w:val="14"/>
        <w:spacing w:beforeAutospacing="0" w:afterAutospacing="0"/>
        <w:jc w:val="both"/>
        <w:rPr>
          <w:color w:val="auto"/>
          <w:highlight w:val="none"/>
        </w:rPr>
      </w:pPr>
    </w:p>
    <w:p w14:paraId="577CDDA2">
      <w:pPr>
        <w:pStyle w:val="14"/>
        <w:spacing w:beforeAutospacing="0" w:afterAutospacing="0"/>
        <w:jc w:val="both"/>
        <w:rPr>
          <w:color w:val="auto"/>
          <w:highlight w:val="none"/>
        </w:rPr>
      </w:pPr>
    </w:p>
    <w:p w14:paraId="2C30742F">
      <w:pPr>
        <w:pStyle w:val="14"/>
        <w:spacing w:beforeAutospacing="0" w:afterAutospacing="0"/>
        <w:jc w:val="both"/>
        <w:rPr>
          <w:color w:val="auto"/>
          <w:highlight w:val="none"/>
        </w:rPr>
      </w:pPr>
    </w:p>
    <w:p w14:paraId="3BA22CC3">
      <w:pPr>
        <w:pStyle w:val="14"/>
        <w:spacing w:beforeAutospacing="0" w:afterAutospacing="0"/>
        <w:jc w:val="both"/>
        <w:rPr>
          <w:color w:val="auto"/>
          <w:highlight w:val="none"/>
        </w:rPr>
      </w:pPr>
    </w:p>
    <w:p w14:paraId="284FF7FD">
      <w:pPr>
        <w:pStyle w:val="14"/>
        <w:spacing w:beforeAutospacing="0" w:afterAutospacing="0"/>
        <w:jc w:val="both"/>
        <w:rPr>
          <w:color w:val="auto"/>
          <w:highlight w:val="none"/>
        </w:rPr>
      </w:pPr>
    </w:p>
    <w:p w14:paraId="72F84DDB">
      <w:pPr>
        <w:pStyle w:val="14"/>
        <w:spacing w:beforeAutospacing="0" w:afterAutospacing="0"/>
        <w:jc w:val="both"/>
        <w:rPr>
          <w:color w:val="auto"/>
          <w:highlight w:val="none"/>
        </w:rPr>
      </w:pPr>
    </w:p>
    <w:p w14:paraId="11035151">
      <w:pPr>
        <w:pStyle w:val="14"/>
        <w:spacing w:beforeAutospacing="0" w:afterAutospacing="0"/>
        <w:ind w:firstLine="480"/>
        <w:jc w:val="both"/>
        <w:rPr>
          <w:color w:val="auto"/>
          <w:highlight w:val="none"/>
        </w:rPr>
      </w:pPr>
    </w:p>
    <w:p w14:paraId="7BC5200A">
      <w:pPr>
        <w:pStyle w:val="14"/>
        <w:spacing w:beforeAutospacing="0" w:afterAutospacing="0"/>
        <w:ind w:firstLine="480"/>
        <w:jc w:val="both"/>
        <w:rPr>
          <w:rFonts w:hint="eastAsia" w:ascii="宋体" w:hAnsi="宋体" w:eastAsia="宋体" w:cs="宋体"/>
          <w:color w:val="auto"/>
          <w:highlight w:val="none"/>
          <w:lang w:val="en-US" w:eastAsia="zh-CN"/>
        </w:rPr>
      </w:pPr>
      <w:r>
        <w:rPr>
          <w:rFonts w:hint="eastAsia" w:ascii="黑体" w:hAnsi="宋体" w:eastAsia="黑体" w:cs="黑体"/>
          <w:b/>
          <w:i/>
          <w:color w:val="auto"/>
          <w:sz w:val="32"/>
          <w:szCs w:val="32"/>
          <w:highlight w:val="none"/>
          <w:u w:val="single"/>
        </w:rPr>
        <w:t>十</w:t>
      </w:r>
      <w:r>
        <w:rPr>
          <w:rFonts w:hint="eastAsia" w:ascii="黑体" w:hAnsi="宋体" w:eastAsia="黑体" w:cs="黑体"/>
          <w:b/>
          <w:i/>
          <w:color w:val="auto"/>
          <w:sz w:val="32"/>
          <w:szCs w:val="32"/>
          <w:highlight w:val="none"/>
          <w:u w:val="single"/>
          <w:lang w:val="en-US" w:eastAsia="zh-CN"/>
        </w:rPr>
        <w:t>二</w:t>
      </w:r>
      <w:r>
        <w:rPr>
          <w:rFonts w:hint="eastAsia" w:ascii="黑体" w:hAnsi="宋体" w:eastAsia="黑体" w:cs="黑体"/>
          <w:b/>
          <w:i/>
          <w:color w:val="auto"/>
          <w:sz w:val="32"/>
          <w:szCs w:val="32"/>
          <w:highlight w:val="none"/>
          <w:u w:val="single"/>
        </w:rPr>
        <w:t>、开标一览表</w:t>
      </w:r>
    </w:p>
    <w:p w14:paraId="78EE76C0">
      <w:pPr>
        <w:pStyle w:val="14"/>
        <w:spacing w:beforeAutospacing="0" w:afterAutospacing="0"/>
        <w:ind w:firstLine="480"/>
        <w:jc w:val="both"/>
        <w:rPr>
          <w:color w:val="auto"/>
          <w:highlight w:val="none"/>
        </w:rPr>
      </w:pPr>
      <w:r>
        <w:rPr>
          <w:rFonts w:hint="eastAsia" w:ascii="宋体" w:hAnsi="宋体" w:eastAsia="宋体" w:cs="宋体"/>
          <w:color w:val="auto"/>
          <w:highlight w:val="none"/>
        </w:rPr>
        <w:t>投标人全称（加盖</w:t>
      </w:r>
      <w:r>
        <w:rPr>
          <w:rFonts w:hint="eastAsia" w:ascii="宋体" w:hAnsi="宋体" w:eastAsia="宋体" w:cs="宋体"/>
          <w:color w:val="auto"/>
          <w:highlight w:val="none"/>
          <w:lang w:eastAsia="zh-CN"/>
        </w:rPr>
        <w:t>供应商</w:t>
      </w:r>
      <w:r>
        <w:rPr>
          <w:rFonts w:hint="eastAsia" w:ascii="宋体" w:hAnsi="宋体" w:eastAsia="宋体" w:cs="宋体"/>
          <w:color w:val="auto"/>
          <w:highlight w:val="none"/>
        </w:rPr>
        <w:t>签章）：</w:t>
      </w:r>
    </w:p>
    <w:p w14:paraId="14921CCF">
      <w:pPr>
        <w:pStyle w:val="14"/>
        <w:spacing w:beforeAutospacing="0" w:afterAutospacing="0"/>
        <w:ind w:firstLine="480"/>
        <w:jc w:val="both"/>
        <w:rPr>
          <w:color w:val="auto"/>
          <w:highlight w:val="none"/>
        </w:rPr>
      </w:pPr>
      <w:r>
        <w:rPr>
          <w:rFonts w:hint="eastAsia" w:ascii="宋体" w:hAnsi="宋体" w:eastAsia="宋体" w:cs="宋体"/>
          <w:color w:val="auto"/>
          <w:highlight w:val="none"/>
        </w:rPr>
        <w:t>项目名称：</w:t>
      </w:r>
    </w:p>
    <w:p w14:paraId="2E8C91DD">
      <w:pPr>
        <w:pStyle w:val="14"/>
        <w:spacing w:beforeAutospacing="0" w:afterAutospacing="0"/>
        <w:ind w:firstLine="480"/>
        <w:jc w:val="both"/>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项目</w:t>
      </w:r>
      <w:r>
        <w:rPr>
          <w:rFonts w:hint="eastAsia" w:ascii="宋体" w:hAnsi="宋体" w:eastAsia="宋体" w:cs="宋体"/>
          <w:color w:val="auto"/>
          <w:highlight w:val="none"/>
        </w:rPr>
        <w:t>编号：</w:t>
      </w:r>
    </w:p>
    <w:p w14:paraId="03EB1899">
      <w:pPr>
        <w:pStyle w:val="14"/>
        <w:spacing w:beforeAutospacing="0" w:afterAutospacing="0"/>
        <w:ind w:firstLine="480"/>
        <w:jc w:val="both"/>
        <w:rPr>
          <w:color w:val="auto"/>
          <w:highlight w:val="none"/>
        </w:rPr>
      </w:pPr>
      <w:r>
        <w:rPr>
          <w:rFonts w:hint="eastAsia" w:ascii="宋体" w:hAnsi="宋体" w:eastAsia="宋体" w:cs="宋体"/>
          <w:color w:val="auto"/>
          <w:highlight w:val="none"/>
        </w:rPr>
        <w:t>分包号：</w:t>
      </w:r>
    </w:p>
    <w:tbl>
      <w:tblPr>
        <w:tblStyle w:val="15"/>
        <w:tblW w:w="8220" w:type="dxa"/>
        <w:tblCellSpacing w:w="0" w:type="dxa"/>
        <w:tblInd w:w="118" w:type="dxa"/>
        <w:tblLayout w:type="fixed"/>
        <w:tblCellMar>
          <w:top w:w="0" w:type="dxa"/>
          <w:left w:w="108" w:type="dxa"/>
          <w:bottom w:w="0" w:type="dxa"/>
          <w:right w:w="108" w:type="dxa"/>
        </w:tblCellMar>
      </w:tblPr>
      <w:tblGrid>
        <w:gridCol w:w="8220"/>
      </w:tblGrid>
      <w:tr w14:paraId="327A863B">
        <w:tblPrEx>
          <w:tblCellMar>
            <w:top w:w="0" w:type="dxa"/>
            <w:left w:w="108" w:type="dxa"/>
            <w:bottom w:w="0" w:type="dxa"/>
            <w:right w:w="108" w:type="dxa"/>
          </w:tblCellMar>
        </w:tblPrEx>
        <w:trPr>
          <w:trHeight w:val="612" w:hRule="atLeast"/>
          <w:tblCellSpacing w:w="0" w:type="dxa"/>
        </w:trPr>
        <w:tc>
          <w:tcPr>
            <w:tcW w:w="8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747F9">
            <w:pPr>
              <w:rPr>
                <w:rFonts w:hint="default" w:ascii="宋体" w:hAnsi="宋体" w:eastAsia="宋体" w:cs="宋体"/>
                <w:color w:val="auto"/>
                <w:highlight w:val="none"/>
                <w:lang w:val="en-US"/>
              </w:rPr>
            </w:pPr>
            <w:r>
              <w:rPr>
                <w:rFonts w:hint="eastAsia" w:ascii="宋体" w:hAnsi="宋体" w:cs="宋体"/>
                <w:b/>
                <w:bCs w:val="0"/>
                <w:color w:val="auto"/>
                <w:sz w:val="18"/>
                <w:szCs w:val="18"/>
                <w:highlight w:val="none"/>
                <w:lang w:val="en-US" w:eastAsia="zh-CN" w:bidi="ar"/>
              </w:rPr>
              <w:t>商业险自主定价系数折扣率</w:t>
            </w:r>
          </w:p>
        </w:tc>
      </w:tr>
      <w:tr w14:paraId="0D2B211B">
        <w:tblPrEx>
          <w:tblCellMar>
            <w:top w:w="0" w:type="dxa"/>
            <w:left w:w="108" w:type="dxa"/>
            <w:bottom w:w="0" w:type="dxa"/>
            <w:right w:w="108" w:type="dxa"/>
          </w:tblCellMar>
        </w:tblPrEx>
        <w:trPr>
          <w:trHeight w:val="612" w:hRule="atLeast"/>
          <w:tblCellSpacing w:w="0" w:type="dxa"/>
        </w:trPr>
        <w:tc>
          <w:tcPr>
            <w:tcW w:w="8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2F9FB">
            <w:pPr>
              <w:pStyle w:val="14"/>
              <w:spacing w:beforeAutospacing="0" w:afterAutospacing="0" w:line="0" w:lineRule="atLeast"/>
              <w:rPr>
                <w:rFonts w:hint="default" w:ascii="宋体" w:hAnsi="宋体" w:eastAsia="宋体" w:cs="宋体"/>
                <w:color w:val="auto"/>
                <w:highlight w:val="none"/>
                <w:lang w:val="en-US" w:eastAsia="zh-CN"/>
              </w:rPr>
            </w:pPr>
            <w:r>
              <w:rPr>
                <w:rFonts w:hint="eastAsia" w:ascii="宋体" w:hAnsi="宋体" w:eastAsia="宋体" w:cs="宋体"/>
                <w:color w:val="auto"/>
                <w:highlight w:val="none"/>
              </w:rPr>
              <w:t>小写：</w:t>
            </w:r>
            <w:r>
              <w:rPr>
                <w:rFonts w:hint="eastAsia" w:ascii="宋体" w:hAnsi="宋体" w:eastAsia="宋体" w:cs="宋体"/>
                <w:color w:val="auto"/>
                <w:highlight w:val="none"/>
                <w:lang w:val="en-US" w:eastAsia="zh-CN"/>
              </w:rPr>
              <w:t xml:space="preserve">              %</w:t>
            </w:r>
          </w:p>
        </w:tc>
      </w:tr>
      <w:tr w14:paraId="2671CD1C">
        <w:tblPrEx>
          <w:tblCellMar>
            <w:top w:w="0" w:type="dxa"/>
            <w:left w:w="108" w:type="dxa"/>
            <w:bottom w:w="0" w:type="dxa"/>
            <w:right w:w="108" w:type="dxa"/>
          </w:tblCellMar>
        </w:tblPrEx>
        <w:trPr>
          <w:trHeight w:val="612" w:hRule="atLeast"/>
          <w:tblCellSpacing w:w="0" w:type="dxa"/>
        </w:trPr>
        <w:tc>
          <w:tcPr>
            <w:tcW w:w="8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EDE36">
            <w:pPr>
              <w:rPr>
                <w:rFonts w:hint="default" w:ascii="宋体" w:hAnsi="宋体" w:eastAsia="宋体" w:cs="宋体"/>
                <w:color w:val="auto"/>
                <w:highlight w:val="none"/>
                <w:lang w:val="en-US"/>
              </w:rPr>
            </w:pPr>
            <w:r>
              <w:rPr>
                <w:rFonts w:hint="eastAsia" w:ascii="宋体" w:hAnsi="宋体" w:cs="宋体"/>
                <w:b/>
                <w:bCs w:val="0"/>
                <w:color w:val="auto"/>
                <w:sz w:val="18"/>
                <w:szCs w:val="18"/>
                <w:highlight w:val="none"/>
                <w:lang w:val="en-US" w:eastAsia="zh-CN" w:bidi="ar"/>
              </w:rPr>
              <w:t>承运人责任险保费</w:t>
            </w:r>
          </w:p>
        </w:tc>
      </w:tr>
      <w:tr w14:paraId="01822269">
        <w:tblPrEx>
          <w:tblCellMar>
            <w:top w:w="0" w:type="dxa"/>
            <w:left w:w="108" w:type="dxa"/>
            <w:bottom w:w="0" w:type="dxa"/>
            <w:right w:w="108" w:type="dxa"/>
          </w:tblCellMar>
        </w:tblPrEx>
        <w:trPr>
          <w:trHeight w:val="612" w:hRule="atLeast"/>
          <w:tblCellSpacing w:w="0" w:type="dxa"/>
        </w:trPr>
        <w:tc>
          <w:tcPr>
            <w:tcW w:w="8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53A1A">
            <w:pPr>
              <w:pStyle w:val="14"/>
              <w:spacing w:beforeAutospacing="0" w:afterAutospacing="0" w:line="0" w:lineRule="atLeast"/>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xml:space="preserve">小写：    元/人                 大写：         元/人 </w:t>
            </w:r>
          </w:p>
        </w:tc>
      </w:tr>
      <w:tr w14:paraId="10D414B5">
        <w:tblPrEx>
          <w:tblCellMar>
            <w:top w:w="0" w:type="dxa"/>
            <w:left w:w="108" w:type="dxa"/>
            <w:bottom w:w="0" w:type="dxa"/>
            <w:right w:w="108" w:type="dxa"/>
          </w:tblCellMar>
        </w:tblPrEx>
        <w:trPr>
          <w:trHeight w:val="612" w:hRule="atLeast"/>
          <w:tblCellSpacing w:w="0" w:type="dxa"/>
        </w:trPr>
        <w:tc>
          <w:tcPr>
            <w:tcW w:w="8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C8806">
            <w:pPr>
              <w:rPr>
                <w:rFonts w:hint="default" w:ascii="宋体" w:hAnsi="宋体" w:eastAsia="宋体" w:cs="宋体"/>
                <w:color w:val="auto"/>
                <w:highlight w:val="none"/>
                <w:lang w:val="en-US" w:eastAsia="zh-CN"/>
              </w:rPr>
            </w:pPr>
            <w:r>
              <w:rPr>
                <w:rFonts w:hint="eastAsia" w:ascii="宋体" w:hAnsi="宋体" w:cs="宋体"/>
                <w:b/>
                <w:bCs w:val="0"/>
                <w:color w:val="auto"/>
                <w:sz w:val="18"/>
                <w:szCs w:val="18"/>
                <w:highlight w:val="none"/>
                <w:lang w:val="en-US" w:eastAsia="zh-CN" w:bidi="ar"/>
              </w:rPr>
              <w:t>交强险</w:t>
            </w:r>
          </w:p>
        </w:tc>
      </w:tr>
      <w:tr w14:paraId="5357E3AD">
        <w:tblPrEx>
          <w:tblCellMar>
            <w:top w:w="0" w:type="dxa"/>
            <w:left w:w="108" w:type="dxa"/>
            <w:bottom w:w="0" w:type="dxa"/>
            <w:right w:w="108" w:type="dxa"/>
          </w:tblCellMar>
        </w:tblPrEx>
        <w:trPr>
          <w:trHeight w:val="612" w:hRule="atLeast"/>
          <w:tblCellSpacing w:w="0" w:type="dxa"/>
        </w:trPr>
        <w:tc>
          <w:tcPr>
            <w:tcW w:w="8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9C688">
            <w:pPr>
              <w:pStyle w:val="14"/>
              <w:spacing w:beforeAutospacing="0" w:afterAutospacing="0" w:line="0" w:lineRule="atLeast"/>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按当地银保监局规定执行，投标人无需报价。</w:t>
            </w:r>
          </w:p>
        </w:tc>
      </w:tr>
    </w:tbl>
    <w:p w14:paraId="04CF836E">
      <w:pPr>
        <w:pStyle w:val="14"/>
        <w:spacing w:beforeAutospacing="0" w:afterAutospacing="0"/>
        <w:jc w:val="both"/>
        <w:rPr>
          <w:color w:val="auto"/>
          <w:highlight w:val="none"/>
        </w:rPr>
      </w:pPr>
      <w:r>
        <w:rPr>
          <w:color w:val="auto"/>
          <w:highlight w:val="none"/>
        </w:rPr>
        <w:t> </w:t>
      </w:r>
    </w:p>
    <w:p w14:paraId="02D55E84">
      <w:pPr>
        <w:pStyle w:val="14"/>
        <w:spacing w:beforeAutospacing="0" w:afterAutospacing="0"/>
        <w:ind w:firstLine="480"/>
        <w:jc w:val="both"/>
        <w:rPr>
          <w:color w:val="auto"/>
          <w:highlight w:val="none"/>
        </w:rPr>
      </w:pPr>
      <w:r>
        <w:rPr>
          <w:rFonts w:hint="eastAsia" w:ascii="宋体" w:hAnsi="宋体" w:eastAsia="宋体" w:cs="宋体"/>
          <w:color w:val="auto"/>
          <w:highlight w:val="none"/>
        </w:rPr>
        <w:t xml:space="preserve">                                              日期：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29D1AF51">
      <w:pPr>
        <w:widowControl/>
        <w:spacing w:before="50" w:after="50"/>
        <w:jc w:val="center"/>
        <w:rPr>
          <w:color w:val="auto"/>
          <w:highlight w:val="none"/>
        </w:rPr>
      </w:pPr>
      <w:r>
        <w:rPr>
          <w:color w:val="auto"/>
          <w:highlight w:val="none"/>
        </w:rPr>
        <w:tab/>
      </w:r>
    </w:p>
    <w:p w14:paraId="0C1E89E2">
      <w:pPr>
        <w:widowControl/>
        <w:spacing w:before="50" w:after="50"/>
        <w:jc w:val="center"/>
        <w:rPr>
          <w:color w:val="auto"/>
          <w:highlight w:val="none"/>
        </w:rPr>
      </w:pPr>
    </w:p>
    <w:p w14:paraId="05D2FFD8">
      <w:pPr>
        <w:widowControl/>
        <w:spacing w:before="50" w:after="50"/>
        <w:jc w:val="center"/>
        <w:rPr>
          <w:color w:val="auto"/>
          <w:highlight w:val="none"/>
        </w:rPr>
      </w:pPr>
    </w:p>
    <w:p w14:paraId="1A2AFD28">
      <w:pPr>
        <w:widowControl/>
        <w:spacing w:before="50" w:after="50"/>
        <w:jc w:val="center"/>
        <w:rPr>
          <w:color w:val="auto"/>
          <w:highlight w:val="none"/>
        </w:rPr>
      </w:pPr>
    </w:p>
    <w:p w14:paraId="5E5337A9">
      <w:pPr>
        <w:pStyle w:val="17"/>
        <w:rPr>
          <w:color w:val="auto"/>
          <w:highlight w:val="none"/>
        </w:rPr>
      </w:pPr>
    </w:p>
    <w:p w14:paraId="2FF69F76">
      <w:pPr>
        <w:pStyle w:val="17"/>
        <w:rPr>
          <w:color w:val="auto"/>
          <w:highlight w:val="none"/>
        </w:rPr>
      </w:pPr>
    </w:p>
    <w:p w14:paraId="2743A357">
      <w:pPr>
        <w:pStyle w:val="17"/>
        <w:rPr>
          <w:color w:val="auto"/>
          <w:highlight w:val="none"/>
        </w:rPr>
      </w:pPr>
    </w:p>
    <w:p w14:paraId="5F92FAE4">
      <w:pPr>
        <w:widowControl/>
        <w:spacing w:before="50" w:after="50"/>
        <w:jc w:val="center"/>
        <w:rPr>
          <w:color w:val="auto"/>
          <w:highlight w:val="none"/>
        </w:rPr>
      </w:pPr>
    </w:p>
    <w:p w14:paraId="3EF5CA22">
      <w:pPr>
        <w:widowControl/>
        <w:spacing w:before="50" w:after="50"/>
        <w:jc w:val="center"/>
        <w:rPr>
          <w:color w:val="auto"/>
          <w:highlight w:val="none"/>
        </w:rPr>
      </w:pPr>
    </w:p>
    <w:p w14:paraId="46A4BD8F">
      <w:pPr>
        <w:widowControl/>
        <w:spacing w:before="50" w:after="50"/>
        <w:jc w:val="center"/>
        <w:rPr>
          <w:color w:val="auto"/>
          <w:highlight w:val="none"/>
        </w:rPr>
      </w:pPr>
    </w:p>
    <w:p w14:paraId="5C15E4BF">
      <w:pPr>
        <w:widowControl/>
        <w:spacing w:before="50" w:after="50"/>
        <w:jc w:val="center"/>
        <w:rPr>
          <w:color w:val="auto"/>
          <w:highlight w:val="none"/>
        </w:rPr>
      </w:pPr>
    </w:p>
    <w:p w14:paraId="175A567F">
      <w:pPr>
        <w:widowControl/>
        <w:spacing w:before="50" w:after="50"/>
        <w:jc w:val="center"/>
        <w:rPr>
          <w:color w:val="auto"/>
          <w:highlight w:val="none"/>
        </w:rPr>
      </w:pPr>
    </w:p>
    <w:p w14:paraId="36BF1E86">
      <w:pPr>
        <w:widowControl/>
        <w:spacing w:before="50" w:after="50"/>
        <w:jc w:val="center"/>
        <w:rPr>
          <w:color w:val="auto"/>
          <w:highlight w:val="none"/>
        </w:rPr>
      </w:pPr>
    </w:p>
    <w:p w14:paraId="14598FE1">
      <w:pPr>
        <w:widowControl/>
        <w:spacing w:before="50" w:after="50"/>
        <w:jc w:val="center"/>
        <w:rPr>
          <w:color w:val="auto"/>
          <w:highlight w:val="none"/>
        </w:rPr>
      </w:pPr>
    </w:p>
    <w:p w14:paraId="375376FA">
      <w:pPr>
        <w:widowControl/>
        <w:spacing w:before="50" w:after="50"/>
        <w:jc w:val="center"/>
        <w:rPr>
          <w:color w:val="auto"/>
          <w:highlight w:val="none"/>
        </w:rPr>
      </w:pPr>
    </w:p>
    <w:p w14:paraId="4686595A">
      <w:pPr>
        <w:widowControl/>
        <w:spacing w:before="50" w:after="50"/>
        <w:jc w:val="center"/>
        <w:rPr>
          <w:color w:val="auto"/>
          <w:highlight w:val="none"/>
        </w:rPr>
      </w:pPr>
    </w:p>
    <w:p w14:paraId="370DD9F5">
      <w:pPr>
        <w:widowControl/>
        <w:spacing w:before="50" w:after="50"/>
        <w:jc w:val="center"/>
        <w:rPr>
          <w:color w:val="auto"/>
          <w:highlight w:val="none"/>
        </w:rPr>
      </w:pPr>
    </w:p>
    <w:p w14:paraId="0CC2FE6D">
      <w:pPr>
        <w:widowControl/>
        <w:spacing w:before="50" w:after="50"/>
        <w:jc w:val="center"/>
        <w:rPr>
          <w:color w:val="auto"/>
          <w:highlight w:val="none"/>
        </w:rPr>
      </w:pPr>
    </w:p>
    <w:p w14:paraId="37D7646B">
      <w:pPr>
        <w:widowControl/>
        <w:spacing w:before="50" w:after="50"/>
        <w:jc w:val="center"/>
        <w:rPr>
          <w:color w:val="auto"/>
          <w:highlight w:val="none"/>
        </w:rPr>
      </w:pPr>
    </w:p>
    <w:p w14:paraId="7BAC4BE5">
      <w:pPr>
        <w:widowControl/>
        <w:numPr>
          <w:ilvl w:val="0"/>
          <w:numId w:val="1"/>
        </w:numPr>
        <w:spacing w:before="50" w:after="50"/>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投标保证金</w:t>
      </w:r>
    </w:p>
    <w:p w14:paraId="74EF0818">
      <w:pPr>
        <w:keepNext w:val="0"/>
        <w:keepLines w:val="0"/>
        <w:pageBreakBefore w:val="0"/>
        <w:widowControl/>
        <w:kinsoku/>
        <w:wordWrap/>
        <w:overflowPunct/>
        <w:topLinePunct w:val="0"/>
        <w:autoSpaceDE/>
        <w:autoSpaceDN/>
        <w:bidi w:val="0"/>
        <w:adjustRightInd/>
        <w:snapToGrid/>
        <w:ind w:firstLine="480" w:firstLineChars="200"/>
        <w:jc w:val="left"/>
        <w:textAlignment w:val="auto"/>
        <w:rPr>
          <w:color w:val="auto"/>
          <w:highlight w:val="none"/>
        </w:rPr>
      </w:pPr>
      <w:r>
        <w:rPr>
          <w:rFonts w:hint="eastAsia" w:ascii="宋体" w:hAnsi="宋体" w:eastAsia="宋体" w:cs="宋体"/>
          <w:i w:val="0"/>
          <w:iCs w:val="0"/>
          <w:caps w:val="0"/>
          <w:color w:val="3D3D3D"/>
          <w:spacing w:val="0"/>
          <w:kern w:val="0"/>
          <w:sz w:val="24"/>
          <w:szCs w:val="24"/>
          <w:shd w:val="clear" w:fill="FFFFFF"/>
          <w:lang w:val="en-US" w:eastAsia="zh-CN" w:bidi="ar"/>
          <w14:ligatures w14:val="none"/>
        </w:rPr>
        <w:t>投标保证金材料递交要求：①投标保证金缴纳证明材料、</w:t>
      </w:r>
      <w:r>
        <w:rPr>
          <w:rFonts w:hint="default" w:ascii="宋体" w:hAnsi="宋体" w:eastAsia="宋体" w:cs="宋体"/>
          <w:i w:val="0"/>
          <w:iCs w:val="0"/>
          <w:caps w:val="0"/>
          <w:color w:val="3D3D3D"/>
          <w:spacing w:val="0"/>
          <w:kern w:val="0"/>
          <w:sz w:val="24"/>
          <w:szCs w:val="24"/>
          <w:shd w:val="clear" w:fill="FFFFFF"/>
          <w:lang w:val="en-US" w:eastAsia="zh-CN" w:bidi="ar"/>
          <w14:ligatures w14:val="none"/>
        </w:rPr>
        <w:t>②</w:t>
      </w:r>
      <w:r>
        <w:rPr>
          <w:rFonts w:hint="eastAsia" w:ascii="宋体" w:hAnsi="宋体" w:eastAsia="宋体" w:cs="宋体"/>
          <w:i w:val="0"/>
          <w:iCs w:val="0"/>
          <w:caps w:val="0"/>
          <w:color w:val="3D3D3D"/>
          <w:spacing w:val="0"/>
          <w:kern w:val="0"/>
          <w:sz w:val="24"/>
          <w:szCs w:val="24"/>
          <w:shd w:val="clear" w:fill="FFFFFF"/>
          <w:lang w:val="en-US" w:eastAsia="zh-CN" w:bidi="ar"/>
          <w14:ligatures w14:val="none"/>
        </w:rPr>
        <w:t>企业开户许可证或企业银行基本存款账户开户基本信息，将以上①、</w:t>
      </w:r>
      <w:r>
        <w:rPr>
          <w:rFonts w:hint="default" w:ascii="宋体" w:hAnsi="宋体" w:eastAsia="宋体" w:cs="宋体"/>
          <w:i w:val="0"/>
          <w:iCs w:val="0"/>
          <w:caps w:val="0"/>
          <w:color w:val="3D3D3D"/>
          <w:spacing w:val="0"/>
          <w:kern w:val="0"/>
          <w:sz w:val="24"/>
          <w:szCs w:val="24"/>
          <w:shd w:val="clear" w:fill="FFFFFF"/>
          <w:lang w:val="en-US" w:eastAsia="zh-CN" w:bidi="ar"/>
          <w14:ligatures w14:val="none"/>
        </w:rPr>
        <w:t>②</w:t>
      </w:r>
      <w:r>
        <w:rPr>
          <w:rFonts w:hint="eastAsia" w:ascii="宋体" w:hAnsi="宋体" w:eastAsia="宋体" w:cs="宋体"/>
          <w:i w:val="0"/>
          <w:iCs w:val="0"/>
          <w:caps w:val="0"/>
          <w:color w:val="3D3D3D"/>
          <w:spacing w:val="0"/>
          <w:kern w:val="0"/>
          <w:sz w:val="24"/>
          <w:szCs w:val="24"/>
          <w:shd w:val="clear" w:fill="FFFFFF"/>
          <w:lang w:val="en-US" w:eastAsia="zh-CN" w:bidi="ar"/>
          <w14:ligatures w14:val="none"/>
        </w:rPr>
        <w:t>两项资料加盖投标人单位公章的原件彩色扫描件放于投标文件中一起递交。</w:t>
      </w:r>
    </w:p>
    <w:p w14:paraId="04B573BD">
      <w:pPr>
        <w:widowControl/>
        <w:spacing w:before="50" w:after="50"/>
        <w:jc w:val="center"/>
        <w:rPr>
          <w:color w:val="auto"/>
          <w:highlight w:val="none"/>
        </w:rPr>
      </w:pPr>
    </w:p>
    <w:p w14:paraId="7004870A">
      <w:pPr>
        <w:widowControl/>
        <w:spacing w:before="50" w:after="50"/>
        <w:jc w:val="center"/>
        <w:rPr>
          <w:rFonts w:ascii="宋体" w:hAnsi="宋体" w:eastAsia="宋体" w:cs="宋体"/>
          <w:b/>
          <w:bCs/>
          <w:color w:val="auto"/>
          <w:sz w:val="24"/>
          <w:highlight w:val="none"/>
        </w:rPr>
      </w:pPr>
      <w:r>
        <w:rPr>
          <w:rFonts w:hint="eastAsia" w:ascii="宋体" w:hAnsi="宋体" w:eastAsia="宋体" w:cs="宋体"/>
          <w:b/>
          <w:bCs/>
          <w:color w:val="auto"/>
          <w:sz w:val="32"/>
          <w:szCs w:val="32"/>
          <w:highlight w:val="none"/>
        </w:rPr>
        <w:t>十</w:t>
      </w:r>
      <w:r>
        <w:rPr>
          <w:rFonts w:hint="eastAsia" w:ascii="宋体" w:hAnsi="宋体" w:eastAsia="宋体" w:cs="宋体"/>
          <w:b/>
          <w:bCs/>
          <w:color w:val="auto"/>
          <w:sz w:val="32"/>
          <w:szCs w:val="32"/>
          <w:highlight w:val="none"/>
          <w:lang w:val="en-US" w:eastAsia="zh-CN"/>
        </w:rPr>
        <w:t>四</w:t>
      </w:r>
      <w:r>
        <w:rPr>
          <w:rFonts w:hint="eastAsia" w:ascii="宋体" w:hAnsi="宋体" w:eastAsia="宋体" w:cs="宋体"/>
          <w:b/>
          <w:bCs/>
          <w:color w:val="auto"/>
          <w:sz w:val="32"/>
          <w:szCs w:val="32"/>
          <w:highlight w:val="none"/>
        </w:rPr>
        <w:t>、技术方案</w:t>
      </w:r>
    </w:p>
    <w:p w14:paraId="7B35C616">
      <w:pPr>
        <w:pStyle w:val="14"/>
        <w:tabs>
          <w:tab w:val="left" w:pos="2160"/>
        </w:tabs>
        <w:spacing w:beforeAutospacing="0" w:afterAutospacing="0"/>
        <w:jc w:val="both"/>
        <w:rPr>
          <w:color w:val="auto"/>
          <w:highlight w:val="none"/>
        </w:rPr>
      </w:pPr>
    </w:p>
    <w:p w14:paraId="2E05F151">
      <w:pPr>
        <w:widowControl/>
        <w:spacing w:line="499" w:lineRule="atLeast"/>
        <w:ind w:firstLine="1600"/>
        <w:rPr>
          <w:rFonts w:ascii="宋体" w:hAnsi="宋体" w:eastAsia="宋体" w:cs="宋体"/>
          <w:color w:val="auto"/>
          <w:sz w:val="32"/>
          <w:szCs w:val="32"/>
          <w:highlight w:val="none"/>
        </w:rPr>
      </w:pPr>
    </w:p>
    <w:p w14:paraId="4A600B49">
      <w:pPr>
        <w:widowControl/>
        <w:spacing w:line="499" w:lineRule="atLeast"/>
        <w:ind w:firstLine="1600"/>
        <w:rPr>
          <w:rFonts w:ascii="宋体" w:hAnsi="宋体" w:eastAsia="宋体" w:cs="宋体"/>
          <w:color w:val="auto"/>
          <w:sz w:val="32"/>
          <w:szCs w:val="32"/>
          <w:highlight w:val="none"/>
        </w:rPr>
      </w:pPr>
    </w:p>
    <w:p w14:paraId="0BD27D1B">
      <w:pPr>
        <w:widowControl/>
        <w:spacing w:line="499" w:lineRule="atLeast"/>
        <w:ind w:firstLine="1600"/>
        <w:rPr>
          <w:rFonts w:ascii="宋体" w:hAnsi="宋体" w:eastAsia="宋体" w:cs="宋体"/>
          <w:color w:val="auto"/>
          <w:sz w:val="32"/>
          <w:szCs w:val="32"/>
          <w:highlight w:val="none"/>
        </w:rPr>
      </w:pPr>
    </w:p>
    <w:p w14:paraId="26590AC4">
      <w:pPr>
        <w:widowControl/>
        <w:spacing w:line="499" w:lineRule="atLeast"/>
        <w:ind w:firstLine="1600"/>
        <w:rPr>
          <w:rFonts w:ascii="宋体" w:hAnsi="宋体" w:eastAsia="宋体" w:cs="宋体"/>
          <w:color w:val="auto"/>
          <w:sz w:val="32"/>
          <w:szCs w:val="32"/>
          <w:highlight w:val="none"/>
        </w:rPr>
      </w:pPr>
    </w:p>
    <w:p w14:paraId="2AA4ACEE">
      <w:pPr>
        <w:widowControl/>
        <w:spacing w:line="499" w:lineRule="atLeast"/>
        <w:ind w:firstLine="1600"/>
        <w:rPr>
          <w:rFonts w:ascii="宋体" w:hAnsi="宋体" w:eastAsia="宋体" w:cs="宋体"/>
          <w:color w:val="auto"/>
          <w:sz w:val="32"/>
          <w:szCs w:val="32"/>
          <w:highlight w:val="none"/>
        </w:rPr>
      </w:pPr>
    </w:p>
    <w:p w14:paraId="3941763E">
      <w:pPr>
        <w:widowControl/>
        <w:spacing w:line="499" w:lineRule="atLeast"/>
        <w:ind w:firstLine="1600"/>
        <w:rPr>
          <w:rFonts w:ascii="宋体" w:hAnsi="宋体" w:eastAsia="宋体" w:cs="宋体"/>
          <w:color w:val="auto"/>
          <w:sz w:val="32"/>
          <w:szCs w:val="32"/>
          <w:highlight w:val="none"/>
        </w:rPr>
      </w:pPr>
    </w:p>
    <w:p w14:paraId="7BDE8637">
      <w:pPr>
        <w:widowControl/>
        <w:spacing w:line="499" w:lineRule="atLeast"/>
        <w:ind w:firstLine="1600"/>
        <w:rPr>
          <w:rFonts w:ascii="宋体" w:hAnsi="宋体" w:eastAsia="宋体" w:cs="宋体"/>
          <w:color w:val="auto"/>
          <w:sz w:val="32"/>
          <w:szCs w:val="32"/>
          <w:highlight w:val="none"/>
        </w:rPr>
      </w:pPr>
    </w:p>
    <w:p w14:paraId="28C20E5A">
      <w:pPr>
        <w:widowControl/>
        <w:spacing w:line="499" w:lineRule="atLeast"/>
        <w:ind w:firstLine="1600"/>
        <w:rPr>
          <w:rFonts w:ascii="宋体" w:hAnsi="宋体" w:eastAsia="宋体" w:cs="宋体"/>
          <w:color w:val="auto"/>
          <w:sz w:val="32"/>
          <w:szCs w:val="32"/>
          <w:highlight w:val="none"/>
        </w:rPr>
      </w:pPr>
    </w:p>
    <w:p w14:paraId="68A65AD9">
      <w:pPr>
        <w:widowControl/>
        <w:spacing w:line="499" w:lineRule="atLeast"/>
        <w:ind w:firstLine="1600"/>
        <w:rPr>
          <w:rFonts w:ascii="宋体" w:hAnsi="宋体" w:eastAsia="宋体" w:cs="宋体"/>
          <w:color w:val="auto"/>
          <w:sz w:val="32"/>
          <w:szCs w:val="32"/>
          <w:highlight w:val="none"/>
        </w:rPr>
      </w:pPr>
    </w:p>
    <w:p w14:paraId="3102B3C3">
      <w:pPr>
        <w:widowControl/>
        <w:spacing w:line="499" w:lineRule="atLeast"/>
        <w:ind w:firstLine="1600"/>
        <w:rPr>
          <w:rFonts w:ascii="宋体" w:hAnsi="宋体" w:eastAsia="宋体" w:cs="宋体"/>
          <w:color w:val="auto"/>
          <w:sz w:val="32"/>
          <w:szCs w:val="32"/>
          <w:highlight w:val="none"/>
        </w:rPr>
      </w:pPr>
    </w:p>
    <w:p w14:paraId="61F78CD7">
      <w:pPr>
        <w:widowControl/>
        <w:spacing w:line="499" w:lineRule="atLeast"/>
        <w:ind w:firstLine="1600"/>
        <w:rPr>
          <w:rFonts w:ascii="宋体" w:hAnsi="宋体" w:eastAsia="宋体" w:cs="宋体"/>
          <w:color w:val="auto"/>
          <w:sz w:val="32"/>
          <w:szCs w:val="32"/>
          <w:highlight w:val="none"/>
        </w:rPr>
      </w:pPr>
    </w:p>
    <w:p w14:paraId="40ABC58B">
      <w:pPr>
        <w:widowControl/>
        <w:spacing w:line="499" w:lineRule="atLeast"/>
        <w:ind w:firstLine="1600"/>
        <w:rPr>
          <w:rFonts w:ascii="宋体" w:hAnsi="宋体" w:eastAsia="宋体" w:cs="宋体"/>
          <w:color w:val="auto"/>
          <w:sz w:val="32"/>
          <w:szCs w:val="32"/>
          <w:highlight w:val="none"/>
        </w:rPr>
      </w:pPr>
    </w:p>
    <w:p w14:paraId="38DB44D6">
      <w:pPr>
        <w:widowControl/>
        <w:spacing w:line="499" w:lineRule="atLeast"/>
        <w:ind w:firstLine="1600"/>
        <w:rPr>
          <w:rFonts w:ascii="宋体" w:hAnsi="宋体" w:eastAsia="宋体" w:cs="宋体"/>
          <w:color w:val="auto"/>
          <w:sz w:val="32"/>
          <w:szCs w:val="32"/>
          <w:highlight w:val="none"/>
        </w:rPr>
      </w:pPr>
    </w:p>
    <w:p w14:paraId="1FF3DE71">
      <w:pPr>
        <w:widowControl/>
        <w:spacing w:line="499" w:lineRule="atLeast"/>
        <w:ind w:firstLine="1600"/>
        <w:rPr>
          <w:rFonts w:ascii="宋体" w:hAnsi="宋体" w:eastAsia="宋体" w:cs="宋体"/>
          <w:color w:val="auto"/>
          <w:sz w:val="32"/>
          <w:szCs w:val="32"/>
          <w:highlight w:val="none"/>
        </w:rPr>
      </w:pPr>
    </w:p>
    <w:p w14:paraId="5078FCFC">
      <w:pPr>
        <w:widowControl/>
        <w:spacing w:line="499" w:lineRule="atLeast"/>
        <w:ind w:firstLine="1600"/>
        <w:rPr>
          <w:rFonts w:ascii="宋体" w:hAnsi="宋体" w:eastAsia="宋体" w:cs="宋体"/>
          <w:color w:val="auto"/>
          <w:sz w:val="32"/>
          <w:szCs w:val="32"/>
          <w:highlight w:val="none"/>
        </w:rPr>
      </w:pPr>
    </w:p>
    <w:p w14:paraId="685824D5">
      <w:pPr>
        <w:widowControl/>
        <w:spacing w:line="499" w:lineRule="atLeast"/>
        <w:ind w:firstLine="1600"/>
        <w:rPr>
          <w:rFonts w:ascii="宋体" w:hAnsi="宋体" w:eastAsia="宋体" w:cs="宋体"/>
          <w:color w:val="auto"/>
          <w:sz w:val="32"/>
          <w:szCs w:val="32"/>
          <w:highlight w:val="none"/>
        </w:rPr>
      </w:pPr>
    </w:p>
    <w:p w14:paraId="6075A9B9">
      <w:pPr>
        <w:widowControl/>
        <w:spacing w:line="499" w:lineRule="atLeast"/>
        <w:ind w:firstLine="1600"/>
        <w:rPr>
          <w:rFonts w:ascii="宋体" w:hAnsi="宋体" w:eastAsia="宋体" w:cs="宋体"/>
          <w:color w:val="auto"/>
          <w:sz w:val="32"/>
          <w:szCs w:val="32"/>
          <w:highlight w:val="none"/>
        </w:rPr>
      </w:pPr>
    </w:p>
    <w:p w14:paraId="2947B088">
      <w:pPr>
        <w:widowControl/>
        <w:spacing w:line="499" w:lineRule="atLeast"/>
        <w:ind w:firstLine="1600"/>
        <w:rPr>
          <w:rFonts w:ascii="宋体" w:hAnsi="宋体" w:eastAsia="宋体" w:cs="宋体"/>
          <w:color w:val="auto"/>
          <w:sz w:val="32"/>
          <w:szCs w:val="32"/>
          <w:highlight w:val="none"/>
        </w:rPr>
      </w:pPr>
    </w:p>
    <w:p w14:paraId="4CFD966F">
      <w:pPr>
        <w:widowControl/>
        <w:spacing w:line="499" w:lineRule="atLeast"/>
        <w:ind w:firstLine="1600"/>
        <w:rPr>
          <w:rFonts w:ascii="宋体" w:hAnsi="宋体" w:eastAsia="宋体" w:cs="宋体"/>
          <w:b/>
          <w:bCs/>
          <w:color w:val="auto"/>
          <w:sz w:val="24"/>
          <w:highlight w:val="none"/>
        </w:rPr>
      </w:pPr>
      <w:r>
        <w:rPr>
          <w:rFonts w:hint="eastAsia" w:ascii="宋体" w:hAnsi="宋体" w:eastAsia="宋体" w:cs="宋体"/>
          <w:b/>
          <w:bCs/>
          <w:color w:val="auto"/>
          <w:sz w:val="32"/>
          <w:szCs w:val="32"/>
          <w:highlight w:val="none"/>
        </w:rPr>
        <w:t>十</w:t>
      </w:r>
      <w:r>
        <w:rPr>
          <w:rFonts w:hint="eastAsia" w:ascii="宋体" w:hAnsi="宋体" w:eastAsia="宋体" w:cs="宋体"/>
          <w:b/>
          <w:bCs/>
          <w:color w:val="auto"/>
          <w:sz w:val="32"/>
          <w:szCs w:val="32"/>
          <w:highlight w:val="none"/>
          <w:lang w:val="en-US" w:eastAsia="zh-CN"/>
        </w:rPr>
        <w:t>四</w:t>
      </w:r>
      <w:r>
        <w:rPr>
          <w:rFonts w:hint="eastAsia" w:ascii="宋体" w:hAnsi="宋体" w:eastAsia="宋体" w:cs="宋体"/>
          <w:b/>
          <w:bCs/>
          <w:color w:val="auto"/>
          <w:sz w:val="32"/>
          <w:szCs w:val="32"/>
          <w:highlight w:val="none"/>
        </w:rPr>
        <w:t>、采购事前信用承诺书</w:t>
      </w:r>
    </w:p>
    <w:p w14:paraId="12DBF935">
      <w:pPr>
        <w:widowControl/>
        <w:spacing w:line="499" w:lineRule="atLeast"/>
        <w:ind w:firstLine="640"/>
        <w:jc w:val="left"/>
        <w:rPr>
          <w:rFonts w:ascii="宋体" w:hAnsi="宋体" w:eastAsia="宋体" w:cs="宋体"/>
          <w:color w:val="auto"/>
          <w:sz w:val="24"/>
          <w:highlight w:val="none"/>
        </w:rPr>
      </w:pPr>
      <w:r>
        <w:rPr>
          <w:rFonts w:hint="eastAsia" w:ascii="宋体" w:hAnsi="宋体" w:eastAsia="宋体" w:cs="宋体"/>
          <w:color w:val="auto"/>
          <w:sz w:val="32"/>
          <w:szCs w:val="32"/>
          <w:highlight w:val="none"/>
        </w:rPr>
        <w:t> </w:t>
      </w:r>
    </w:p>
    <w:p w14:paraId="518FF601">
      <w:pPr>
        <w:widowControl/>
        <w:spacing w:line="499" w:lineRule="atLeast"/>
        <w:ind w:firstLine="480"/>
        <w:jc w:val="left"/>
        <w:rPr>
          <w:rFonts w:ascii="宋体" w:hAnsi="宋体" w:eastAsia="宋体" w:cs="宋体"/>
          <w:color w:val="auto"/>
          <w:sz w:val="24"/>
          <w:highlight w:val="none"/>
        </w:rPr>
      </w:pPr>
      <w:r>
        <w:rPr>
          <w:rFonts w:hint="eastAsia" w:ascii="宋体" w:hAnsi="宋体" w:eastAsia="宋体" w:cs="宋体"/>
          <w:color w:val="auto"/>
          <w:sz w:val="24"/>
          <w:highlight w:val="none"/>
        </w:rPr>
        <w:t>为营造我市公开、公平、公正、诚实守信的采购交易环境，树立诚信守法的投标人形象，本人代表本单位作出以下承诺：</w:t>
      </w:r>
    </w:p>
    <w:p w14:paraId="41DD4ED3">
      <w:pPr>
        <w:widowControl/>
        <w:spacing w:line="499" w:lineRule="atLeast"/>
        <w:jc w:val="left"/>
        <w:rPr>
          <w:rFonts w:ascii="宋体" w:hAnsi="宋体" w:eastAsia="宋体" w:cs="宋体"/>
          <w:color w:val="auto"/>
          <w:sz w:val="24"/>
          <w:highlight w:val="none"/>
        </w:rPr>
      </w:pPr>
      <w:r>
        <w:rPr>
          <w:rFonts w:hint="eastAsia" w:ascii="宋体" w:hAnsi="宋体" w:eastAsia="宋体" w:cs="宋体"/>
          <w:color w:val="auto"/>
          <w:sz w:val="24"/>
          <w:highlight w:val="none"/>
        </w:rPr>
        <w:t>    （一）本单位对所提交的企（事）业单位基本信息、企（事）业负责人、项目负责人、技术负责人、从业资质和资格、业绩、财务状况、信誉等所有资料，均合法、真实、准确、有效，无任何伪造、修改、</w:t>
      </w:r>
      <w:r>
        <w:rPr>
          <w:rFonts w:hint="eastAsia" w:ascii="宋体" w:hAnsi="宋体" w:eastAsia="宋体" w:cs="宋体"/>
          <w:color w:val="auto"/>
          <w:sz w:val="24"/>
          <w:highlight w:val="none"/>
          <w:lang w:eastAsia="zh-CN"/>
        </w:rPr>
        <w:t>虚假成分</w:t>
      </w:r>
      <w:r>
        <w:rPr>
          <w:rFonts w:hint="eastAsia" w:ascii="宋体" w:hAnsi="宋体" w:eastAsia="宋体" w:cs="宋体"/>
          <w:color w:val="auto"/>
          <w:sz w:val="24"/>
          <w:highlight w:val="none"/>
        </w:rPr>
        <w:t>，并对所提供资料的真实性负责；</w:t>
      </w:r>
    </w:p>
    <w:p w14:paraId="2646A310">
      <w:pPr>
        <w:widowControl/>
        <w:spacing w:line="499" w:lineRule="atLeast"/>
        <w:ind w:firstLine="480"/>
        <w:jc w:val="left"/>
        <w:rPr>
          <w:rFonts w:ascii="宋体" w:hAnsi="宋体" w:eastAsia="宋体" w:cs="宋体"/>
          <w:color w:val="auto"/>
          <w:sz w:val="24"/>
          <w:highlight w:val="none"/>
        </w:rPr>
      </w:pPr>
      <w:r>
        <w:rPr>
          <w:rFonts w:hint="eastAsia" w:ascii="宋体" w:hAnsi="宋体" w:eastAsia="宋体" w:cs="宋体"/>
          <w:color w:val="auto"/>
          <w:sz w:val="24"/>
          <w:highlight w:val="none"/>
        </w:rPr>
        <w:t>（二）本单位无涉及政府采购活动的违法、违规不良记录，我公司及相关负责人无因存在重大隐患整改不力、发生有重大社会影响生产安全事故或其他严重违法违规行为而被列入失信联合惩戒的不良记录；</w:t>
      </w:r>
    </w:p>
    <w:p w14:paraId="65024D90">
      <w:pPr>
        <w:widowControl/>
        <w:spacing w:line="499" w:lineRule="atLeast"/>
        <w:jc w:val="left"/>
        <w:rPr>
          <w:rFonts w:ascii="宋体" w:hAnsi="宋体" w:eastAsia="宋体" w:cs="宋体"/>
          <w:color w:val="auto"/>
          <w:sz w:val="24"/>
          <w:highlight w:val="none"/>
        </w:rPr>
      </w:pPr>
      <w:r>
        <w:rPr>
          <w:rFonts w:hint="eastAsia" w:ascii="宋体" w:hAnsi="宋体" w:eastAsia="宋体" w:cs="宋体"/>
          <w:color w:val="auto"/>
          <w:sz w:val="24"/>
          <w:highlight w:val="none"/>
        </w:rPr>
        <w:t xml:space="preserve">   （三）严格依照国家和省、市关于政府采购的法律、法规、规章、规范性文件，参加采购投标活动；积极履行社会责任，促进廉政建设； </w:t>
      </w:r>
    </w:p>
    <w:p w14:paraId="46DCE0D7">
      <w:pPr>
        <w:widowControl/>
        <w:spacing w:line="499" w:lineRule="atLeast"/>
        <w:jc w:val="left"/>
        <w:rPr>
          <w:rFonts w:ascii="宋体" w:hAnsi="宋体" w:eastAsia="宋体" w:cs="宋体"/>
          <w:color w:val="auto"/>
          <w:sz w:val="24"/>
          <w:highlight w:val="none"/>
        </w:rPr>
      </w:pPr>
      <w:r>
        <w:rPr>
          <w:rFonts w:hint="eastAsia" w:ascii="宋体" w:hAnsi="宋体" w:eastAsia="宋体" w:cs="宋体"/>
          <w:color w:val="auto"/>
          <w:sz w:val="24"/>
          <w:highlight w:val="none"/>
        </w:rPr>
        <w:t>   （四）严格遵守即时信息公示规定，及时</w:t>
      </w:r>
      <w:r>
        <w:rPr>
          <w:rFonts w:hint="eastAsia" w:ascii="宋体" w:hAnsi="宋体" w:eastAsia="宋体" w:cs="宋体"/>
          <w:color w:val="auto"/>
          <w:sz w:val="24"/>
          <w:highlight w:val="none"/>
          <w:lang w:eastAsia="zh-CN"/>
        </w:rPr>
        <w:t>维护和更新</w:t>
      </w:r>
      <w:r>
        <w:rPr>
          <w:rFonts w:hint="eastAsia" w:ascii="宋体" w:hAnsi="宋体" w:eastAsia="宋体" w:cs="宋体"/>
          <w:color w:val="auto"/>
          <w:sz w:val="24"/>
          <w:highlight w:val="none"/>
        </w:rPr>
        <w:t>采购网中与本单位相关的信息；</w:t>
      </w:r>
    </w:p>
    <w:p w14:paraId="5BFC43D2">
      <w:pPr>
        <w:widowControl/>
        <w:spacing w:line="499" w:lineRule="atLeast"/>
        <w:jc w:val="left"/>
        <w:rPr>
          <w:rFonts w:ascii="宋体" w:hAnsi="宋体" w:eastAsia="宋体" w:cs="宋体"/>
          <w:color w:val="auto"/>
          <w:sz w:val="24"/>
          <w:highlight w:val="none"/>
        </w:rPr>
      </w:pPr>
      <w:r>
        <w:rPr>
          <w:rFonts w:hint="eastAsia" w:ascii="宋体" w:hAnsi="宋体" w:eastAsia="宋体" w:cs="宋体"/>
          <w:color w:val="auto"/>
          <w:sz w:val="24"/>
          <w:highlight w:val="none"/>
        </w:rPr>
        <w:t>   （五）自我约束、自我管理，守合同、重信用，自觉维护政府采购交易的良好秩序，与参与本次政府采购活动的其他供应商不存在直接控股或管理关系，不参与围标串标、弄虚作假、骗取中标、干扰评标、违约毁约等行为；</w:t>
      </w:r>
    </w:p>
    <w:p w14:paraId="5E0062C9">
      <w:pPr>
        <w:widowControl/>
        <w:spacing w:line="499" w:lineRule="atLeast"/>
        <w:jc w:val="left"/>
        <w:rPr>
          <w:rFonts w:ascii="宋体" w:hAnsi="宋体" w:eastAsia="宋体" w:cs="宋体"/>
          <w:color w:val="auto"/>
          <w:sz w:val="24"/>
          <w:highlight w:val="none"/>
        </w:rPr>
      </w:pPr>
      <w:r>
        <w:rPr>
          <w:rFonts w:hint="eastAsia" w:ascii="宋体" w:hAnsi="宋体" w:eastAsia="宋体" w:cs="宋体"/>
          <w:color w:val="auto"/>
          <w:sz w:val="24"/>
          <w:highlight w:val="none"/>
        </w:rPr>
        <w:t>   （六）自觉接受政府、行业组织、社会公众、新闻舆论的监督；</w:t>
      </w:r>
    </w:p>
    <w:p w14:paraId="7B51C052">
      <w:pPr>
        <w:widowControl/>
        <w:spacing w:line="499" w:lineRule="atLeast"/>
        <w:ind w:firstLine="480"/>
        <w:jc w:val="left"/>
        <w:rPr>
          <w:rFonts w:ascii="宋体" w:hAnsi="宋体" w:eastAsia="宋体" w:cs="宋体"/>
          <w:color w:val="auto"/>
          <w:sz w:val="24"/>
          <w:highlight w:val="none"/>
        </w:rPr>
      </w:pPr>
      <w:r>
        <w:rPr>
          <w:rFonts w:hint="eastAsia" w:ascii="宋体" w:hAnsi="宋体" w:eastAsia="宋体" w:cs="宋体"/>
          <w:color w:val="auto"/>
          <w:sz w:val="24"/>
          <w:highlight w:val="none"/>
        </w:rPr>
        <w:t>（七）本单位自愿接受政府采购监督管理机构和有关行政监督部门的依法检查。如发生违法违规或不良失信行为，自愿接受政府采购监督管理机构和有关行政监督部门依法给予的行政处罚（处理），并依法承担相应责任；</w:t>
      </w:r>
    </w:p>
    <w:p w14:paraId="17E8A388">
      <w:pPr>
        <w:widowControl/>
        <w:spacing w:line="499" w:lineRule="atLeast"/>
        <w:jc w:val="left"/>
        <w:rPr>
          <w:rFonts w:ascii="宋体" w:hAnsi="宋体" w:eastAsia="宋体" w:cs="宋体"/>
          <w:color w:val="auto"/>
          <w:sz w:val="24"/>
          <w:highlight w:val="none"/>
        </w:rPr>
      </w:pPr>
      <w:r>
        <w:rPr>
          <w:rFonts w:hint="eastAsia" w:ascii="宋体" w:hAnsi="宋体" w:eastAsia="宋体" w:cs="宋体"/>
          <w:color w:val="auto"/>
          <w:sz w:val="24"/>
          <w:highlight w:val="none"/>
        </w:rPr>
        <w:t>   （八）本人已认真阅读了上述承诺，并向本单位员工作了宣传教育。</w:t>
      </w:r>
    </w:p>
    <w:p w14:paraId="413A0F2D">
      <w:pPr>
        <w:widowControl/>
        <w:spacing w:line="499" w:lineRule="atLeast"/>
        <w:jc w:val="left"/>
        <w:rPr>
          <w:rFonts w:ascii="宋体" w:hAnsi="宋体" w:eastAsia="宋体" w:cs="宋体"/>
          <w:color w:val="auto"/>
          <w:sz w:val="24"/>
          <w:highlight w:val="none"/>
        </w:rPr>
      </w:pPr>
      <w:r>
        <w:rPr>
          <w:rFonts w:hint="eastAsia" w:ascii="宋体" w:hAnsi="宋体" w:eastAsia="宋体" w:cs="宋体"/>
          <w:color w:val="auto"/>
          <w:sz w:val="24"/>
          <w:highlight w:val="none"/>
        </w:rPr>
        <w:t>                  法定代表人签名：</w:t>
      </w:r>
    </w:p>
    <w:p w14:paraId="3C5185D7">
      <w:pPr>
        <w:widowControl/>
        <w:spacing w:line="499" w:lineRule="atLeast"/>
        <w:jc w:val="center"/>
        <w:rPr>
          <w:rFonts w:ascii="宋体" w:hAnsi="宋体" w:eastAsia="宋体" w:cs="宋体"/>
          <w:color w:val="auto"/>
          <w:sz w:val="24"/>
          <w:highlight w:val="none"/>
        </w:rPr>
      </w:pPr>
      <w:r>
        <w:rPr>
          <w:rFonts w:hint="eastAsia" w:ascii="宋体" w:hAnsi="宋体" w:eastAsia="宋体" w:cs="宋体"/>
          <w:color w:val="auto"/>
          <w:sz w:val="24"/>
          <w:highlight w:val="none"/>
        </w:rPr>
        <w:t>                   单位名称（盖章）：</w:t>
      </w:r>
    </w:p>
    <w:p w14:paraId="031CFD2D">
      <w:pPr>
        <w:widowControl/>
        <w:spacing w:line="499" w:lineRule="atLeast"/>
        <w:jc w:val="center"/>
        <w:rPr>
          <w:rFonts w:ascii="宋体" w:hAnsi="宋体" w:eastAsia="宋体" w:cs="宋体"/>
          <w:color w:val="auto"/>
          <w:sz w:val="24"/>
          <w:highlight w:val="none"/>
        </w:rPr>
      </w:pPr>
      <w:r>
        <w:rPr>
          <w:rFonts w:hint="eastAsia" w:ascii="宋体" w:hAnsi="宋体" w:eastAsia="宋体" w:cs="宋体"/>
          <w:color w:val="auto"/>
          <w:sz w:val="24"/>
          <w:highlight w:val="none"/>
        </w:rPr>
        <w:t>                      年月日</w:t>
      </w:r>
    </w:p>
    <w:p w14:paraId="5D8529CE">
      <w:pPr>
        <w:pStyle w:val="14"/>
        <w:spacing w:beforeAutospacing="0" w:afterAutospacing="0"/>
        <w:jc w:val="center"/>
        <w:rPr>
          <w:color w:val="auto"/>
          <w:highlight w:val="none"/>
        </w:rPr>
      </w:pPr>
    </w:p>
    <w:bookmarkEnd w:id="27"/>
    <w:bookmarkEnd w:id="44"/>
    <w:bookmarkEnd w:id="87"/>
    <w:bookmarkEnd w:id="88"/>
    <w:bookmarkEnd w:id="89"/>
    <w:bookmarkEnd w:id="92"/>
    <w:bookmarkEnd w:id="93"/>
    <w:bookmarkEnd w:id="94"/>
    <w:bookmarkEnd w:id="95"/>
    <w:bookmarkEnd w:id="96"/>
    <w:bookmarkEnd w:id="97"/>
    <w:bookmarkEnd w:id="98"/>
    <w:bookmarkEnd w:id="99"/>
    <w:bookmarkEnd w:id="100"/>
    <w:bookmarkEnd w:id="101"/>
    <w:bookmarkEnd w:id="102"/>
    <w:bookmarkEnd w:id="103"/>
    <w:bookmarkEnd w:id="104"/>
    <w:bookmarkEnd w:id="109"/>
    <w:bookmarkEnd w:id="110"/>
    <w:bookmarkEnd w:id="111"/>
    <w:bookmarkEnd w:id="116"/>
    <w:bookmarkEnd w:id="117"/>
    <w:bookmarkEnd w:id="122"/>
    <w:bookmarkEnd w:id="163"/>
    <w:bookmarkEnd w:id="164"/>
    <w:bookmarkEnd w:id="171"/>
    <w:bookmarkEnd w:id="172"/>
    <w:bookmarkEnd w:id="177"/>
    <w:bookmarkEnd w:id="178"/>
    <w:bookmarkEnd w:id="179"/>
    <w:bookmarkEnd w:id="180"/>
    <w:bookmarkEnd w:id="189"/>
    <w:bookmarkEnd w:id="190"/>
    <w:bookmarkEnd w:id="191"/>
    <w:bookmarkEnd w:id="192"/>
    <w:bookmarkEnd w:id="193"/>
    <w:p w14:paraId="3D2A7919">
      <w:pPr>
        <w:rPr>
          <w:color w:val="auto"/>
          <w:highlight w:val="none"/>
        </w:rPr>
      </w:pPr>
    </w:p>
    <w:p w14:paraId="4D3B41D8">
      <w:pPr>
        <w:pStyle w:val="14"/>
        <w:spacing w:beforeAutospacing="0" w:afterAutospacing="0"/>
        <w:jc w:val="center"/>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t>质疑函范本</w:t>
      </w:r>
    </w:p>
    <w:p w14:paraId="09EC660E">
      <w:pPr>
        <w:pStyle w:val="14"/>
        <w:spacing w:before="290"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一、质疑供应商基本信息</w:t>
      </w:r>
    </w:p>
    <w:p w14:paraId="1BBEA404">
      <w:pPr>
        <w:pStyle w:val="14"/>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质疑供应商：</w:t>
      </w:r>
      <w:r>
        <w:rPr>
          <w:rFonts w:hint="eastAsia" w:ascii="宋体" w:hAnsi="宋体" w:eastAsia="宋体" w:cs="宋体"/>
          <w:color w:val="auto"/>
          <w:highlight w:val="none"/>
          <w:u w:val="single"/>
        </w:rPr>
        <w:t>                    </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 </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 xml:space="preserve">       </w:t>
      </w:r>
    </w:p>
    <w:p w14:paraId="0683C323">
      <w:pPr>
        <w:pStyle w:val="14"/>
        <w:spacing w:beforeAutospacing="0" w:afterAutospacing="0" w:line="360" w:lineRule="auto"/>
        <w:jc w:val="both"/>
        <w:rPr>
          <w:rFonts w:ascii="宋体" w:hAnsi="宋体" w:eastAsia="宋体" w:cs="宋体"/>
          <w:color w:val="auto"/>
          <w:highlight w:val="none"/>
          <w:u w:val="single"/>
        </w:rPr>
      </w:pPr>
      <w:r>
        <w:rPr>
          <w:rFonts w:hint="eastAsia" w:ascii="宋体" w:hAnsi="宋体" w:eastAsia="宋体" w:cs="宋体"/>
          <w:color w:val="auto"/>
          <w:highlight w:val="none"/>
        </w:rPr>
        <w:t>地址：</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      </w:t>
      </w:r>
    </w:p>
    <w:p w14:paraId="4FD10787">
      <w:pPr>
        <w:pStyle w:val="14"/>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邮编：</w:t>
      </w:r>
      <w:r>
        <w:rPr>
          <w:rFonts w:hint="eastAsia" w:ascii="宋体" w:hAnsi="宋体" w:eastAsia="宋体" w:cs="宋体"/>
          <w:color w:val="auto"/>
          <w:highlight w:val="none"/>
          <w:u w:val="single"/>
        </w:rPr>
        <w:t>                       </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 xml:space="preserve">        </w:t>
      </w:r>
    </w:p>
    <w:p w14:paraId="51269EB1">
      <w:pPr>
        <w:pStyle w:val="14"/>
        <w:spacing w:beforeAutospacing="0" w:afterAutospacing="0" w:line="360" w:lineRule="auto"/>
        <w:jc w:val="both"/>
        <w:rPr>
          <w:rFonts w:ascii="宋体" w:hAnsi="宋体" w:eastAsia="宋体" w:cs="宋体"/>
          <w:color w:val="auto"/>
          <w:highlight w:val="none"/>
          <w:u w:val="single"/>
        </w:rPr>
      </w:pPr>
      <w:r>
        <w:rPr>
          <w:rFonts w:hint="eastAsia" w:ascii="宋体" w:hAnsi="宋体" w:eastAsia="宋体" w:cs="宋体"/>
          <w:color w:val="auto"/>
          <w:highlight w:val="none"/>
        </w:rPr>
        <w:t>联系人：</w:t>
      </w:r>
      <w:r>
        <w:rPr>
          <w:rFonts w:hint="eastAsia" w:ascii="宋体" w:hAnsi="宋体" w:eastAsia="宋体" w:cs="宋体"/>
          <w:color w:val="auto"/>
          <w:highlight w:val="none"/>
          <w:u w:val="single"/>
        </w:rPr>
        <w:t>               </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 xml:space="preserve">       </w:t>
      </w:r>
    </w:p>
    <w:p w14:paraId="68A79C72">
      <w:pPr>
        <w:pStyle w:val="14"/>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联系电话：</w:t>
      </w:r>
      <w:r>
        <w:rPr>
          <w:rFonts w:hint="eastAsia" w:ascii="宋体" w:hAnsi="宋体" w:eastAsia="宋体" w:cs="宋体"/>
          <w:color w:val="auto"/>
          <w:highlight w:val="none"/>
          <w:u w:val="single"/>
        </w:rPr>
        <w:t xml:space="preserve">                                           </w:t>
      </w:r>
    </w:p>
    <w:p w14:paraId="5B63D208">
      <w:pPr>
        <w:pStyle w:val="14"/>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授权代表：</w:t>
      </w:r>
      <w:r>
        <w:rPr>
          <w:rFonts w:hint="eastAsia" w:ascii="宋体" w:hAnsi="宋体" w:eastAsia="宋体" w:cs="宋体"/>
          <w:color w:val="auto"/>
          <w:highlight w:val="none"/>
          <w:u w:val="single"/>
        </w:rPr>
        <w:t>                 </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 xml:space="preserve">        </w:t>
      </w:r>
    </w:p>
    <w:p w14:paraId="3C1857D9">
      <w:pPr>
        <w:pStyle w:val="14"/>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联系电话：</w:t>
      </w:r>
      <w:r>
        <w:rPr>
          <w:rFonts w:hint="eastAsia" w:ascii="宋体" w:hAnsi="宋体" w:eastAsia="宋体" w:cs="宋体"/>
          <w:color w:val="auto"/>
          <w:highlight w:val="none"/>
          <w:u w:val="single"/>
        </w:rPr>
        <w:t>                  </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 xml:space="preserve">     </w:t>
      </w:r>
    </w:p>
    <w:p w14:paraId="28C266A2">
      <w:pPr>
        <w:pStyle w:val="14"/>
        <w:spacing w:beforeAutospacing="0" w:afterAutospacing="0" w:line="360" w:lineRule="auto"/>
        <w:jc w:val="both"/>
        <w:rPr>
          <w:rFonts w:ascii="宋体" w:hAnsi="宋体" w:eastAsia="宋体" w:cs="宋体"/>
          <w:color w:val="auto"/>
          <w:highlight w:val="none"/>
          <w:u w:val="single"/>
        </w:rPr>
      </w:pPr>
      <w:r>
        <w:rPr>
          <w:rFonts w:hint="eastAsia" w:ascii="宋体" w:hAnsi="宋体" w:eastAsia="宋体" w:cs="宋体"/>
          <w:color w:val="auto"/>
          <w:highlight w:val="none"/>
        </w:rPr>
        <w:t>地址： </w:t>
      </w:r>
      <w:r>
        <w:rPr>
          <w:rFonts w:hint="eastAsia" w:ascii="宋体" w:hAnsi="宋体" w:eastAsia="宋体" w:cs="宋体"/>
          <w:color w:val="auto"/>
          <w:highlight w:val="none"/>
          <w:u w:val="single"/>
        </w:rPr>
        <w:t>                  </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 xml:space="preserve">        </w:t>
      </w:r>
    </w:p>
    <w:p w14:paraId="3855B596">
      <w:pPr>
        <w:pStyle w:val="14"/>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邮编：</w:t>
      </w:r>
      <w:r>
        <w:rPr>
          <w:rFonts w:hint="eastAsia" w:ascii="宋体" w:hAnsi="宋体" w:eastAsia="宋体" w:cs="宋体"/>
          <w:color w:val="auto"/>
          <w:highlight w:val="none"/>
          <w:u w:val="single"/>
        </w:rPr>
        <w:t xml:space="preserve">                                </w:t>
      </w:r>
    </w:p>
    <w:p w14:paraId="25856014">
      <w:pPr>
        <w:pStyle w:val="14"/>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二、质疑项目基本情况</w:t>
      </w:r>
    </w:p>
    <w:p w14:paraId="3DF26DCD">
      <w:pPr>
        <w:pStyle w:val="14"/>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质疑项目的名称：</w:t>
      </w:r>
      <w:r>
        <w:rPr>
          <w:rFonts w:hint="eastAsia" w:ascii="宋体" w:hAnsi="宋体" w:eastAsia="宋体" w:cs="宋体"/>
          <w:color w:val="auto"/>
          <w:highlight w:val="none"/>
          <w:u w:val="single"/>
        </w:rPr>
        <w:t xml:space="preserve">                            </w:t>
      </w:r>
    </w:p>
    <w:p w14:paraId="05D9AAAA">
      <w:pPr>
        <w:pStyle w:val="14"/>
        <w:spacing w:beforeAutospacing="0" w:afterAutospacing="0" w:line="360" w:lineRule="auto"/>
        <w:jc w:val="both"/>
        <w:rPr>
          <w:rFonts w:ascii="宋体" w:hAnsi="宋体" w:eastAsia="宋体" w:cs="宋体"/>
          <w:color w:val="auto"/>
          <w:highlight w:val="none"/>
          <w:u w:val="single"/>
        </w:rPr>
      </w:pPr>
      <w:r>
        <w:rPr>
          <w:rFonts w:hint="eastAsia" w:ascii="宋体" w:hAnsi="宋体" w:eastAsia="宋体" w:cs="宋体"/>
          <w:color w:val="auto"/>
          <w:highlight w:val="none"/>
        </w:rPr>
        <w:t>质疑项目的编号：</w:t>
      </w:r>
      <w:r>
        <w:rPr>
          <w:rFonts w:hint="eastAsia" w:ascii="宋体" w:hAnsi="宋体" w:eastAsia="宋体" w:cs="宋体"/>
          <w:color w:val="auto"/>
          <w:highlight w:val="none"/>
          <w:u w:val="single"/>
        </w:rPr>
        <w:t xml:space="preserve">                          </w:t>
      </w:r>
    </w:p>
    <w:p w14:paraId="6C45C6E4">
      <w:pPr>
        <w:pStyle w:val="14"/>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包号：</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ab/>
      </w:r>
      <w:r>
        <w:rPr>
          <w:rFonts w:hint="eastAsia" w:ascii="宋体" w:hAnsi="宋体" w:eastAsia="宋体" w:cs="宋体"/>
          <w:color w:val="auto"/>
          <w:highlight w:val="none"/>
          <w:u w:val="single"/>
        </w:rPr>
        <w:t xml:space="preserve">    </w:t>
      </w:r>
    </w:p>
    <w:p w14:paraId="002EE101">
      <w:pPr>
        <w:pStyle w:val="14"/>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采购人名称：</w:t>
      </w:r>
      <w:r>
        <w:rPr>
          <w:rFonts w:hint="eastAsia" w:ascii="宋体" w:hAnsi="宋体" w:eastAsia="宋体" w:cs="宋体"/>
          <w:color w:val="auto"/>
          <w:highlight w:val="none"/>
          <w:u w:val="single"/>
        </w:rPr>
        <w:t xml:space="preserve">                            </w:t>
      </w:r>
    </w:p>
    <w:p w14:paraId="0C3EA93A">
      <w:pPr>
        <w:pStyle w:val="14"/>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采购文件获取日期：</w:t>
      </w:r>
      <w:r>
        <w:rPr>
          <w:rFonts w:hint="eastAsia" w:ascii="宋体" w:hAnsi="宋体" w:eastAsia="宋体" w:cs="宋体"/>
          <w:color w:val="auto"/>
          <w:highlight w:val="none"/>
          <w:u w:val="single"/>
        </w:rPr>
        <w:t xml:space="preserve">                             </w:t>
      </w:r>
    </w:p>
    <w:p w14:paraId="454C489F">
      <w:pPr>
        <w:pStyle w:val="14"/>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三、质疑事项具体内容</w:t>
      </w:r>
    </w:p>
    <w:p w14:paraId="5B0C3A09">
      <w:pPr>
        <w:pStyle w:val="14"/>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质疑事项1：</w:t>
      </w:r>
      <w:r>
        <w:rPr>
          <w:rFonts w:hint="eastAsia" w:ascii="宋体" w:hAnsi="宋体" w:eastAsia="宋体" w:cs="宋体"/>
          <w:color w:val="auto"/>
          <w:highlight w:val="none"/>
          <w:u w:val="single"/>
        </w:rPr>
        <w:t xml:space="preserve">                             </w:t>
      </w:r>
    </w:p>
    <w:p w14:paraId="65F6B2B9">
      <w:pPr>
        <w:pStyle w:val="14"/>
        <w:spacing w:beforeAutospacing="0" w:afterAutospacing="0" w:line="360" w:lineRule="auto"/>
        <w:rPr>
          <w:rFonts w:ascii="宋体" w:hAnsi="宋体" w:eastAsia="宋体" w:cs="宋体"/>
          <w:color w:val="auto"/>
          <w:highlight w:val="none"/>
        </w:rPr>
      </w:pPr>
      <w:r>
        <w:rPr>
          <w:rFonts w:hint="eastAsia" w:ascii="宋体" w:hAnsi="宋体" w:eastAsia="宋体" w:cs="宋体"/>
          <w:color w:val="auto"/>
          <w:highlight w:val="none"/>
        </w:rPr>
        <w:t>事实依据：</w:t>
      </w:r>
      <w:r>
        <w:rPr>
          <w:rFonts w:hint="eastAsia" w:ascii="宋体" w:hAnsi="宋体" w:eastAsia="宋体" w:cs="宋体"/>
          <w:color w:val="auto"/>
          <w:highlight w:val="none"/>
          <w:u w:val="single"/>
        </w:rPr>
        <w:t xml:space="preserve">                                                   </w:t>
      </w:r>
    </w:p>
    <w:p w14:paraId="78A4C18D">
      <w:pPr>
        <w:pStyle w:val="14"/>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法律依据：</w:t>
      </w:r>
      <w:r>
        <w:rPr>
          <w:rFonts w:hint="eastAsia" w:ascii="宋体" w:hAnsi="宋体" w:eastAsia="宋体" w:cs="宋体"/>
          <w:color w:val="auto"/>
          <w:highlight w:val="none"/>
          <w:u w:val="single"/>
        </w:rPr>
        <w:t xml:space="preserve">                                                    </w:t>
      </w:r>
    </w:p>
    <w:p w14:paraId="32398CFA">
      <w:pPr>
        <w:pStyle w:val="14"/>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质疑事项2</w:t>
      </w:r>
    </w:p>
    <w:p w14:paraId="7481B690">
      <w:pPr>
        <w:pStyle w:val="14"/>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w:t>
      </w:r>
    </w:p>
    <w:p w14:paraId="4BFC85F6">
      <w:pPr>
        <w:pStyle w:val="14"/>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四、与质疑事项相关的质疑请求</w:t>
      </w:r>
    </w:p>
    <w:p w14:paraId="4142A576">
      <w:pPr>
        <w:pStyle w:val="14"/>
        <w:spacing w:beforeAutospacing="0" w:afterAutospacing="0" w:line="360" w:lineRule="auto"/>
        <w:jc w:val="both"/>
        <w:rPr>
          <w:rFonts w:ascii="宋体" w:hAnsi="宋体" w:eastAsia="宋体" w:cs="宋体"/>
          <w:color w:val="auto"/>
          <w:highlight w:val="none"/>
        </w:rPr>
      </w:pPr>
      <w:r>
        <w:rPr>
          <w:rFonts w:hint="eastAsia" w:ascii="宋体" w:hAnsi="宋体" w:eastAsia="宋体" w:cs="宋体"/>
          <w:color w:val="auto"/>
          <w:highlight w:val="none"/>
        </w:rPr>
        <w:t>请求：</w:t>
      </w:r>
      <w:r>
        <w:rPr>
          <w:rFonts w:hint="eastAsia" w:ascii="宋体" w:hAnsi="宋体" w:eastAsia="宋体" w:cs="宋体"/>
          <w:color w:val="auto"/>
          <w:highlight w:val="none"/>
          <w:u w:val="single"/>
        </w:rPr>
        <w:t xml:space="preserve">                                                          </w:t>
      </w:r>
    </w:p>
    <w:p w14:paraId="0E62018D">
      <w:pPr>
        <w:pStyle w:val="14"/>
        <w:spacing w:beforeAutospacing="0" w:afterAutospacing="0"/>
        <w:jc w:val="both"/>
        <w:rPr>
          <w:rFonts w:ascii="宋体" w:hAnsi="宋体" w:eastAsia="宋体" w:cs="宋体"/>
          <w:color w:val="auto"/>
          <w:highlight w:val="none"/>
        </w:rPr>
      </w:pPr>
      <w:r>
        <w:rPr>
          <w:rFonts w:hint="eastAsia" w:ascii="宋体" w:hAnsi="宋体" w:eastAsia="宋体" w:cs="宋体"/>
          <w:color w:val="auto"/>
          <w:highlight w:val="none"/>
        </w:rPr>
        <w:t xml:space="preserve">签字(签章)：                 公章：               日期：    </w:t>
      </w:r>
    </w:p>
    <w:p w14:paraId="2BD1128B">
      <w:pPr>
        <w:pStyle w:val="14"/>
        <w:spacing w:beforeAutospacing="0" w:afterAutospacing="0" w:line="0" w:lineRule="atLeast"/>
        <w:jc w:val="both"/>
        <w:rPr>
          <w:rFonts w:ascii="宋体" w:hAnsi="宋体" w:eastAsia="宋体" w:cs="宋体"/>
          <w:color w:val="auto"/>
          <w:highlight w:val="none"/>
        </w:rPr>
      </w:pPr>
      <w:r>
        <w:rPr>
          <w:rFonts w:hint="eastAsia" w:ascii="宋体" w:hAnsi="宋体" w:eastAsia="宋体" w:cs="宋体"/>
          <w:b/>
          <w:color w:val="auto"/>
          <w:highlight w:val="none"/>
        </w:rPr>
        <w:t>质疑函制作说明：</w:t>
      </w:r>
    </w:p>
    <w:p w14:paraId="366B4F23">
      <w:pPr>
        <w:pStyle w:val="14"/>
        <w:widowControl/>
        <w:spacing w:beforeAutospacing="0" w:afterAutospacing="0" w:line="0" w:lineRule="atLeast"/>
        <w:ind w:firstLine="480"/>
        <w:rPr>
          <w:rFonts w:ascii="宋体" w:hAnsi="宋体" w:eastAsia="宋体" w:cs="宋体"/>
          <w:color w:val="auto"/>
          <w:highlight w:val="none"/>
        </w:rPr>
      </w:pPr>
      <w:r>
        <w:rPr>
          <w:rFonts w:hint="eastAsia" w:ascii="宋体" w:hAnsi="宋体" w:eastAsia="宋体" w:cs="宋体"/>
          <w:color w:val="auto"/>
          <w:highlight w:val="none"/>
        </w:rPr>
        <w:t>1.供应商提出质疑时，应提交质疑函和必要的证明材料。</w:t>
      </w:r>
    </w:p>
    <w:p w14:paraId="4477C1A6">
      <w:pPr>
        <w:pStyle w:val="14"/>
        <w:widowControl/>
        <w:spacing w:beforeAutospacing="0" w:afterAutospacing="0" w:line="0" w:lineRule="atLeast"/>
        <w:ind w:firstLine="480"/>
        <w:rPr>
          <w:rFonts w:ascii="宋体" w:hAnsi="宋体" w:eastAsia="宋体" w:cs="宋体"/>
          <w:color w:val="auto"/>
          <w:highlight w:val="none"/>
        </w:rPr>
      </w:pPr>
      <w:r>
        <w:rPr>
          <w:rFonts w:hint="eastAsia" w:ascii="宋体" w:hAnsi="宋体" w:eastAsia="宋体" w:cs="宋体"/>
          <w:color w:val="auto"/>
          <w:highlight w:val="none"/>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6B40952D">
      <w:pPr>
        <w:pStyle w:val="14"/>
        <w:widowControl/>
        <w:spacing w:beforeAutospacing="0" w:afterAutospacing="0" w:line="0" w:lineRule="atLeast"/>
        <w:ind w:firstLine="480"/>
        <w:rPr>
          <w:rFonts w:ascii="宋体" w:hAnsi="宋体" w:eastAsia="宋体" w:cs="宋体"/>
          <w:color w:val="auto"/>
          <w:highlight w:val="none"/>
        </w:rPr>
      </w:pPr>
      <w:r>
        <w:rPr>
          <w:rFonts w:hint="eastAsia" w:ascii="宋体" w:hAnsi="宋体" w:eastAsia="宋体" w:cs="宋体"/>
          <w:color w:val="auto"/>
          <w:highlight w:val="none"/>
        </w:rPr>
        <w:t>3.质疑供应商若对项目的某一分包进行质疑，质疑函中应列明具体分包号。</w:t>
      </w:r>
    </w:p>
    <w:p w14:paraId="61B2EC12">
      <w:pPr>
        <w:pStyle w:val="14"/>
        <w:widowControl/>
        <w:spacing w:beforeAutospacing="0" w:afterAutospacing="0" w:line="0" w:lineRule="atLeast"/>
        <w:ind w:firstLine="480"/>
        <w:rPr>
          <w:rFonts w:ascii="宋体" w:hAnsi="宋体" w:eastAsia="宋体" w:cs="宋体"/>
          <w:color w:val="auto"/>
          <w:highlight w:val="none"/>
        </w:rPr>
      </w:pPr>
      <w:r>
        <w:rPr>
          <w:rFonts w:hint="eastAsia" w:ascii="宋体" w:hAnsi="宋体" w:eastAsia="宋体" w:cs="宋体"/>
          <w:color w:val="auto"/>
          <w:highlight w:val="none"/>
        </w:rPr>
        <w:t>4.质疑函的质疑事项应具体、明确，并有必要的事实依据和法律依据。</w:t>
      </w:r>
    </w:p>
    <w:p w14:paraId="00DA2770">
      <w:pPr>
        <w:pStyle w:val="14"/>
        <w:widowControl/>
        <w:spacing w:beforeAutospacing="0" w:afterAutospacing="0" w:line="0" w:lineRule="atLeast"/>
        <w:ind w:firstLine="480"/>
        <w:rPr>
          <w:rFonts w:ascii="宋体" w:hAnsi="宋体" w:eastAsia="宋体" w:cs="宋体"/>
          <w:color w:val="auto"/>
          <w:highlight w:val="none"/>
        </w:rPr>
      </w:pPr>
      <w:r>
        <w:rPr>
          <w:rFonts w:hint="eastAsia" w:ascii="宋体" w:hAnsi="宋体" w:eastAsia="宋体" w:cs="宋体"/>
          <w:color w:val="auto"/>
          <w:highlight w:val="none"/>
        </w:rPr>
        <w:t>5.质疑函的质疑请求应与质疑事项相关。</w:t>
      </w:r>
    </w:p>
    <w:p w14:paraId="7B96CA49">
      <w:pPr>
        <w:pStyle w:val="14"/>
        <w:widowControl/>
        <w:spacing w:beforeAutospacing="0" w:afterAutospacing="0" w:line="0" w:lineRule="atLeast"/>
        <w:ind w:firstLine="480"/>
        <w:rPr>
          <w:rFonts w:ascii="宋体" w:hAnsi="宋体" w:eastAsia="宋体" w:cs="宋体"/>
          <w:color w:val="auto"/>
          <w:highlight w:val="none"/>
        </w:rPr>
      </w:pPr>
      <w:r>
        <w:rPr>
          <w:rFonts w:hint="eastAsia" w:ascii="宋体" w:hAnsi="宋体" w:eastAsia="宋体" w:cs="宋体"/>
          <w:color w:val="auto"/>
          <w:highlight w:val="none"/>
        </w:rPr>
        <w:t>6.质疑供应商为自然人的，质疑函应由本人签字；质疑供应商为法人或者其他组织的，质疑函应由法定代表人、主要负责人，或者其授权代表签字或者盖章，并加盖公章。</w:t>
      </w:r>
    </w:p>
    <w:p w14:paraId="2A8F5BDA">
      <w:pPr>
        <w:pStyle w:val="14"/>
        <w:spacing w:beforeAutospacing="0" w:afterAutospacing="0"/>
        <w:ind w:firstLine="420"/>
        <w:jc w:val="both"/>
        <w:rPr>
          <w:rFonts w:ascii="宋体" w:hAnsi="宋体" w:eastAsia="宋体" w:cs="宋体"/>
          <w:color w:val="auto"/>
          <w:highlight w:val="none"/>
        </w:rPr>
      </w:pPr>
      <w:r>
        <w:rPr>
          <w:rFonts w:hint="eastAsia" w:ascii="宋体" w:hAnsi="宋体" w:eastAsia="宋体" w:cs="宋体"/>
          <w:color w:val="auto"/>
          <w:highlight w:val="none"/>
        </w:rPr>
        <w:t> </w:t>
      </w:r>
    </w:p>
    <w:p w14:paraId="5C2BD028">
      <w:pPr>
        <w:rPr>
          <w:color w:val="auto"/>
          <w:highlight w:val="none"/>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swiss"/>
    <w:pitch w:val="default"/>
    <w:sig w:usb0="F7FFAEFF" w:usb1="F9DFFFFF" w:usb2="0000007F" w:usb3="00000000" w:csb0="203F01FF" w:csb1="DFFF0000"/>
  </w:font>
  <w:font w:name="新宋体">
    <w:panose1 w:val="02010609030101010101"/>
    <w:charset w:val="86"/>
    <w:family w:val="auto"/>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E4617">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138978">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138978">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BC17F5"/>
    <w:multiLevelType w:val="singleLevel"/>
    <w:tmpl w:val="BBBC17F5"/>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5NjQ4MDViNzI1OGY2YzE4MzhiZmY5ZTY1YTkxNGYifQ=="/>
  </w:docVars>
  <w:rsids>
    <w:rsidRoot w:val="00172A27"/>
    <w:rsid w:val="00075369"/>
    <w:rsid w:val="00077137"/>
    <w:rsid w:val="00093DD2"/>
    <w:rsid w:val="00100CC0"/>
    <w:rsid w:val="00131CB1"/>
    <w:rsid w:val="00172A27"/>
    <w:rsid w:val="00177F0B"/>
    <w:rsid w:val="001A3225"/>
    <w:rsid w:val="001F4115"/>
    <w:rsid w:val="00215AA4"/>
    <w:rsid w:val="00251125"/>
    <w:rsid w:val="002E61F3"/>
    <w:rsid w:val="002F12F8"/>
    <w:rsid w:val="003C1A89"/>
    <w:rsid w:val="003C6894"/>
    <w:rsid w:val="0043276E"/>
    <w:rsid w:val="004529E6"/>
    <w:rsid w:val="00455E51"/>
    <w:rsid w:val="004670D5"/>
    <w:rsid w:val="00474047"/>
    <w:rsid w:val="00491F6E"/>
    <w:rsid w:val="004D3110"/>
    <w:rsid w:val="00502ACB"/>
    <w:rsid w:val="00520AC5"/>
    <w:rsid w:val="00552DFB"/>
    <w:rsid w:val="005E57E9"/>
    <w:rsid w:val="006932C0"/>
    <w:rsid w:val="006B6F15"/>
    <w:rsid w:val="007871B9"/>
    <w:rsid w:val="007A220C"/>
    <w:rsid w:val="007A7B98"/>
    <w:rsid w:val="007B1CF4"/>
    <w:rsid w:val="00817A96"/>
    <w:rsid w:val="0088127E"/>
    <w:rsid w:val="008B090D"/>
    <w:rsid w:val="008E4636"/>
    <w:rsid w:val="00935693"/>
    <w:rsid w:val="00A4304F"/>
    <w:rsid w:val="00A62079"/>
    <w:rsid w:val="00A70028"/>
    <w:rsid w:val="00A80AB0"/>
    <w:rsid w:val="00AA2A8E"/>
    <w:rsid w:val="00B07FD4"/>
    <w:rsid w:val="00B454C4"/>
    <w:rsid w:val="00BE692E"/>
    <w:rsid w:val="00BE787D"/>
    <w:rsid w:val="00C30C78"/>
    <w:rsid w:val="00C36D58"/>
    <w:rsid w:val="00C83D22"/>
    <w:rsid w:val="00C86C58"/>
    <w:rsid w:val="00CB578B"/>
    <w:rsid w:val="00D1282F"/>
    <w:rsid w:val="00D550E3"/>
    <w:rsid w:val="00D63F4B"/>
    <w:rsid w:val="00D93FCD"/>
    <w:rsid w:val="00E57898"/>
    <w:rsid w:val="00E6087B"/>
    <w:rsid w:val="00F130C8"/>
    <w:rsid w:val="00F264FD"/>
    <w:rsid w:val="00F33192"/>
    <w:rsid w:val="00F50207"/>
    <w:rsid w:val="00F8669E"/>
    <w:rsid w:val="00F957B2"/>
    <w:rsid w:val="00FC6132"/>
    <w:rsid w:val="00FE3C91"/>
    <w:rsid w:val="014036E0"/>
    <w:rsid w:val="01416DF2"/>
    <w:rsid w:val="015C3D17"/>
    <w:rsid w:val="01C209CB"/>
    <w:rsid w:val="02357688"/>
    <w:rsid w:val="02851591"/>
    <w:rsid w:val="02BD5381"/>
    <w:rsid w:val="02D505AD"/>
    <w:rsid w:val="030516AD"/>
    <w:rsid w:val="03365B5E"/>
    <w:rsid w:val="034E4AD1"/>
    <w:rsid w:val="037E0789"/>
    <w:rsid w:val="03913FFC"/>
    <w:rsid w:val="03DB7831"/>
    <w:rsid w:val="04CF1FA6"/>
    <w:rsid w:val="056E5657"/>
    <w:rsid w:val="05AD05DE"/>
    <w:rsid w:val="05BD3D79"/>
    <w:rsid w:val="05D1541D"/>
    <w:rsid w:val="0621639E"/>
    <w:rsid w:val="062C42CE"/>
    <w:rsid w:val="06764670"/>
    <w:rsid w:val="06867FD2"/>
    <w:rsid w:val="068A6E34"/>
    <w:rsid w:val="06B12B65"/>
    <w:rsid w:val="06BD3726"/>
    <w:rsid w:val="071D689A"/>
    <w:rsid w:val="07887E6F"/>
    <w:rsid w:val="07994E3B"/>
    <w:rsid w:val="07A02A3F"/>
    <w:rsid w:val="07A40F48"/>
    <w:rsid w:val="07F651C7"/>
    <w:rsid w:val="080A468F"/>
    <w:rsid w:val="0854758E"/>
    <w:rsid w:val="08992D34"/>
    <w:rsid w:val="08C86899"/>
    <w:rsid w:val="090B708C"/>
    <w:rsid w:val="09132265"/>
    <w:rsid w:val="09D92A42"/>
    <w:rsid w:val="09FE79EC"/>
    <w:rsid w:val="0AB319EF"/>
    <w:rsid w:val="0ABC363A"/>
    <w:rsid w:val="0AD8294B"/>
    <w:rsid w:val="0B106E41"/>
    <w:rsid w:val="0B374A26"/>
    <w:rsid w:val="0B4B3B00"/>
    <w:rsid w:val="0B8A23C1"/>
    <w:rsid w:val="0BAE3813"/>
    <w:rsid w:val="0BFF003E"/>
    <w:rsid w:val="0C9413AC"/>
    <w:rsid w:val="0CFF0F1B"/>
    <w:rsid w:val="0D4D2FC1"/>
    <w:rsid w:val="0E0362D5"/>
    <w:rsid w:val="0E966A8C"/>
    <w:rsid w:val="0E9C279A"/>
    <w:rsid w:val="0EB36461"/>
    <w:rsid w:val="0EE61CD2"/>
    <w:rsid w:val="0F0A004B"/>
    <w:rsid w:val="0F655282"/>
    <w:rsid w:val="0F6D24BC"/>
    <w:rsid w:val="0F780483"/>
    <w:rsid w:val="0F7D537E"/>
    <w:rsid w:val="0FBC4A1F"/>
    <w:rsid w:val="0FE97C61"/>
    <w:rsid w:val="10007707"/>
    <w:rsid w:val="10B2533E"/>
    <w:rsid w:val="11072A94"/>
    <w:rsid w:val="11AB711C"/>
    <w:rsid w:val="11EB7CC0"/>
    <w:rsid w:val="12A21019"/>
    <w:rsid w:val="12D9220E"/>
    <w:rsid w:val="12F015A0"/>
    <w:rsid w:val="132711CC"/>
    <w:rsid w:val="13D157F4"/>
    <w:rsid w:val="143E4A1F"/>
    <w:rsid w:val="14477BA7"/>
    <w:rsid w:val="157923E7"/>
    <w:rsid w:val="162C6AF9"/>
    <w:rsid w:val="163E3563"/>
    <w:rsid w:val="169263C8"/>
    <w:rsid w:val="16A61788"/>
    <w:rsid w:val="16AF4856"/>
    <w:rsid w:val="16FC471D"/>
    <w:rsid w:val="170045BA"/>
    <w:rsid w:val="174D6D27"/>
    <w:rsid w:val="174D7871"/>
    <w:rsid w:val="17666D47"/>
    <w:rsid w:val="176F0FD8"/>
    <w:rsid w:val="17732C32"/>
    <w:rsid w:val="178521C3"/>
    <w:rsid w:val="17884203"/>
    <w:rsid w:val="18BC4109"/>
    <w:rsid w:val="18D23988"/>
    <w:rsid w:val="193260E4"/>
    <w:rsid w:val="19835197"/>
    <w:rsid w:val="19A11C2E"/>
    <w:rsid w:val="1A1C3150"/>
    <w:rsid w:val="1A4F2C83"/>
    <w:rsid w:val="1AA839EE"/>
    <w:rsid w:val="1AD2708F"/>
    <w:rsid w:val="1AD75285"/>
    <w:rsid w:val="1AE6196C"/>
    <w:rsid w:val="1B193AF0"/>
    <w:rsid w:val="1B5508A0"/>
    <w:rsid w:val="1B5F5046"/>
    <w:rsid w:val="1B9509DF"/>
    <w:rsid w:val="1BA002D8"/>
    <w:rsid w:val="1C493F61"/>
    <w:rsid w:val="1CAC4347"/>
    <w:rsid w:val="1D1C1092"/>
    <w:rsid w:val="1D513C50"/>
    <w:rsid w:val="1D605A5A"/>
    <w:rsid w:val="1D812873"/>
    <w:rsid w:val="1DDF4451"/>
    <w:rsid w:val="1DE2466D"/>
    <w:rsid w:val="1DFD1285"/>
    <w:rsid w:val="1E4E1D03"/>
    <w:rsid w:val="1EC70509"/>
    <w:rsid w:val="1EDB68C1"/>
    <w:rsid w:val="1EE6018D"/>
    <w:rsid w:val="1F4A0271"/>
    <w:rsid w:val="1FA5245A"/>
    <w:rsid w:val="1FC7762D"/>
    <w:rsid w:val="2000702C"/>
    <w:rsid w:val="205C376D"/>
    <w:rsid w:val="20607ACB"/>
    <w:rsid w:val="20677E3C"/>
    <w:rsid w:val="20733730"/>
    <w:rsid w:val="209429D0"/>
    <w:rsid w:val="20A83FAF"/>
    <w:rsid w:val="20CE42A1"/>
    <w:rsid w:val="215025DE"/>
    <w:rsid w:val="21CC717D"/>
    <w:rsid w:val="22424AA4"/>
    <w:rsid w:val="228C104B"/>
    <w:rsid w:val="22934188"/>
    <w:rsid w:val="22F62B8A"/>
    <w:rsid w:val="23151041"/>
    <w:rsid w:val="23254D08"/>
    <w:rsid w:val="23534E2B"/>
    <w:rsid w:val="23615C04"/>
    <w:rsid w:val="23957E1B"/>
    <w:rsid w:val="242C02D7"/>
    <w:rsid w:val="24533DC2"/>
    <w:rsid w:val="24BE643D"/>
    <w:rsid w:val="2532334D"/>
    <w:rsid w:val="259B3353"/>
    <w:rsid w:val="26377520"/>
    <w:rsid w:val="26750FF7"/>
    <w:rsid w:val="26C85C71"/>
    <w:rsid w:val="27194423"/>
    <w:rsid w:val="27206206"/>
    <w:rsid w:val="27290FC5"/>
    <w:rsid w:val="27BE48EB"/>
    <w:rsid w:val="280F2F92"/>
    <w:rsid w:val="289D741C"/>
    <w:rsid w:val="28BC3D0D"/>
    <w:rsid w:val="28FE41FC"/>
    <w:rsid w:val="29345C52"/>
    <w:rsid w:val="2996274E"/>
    <w:rsid w:val="29A1557D"/>
    <w:rsid w:val="29BD7D3C"/>
    <w:rsid w:val="2A4648B7"/>
    <w:rsid w:val="2A9A62D0"/>
    <w:rsid w:val="2B005440"/>
    <w:rsid w:val="2BCA6741"/>
    <w:rsid w:val="2C03574A"/>
    <w:rsid w:val="2C0A4EA8"/>
    <w:rsid w:val="2C7B3B05"/>
    <w:rsid w:val="2CC277F5"/>
    <w:rsid w:val="2CEA709A"/>
    <w:rsid w:val="2D39592C"/>
    <w:rsid w:val="2D4D3D4C"/>
    <w:rsid w:val="2E0C4DEE"/>
    <w:rsid w:val="2E5E7AF7"/>
    <w:rsid w:val="2E9F2106"/>
    <w:rsid w:val="2EE73822"/>
    <w:rsid w:val="2FA80D19"/>
    <w:rsid w:val="2FAD4FD9"/>
    <w:rsid w:val="2FB346FB"/>
    <w:rsid w:val="2FFA5778"/>
    <w:rsid w:val="30495C84"/>
    <w:rsid w:val="30650005"/>
    <w:rsid w:val="307142BA"/>
    <w:rsid w:val="310333AD"/>
    <w:rsid w:val="3126266B"/>
    <w:rsid w:val="31522189"/>
    <w:rsid w:val="318E0F10"/>
    <w:rsid w:val="31DB0550"/>
    <w:rsid w:val="32531113"/>
    <w:rsid w:val="329E6CD8"/>
    <w:rsid w:val="32AE0B6A"/>
    <w:rsid w:val="32E77BD8"/>
    <w:rsid w:val="33440753"/>
    <w:rsid w:val="33492641"/>
    <w:rsid w:val="334B4AB3"/>
    <w:rsid w:val="33773E42"/>
    <w:rsid w:val="34367069"/>
    <w:rsid w:val="34A5652B"/>
    <w:rsid w:val="34E14EA2"/>
    <w:rsid w:val="34E346A0"/>
    <w:rsid w:val="357D4202"/>
    <w:rsid w:val="359B1151"/>
    <w:rsid w:val="35A41DB0"/>
    <w:rsid w:val="35AD49A2"/>
    <w:rsid w:val="35BC534C"/>
    <w:rsid w:val="36172BC3"/>
    <w:rsid w:val="36721EAF"/>
    <w:rsid w:val="36CC7C95"/>
    <w:rsid w:val="36E076F0"/>
    <w:rsid w:val="36EB650A"/>
    <w:rsid w:val="375B1FDF"/>
    <w:rsid w:val="378133A9"/>
    <w:rsid w:val="383A233E"/>
    <w:rsid w:val="39101F1B"/>
    <w:rsid w:val="392D7EB3"/>
    <w:rsid w:val="39643D30"/>
    <w:rsid w:val="39720FC7"/>
    <w:rsid w:val="39987E7E"/>
    <w:rsid w:val="39A84137"/>
    <w:rsid w:val="39CD52E9"/>
    <w:rsid w:val="3A1C0AAF"/>
    <w:rsid w:val="3A575643"/>
    <w:rsid w:val="3A64388F"/>
    <w:rsid w:val="3AB02FA5"/>
    <w:rsid w:val="3B0A0734"/>
    <w:rsid w:val="3B0B043D"/>
    <w:rsid w:val="3B702E61"/>
    <w:rsid w:val="3B9710EF"/>
    <w:rsid w:val="3BDF2457"/>
    <w:rsid w:val="3BDF7FE6"/>
    <w:rsid w:val="3BF1014F"/>
    <w:rsid w:val="3CC36DCD"/>
    <w:rsid w:val="3D23372C"/>
    <w:rsid w:val="3D2823FA"/>
    <w:rsid w:val="3D581DFE"/>
    <w:rsid w:val="3D6A4AAA"/>
    <w:rsid w:val="3DF80C94"/>
    <w:rsid w:val="3DFD4754"/>
    <w:rsid w:val="3E064F5A"/>
    <w:rsid w:val="3E161B6B"/>
    <w:rsid w:val="3E496B6B"/>
    <w:rsid w:val="3E7F5998"/>
    <w:rsid w:val="3EED6576"/>
    <w:rsid w:val="3F0056DB"/>
    <w:rsid w:val="3F0156C1"/>
    <w:rsid w:val="3F1A3023"/>
    <w:rsid w:val="3F2165EC"/>
    <w:rsid w:val="3F243A9D"/>
    <w:rsid w:val="3FC26720"/>
    <w:rsid w:val="40260F22"/>
    <w:rsid w:val="402B33C8"/>
    <w:rsid w:val="40350295"/>
    <w:rsid w:val="406E1D8D"/>
    <w:rsid w:val="42053C57"/>
    <w:rsid w:val="421B789E"/>
    <w:rsid w:val="42214BD9"/>
    <w:rsid w:val="42324DFA"/>
    <w:rsid w:val="42AF59D8"/>
    <w:rsid w:val="431353F3"/>
    <w:rsid w:val="43455446"/>
    <w:rsid w:val="435B2FBA"/>
    <w:rsid w:val="443335B2"/>
    <w:rsid w:val="4450382F"/>
    <w:rsid w:val="44DA072F"/>
    <w:rsid w:val="454D0F8E"/>
    <w:rsid w:val="45FC0A54"/>
    <w:rsid w:val="461D469A"/>
    <w:rsid w:val="466976E6"/>
    <w:rsid w:val="46D32596"/>
    <w:rsid w:val="46EA0CE7"/>
    <w:rsid w:val="470D4256"/>
    <w:rsid w:val="472208AE"/>
    <w:rsid w:val="47704C41"/>
    <w:rsid w:val="47755C7D"/>
    <w:rsid w:val="477F6C5D"/>
    <w:rsid w:val="47B925F3"/>
    <w:rsid w:val="48005C1C"/>
    <w:rsid w:val="48771F96"/>
    <w:rsid w:val="48910AEC"/>
    <w:rsid w:val="489D725F"/>
    <w:rsid w:val="48B3170D"/>
    <w:rsid w:val="493C7DE9"/>
    <w:rsid w:val="49D62B33"/>
    <w:rsid w:val="4A1E13B4"/>
    <w:rsid w:val="4A2C49B0"/>
    <w:rsid w:val="4A7D1B0F"/>
    <w:rsid w:val="4AAC50D1"/>
    <w:rsid w:val="4AF64A04"/>
    <w:rsid w:val="4AFA44F5"/>
    <w:rsid w:val="4B0C37B9"/>
    <w:rsid w:val="4B944949"/>
    <w:rsid w:val="4BC33B49"/>
    <w:rsid w:val="4BD12EAB"/>
    <w:rsid w:val="4C5A2B74"/>
    <w:rsid w:val="4D2D20D9"/>
    <w:rsid w:val="4D317F76"/>
    <w:rsid w:val="4D3C69F8"/>
    <w:rsid w:val="4D602609"/>
    <w:rsid w:val="4D784E5B"/>
    <w:rsid w:val="4DA074F7"/>
    <w:rsid w:val="4DA33F07"/>
    <w:rsid w:val="4DDE52C0"/>
    <w:rsid w:val="4EDD03B5"/>
    <w:rsid w:val="4F337FD5"/>
    <w:rsid w:val="4F526BF1"/>
    <w:rsid w:val="4FC2427A"/>
    <w:rsid w:val="50666C7A"/>
    <w:rsid w:val="50A0169A"/>
    <w:rsid w:val="50A1397F"/>
    <w:rsid w:val="51C75DFE"/>
    <w:rsid w:val="51E92A62"/>
    <w:rsid w:val="526B0A11"/>
    <w:rsid w:val="52741FCB"/>
    <w:rsid w:val="52CA1464"/>
    <w:rsid w:val="52D06B10"/>
    <w:rsid w:val="52D52291"/>
    <w:rsid w:val="53112879"/>
    <w:rsid w:val="533D58C6"/>
    <w:rsid w:val="53536515"/>
    <w:rsid w:val="536B21BA"/>
    <w:rsid w:val="53A862CC"/>
    <w:rsid w:val="542645AC"/>
    <w:rsid w:val="542A0FDA"/>
    <w:rsid w:val="545729B8"/>
    <w:rsid w:val="546C11F4"/>
    <w:rsid w:val="546E1AAF"/>
    <w:rsid w:val="54857525"/>
    <w:rsid w:val="54E018B4"/>
    <w:rsid w:val="54ED53D0"/>
    <w:rsid w:val="55091CCC"/>
    <w:rsid w:val="5526167B"/>
    <w:rsid w:val="55C67DF5"/>
    <w:rsid w:val="55FA184D"/>
    <w:rsid w:val="56307253"/>
    <w:rsid w:val="56453199"/>
    <w:rsid w:val="5649493D"/>
    <w:rsid w:val="56B372F8"/>
    <w:rsid w:val="574A2360"/>
    <w:rsid w:val="582F6DAB"/>
    <w:rsid w:val="58366D88"/>
    <w:rsid w:val="588910E4"/>
    <w:rsid w:val="58977827"/>
    <w:rsid w:val="58AD45AF"/>
    <w:rsid w:val="58D4718C"/>
    <w:rsid w:val="59274DA4"/>
    <w:rsid w:val="59684D1F"/>
    <w:rsid w:val="597131E7"/>
    <w:rsid w:val="599211F9"/>
    <w:rsid w:val="59A82CA5"/>
    <w:rsid w:val="5A6304E0"/>
    <w:rsid w:val="5A647AA5"/>
    <w:rsid w:val="5ABD109B"/>
    <w:rsid w:val="5AD514E8"/>
    <w:rsid w:val="5AD536B4"/>
    <w:rsid w:val="5AEA4CCC"/>
    <w:rsid w:val="5B031B11"/>
    <w:rsid w:val="5B2C4517"/>
    <w:rsid w:val="5B96574B"/>
    <w:rsid w:val="5C2A4141"/>
    <w:rsid w:val="5C5A652B"/>
    <w:rsid w:val="5CE305DA"/>
    <w:rsid w:val="5D3E5EBD"/>
    <w:rsid w:val="5DDD75C3"/>
    <w:rsid w:val="5DE138D8"/>
    <w:rsid w:val="5E1921ED"/>
    <w:rsid w:val="5E323B4E"/>
    <w:rsid w:val="5EF07A1A"/>
    <w:rsid w:val="5F7D5E8E"/>
    <w:rsid w:val="5F7F522A"/>
    <w:rsid w:val="5FD72BFF"/>
    <w:rsid w:val="5FFC4413"/>
    <w:rsid w:val="601337BB"/>
    <w:rsid w:val="60762DC3"/>
    <w:rsid w:val="60D51B2B"/>
    <w:rsid w:val="617F2D1C"/>
    <w:rsid w:val="618478E3"/>
    <w:rsid w:val="61891CD7"/>
    <w:rsid w:val="61BA6334"/>
    <w:rsid w:val="62312A9A"/>
    <w:rsid w:val="6283706E"/>
    <w:rsid w:val="62A87E16"/>
    <w:rsid w:val="62C43294"/>
    <w:rsid w:val="62CA561A"/>
    <w:rsid w:val="6313315F"/>
    <w:rsid w:val="637172BE"/>
    <w:rsid w:val="63CD6C1F"/>
    <w:rsid w:val="64813139"/>
    <w:rsid w:val="648844C8"/>
    <w:rsid w:val="64A56430"/>
    <w:rsid w:val="654E23DA"/>
    <w:rsid w:val="65BB2793"/>
    <w:rsid w:val="65DD5A8E"/>
    <w:rsid w:val="667027CF"/>
    <w:rsid w:val="6688694C"/>
    <w:rsid w:val="66B22301"/>
    <w:rsid w:val="66CB0FA5"/>
    <w:rsid w:val="66D41C46"/>
    <w:rsid w:val="670D4A21"/>
    <w:rsid w:val="67445EA3"/>
    <w:rsid w:val="67B6759E"/>
    <w:rsid w:val="68076E78"/>
    <w:rsid w:val="68245589"/>
    <w:rsid w:val="68777DD2"/>
    <w:rsid w:val="68CF442F"/>
    <w:rsid w:val="69605A13"/>
    <w:rsid w:val="69983CE0"/>
    <w:rsid w:val="6A1C1694"/>
    <w:rsid w:val="6A751DB0"/>
    <w:rsid w:val="6AB95533"/>
    <w:rsid w:val="6B037E0E"/>
    <w:rsid w:val="6B492C83"/>
    <w:rsid w:val="6BDD2B0A"/>
    <w:rsid w:val="6BDE41BB"/>
    <w:rsid w:val="6BF40AC7"/>
    <w:rsid w:val="6C5462A8"/>
    <w:rsid w:val="6C657EEA"/>
    <w:rsid w:val="6C7041BF"/>
    <w:rsid w:val="6C917FD7"/>
    <w:rsid w:val="6DEE183F"/>
    <w:rsid w:val="6E031386"/>
    <w:rsid w:val="6F3574FF"/>
    <w:rsid w:val="6F6F7A6D"/>
    <w:rsid w:val="6F711F0A"/>
    <w:rsid w:val="6FBB0862"/>
    <w:rsid w:val="70106954"/>
    <w:rsid w:val="71094F85"/>
    <w:rsid w:val="71712709"/>
    <w:rsid w:val="71BB7860"/>
    <w:rsid w:val="71C1726B"/>
    <w:rsid w:val="72440385"/>
    <w:rsid w:val="72CC236B"/>
    <w:rsid w:val="73761484"/>
    <w:rsid w:val="73EA0CFB"/>
    <w:rsid w:val="743F3C99"/>
    <w:rsid w:val="74835482"/>
    <w:rsid w:val="74877DC7"/>
    <w:rsid w:val="74DB35C2"/>
    <w:rsid w:val="75812F99"/>
    <w:rsid w:val="75890D8F"/>
    <w:rsid w:val="75B043EA"/>
    <w:rsid w:val="76D90F68"/>
    <w:rsid w:val="77280C7C"/>
    <w:rsid w:val="77660E93"/>
    <w:rsid w:val="77A613DD"/>
    <w:rsid w:val="77BB58EB"/>
    <w:rsid w:val="77C1540B"/>
    <w:rsid w:val="783E7320"/>
    <w:rsid w:val="78C43643"/>
    <w:rsid w:val="78CB19C0"/>
    <w:rsid w:val="78F35EFE"/>
    <w:rsid w:val="78FF5669"/>
    <w:rsid w:val="793275BA"/>
    <w:rsid w:val="79A724F1"/>
    <w:rsid w:val="79B53B59"/>
    <w:rsid w:val="79C1605A"/>
    <w:rsid w:val="7A4B7878"/>
    <w:rsid w:val="7A6D100D"/>
    <w:rsid w:val="7B4231CA"/>
    <w:rsid w:val="7B946370"/>
    <w:rsid w:val="7C3F1529"/>
    <w:rsid w:val="7C5F16F8"/>
    <w:rsid w:val="7C6929D9"/>
    <w:rsid w:val="7C9D3E10"/>
    <w:rsid w:val="7CAF2E48"/>
    <w:rsid w:val="7CB122FF"/>
    <w:rsid w:val="7D2A1333"/>
    <w:rsid w:val="7DA05FAF"/>
    <w:rsid w:val="7DBA67DE"/>
    <w:rsid w:val="7DF53ACA"/>
    <w:rsid w:val="7DF7159A"/>
    <w:rsid w:val="7E601288"/>
    <w:rsid w:val="7E7C50A3"/>
    <w:rsid w:val="7F0E4C61"/>
    <w:rsid w:val="7F7F4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6">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customStyle="1" w:styleId="2">
    <w:name w:val="正文首行缩进 21"/>
    <w:basedOn w:val="3"/>
    <w:qFormat/>
    <w:uiPriority w:val="0"/>
    <w:pPr>
      <w:ind w:firstLine="420"/>
    </w:pPr>
  </w:style>
  <w:style w:type="paragraph" w:customStyle="1" w:styleId="3">
    <w:name w:val="正文文本缩进1"/>
    <w:basedOn w:val="1"/>
    <w:next w:val="4"/>
    <w:qFormat/>
    <w:uiPriority w:val="0"/>
    <w:pPr>
      <w:spacing w:after="120"/>
      <w:ind w:left="420"/>
    </w:pPr>
  </w:style>
  <w:style w:type="paragraph" w:customStyle="1" w:styleId="4">
    <w:name w:val="寄信人地址1"/>
    <w:basedOn w:val="1"/>
    <w:qFormat/>
    <w:uiPriority w:val="0"/>
    <w:rPr>
      <w:rFonts w:ascii="Arial" w:hAnsi="Arial"/>
    </w:rPr>
  </w:style>
  <w:style w:type="paragraph" w:styleId="7">
    <w:name w:val="Normal Indent"/>
    <w:basedOn w:val="1"/>
    <w:qFormat/>
    <w:uiPriority w:val="99"/>
    <w:pPr>
      <w:spacing w:line="400" w:lineRule="exact"/>
      <w:ind w:firstLine="200" w:firstLineChars="200"/>
    </w:pPr>
    <w:rPr>
      <w:rFonts w:ascii="宋体"/>
    </w:rPr>
  </w:style>
  <w:style w:type="paragraph" w:styleId="8">
    <w:name w:val="annotation text"/>
    <w:basedOn w:val="1"/>
    <w:autoRedefine/>
    <w:qFormat/>
    <w:uiPriority w:val="0"/>
    <w:pPr>
      <w:jc w:val="left"/>
    </w:pPr>
  </w:style>
  <w:style w:type="paragraph" w:styleId="9">
    <w:name w:val="Body Text"/>
    <w:basedOn w:val="1"/>
    <w:semiHidden/>
    <w:qFormat/>
    <w:uiPriority w:val="0"/>
    <w:rPr>
      <w:rFonts w:ascii="仿宋" w:hAnsi="仿宋" w:eastAsia="仿宋" w:cs="仿宋"/>
      <w:sz w:val="31"/>
      <w:szCs w:val="31"/>
      <w:lang w:val="en-US" w:eastAsia="en-US" w:bidi="ar-SA"/>
    </w:rPr>
  </w:style>
  <w:style w:type="paragraph" w:styleId="10">
    <w:name w:val="Plain Text"/>
    <w:basedOn w:val="1"/>
    <w:qFormat/>
    <w:uiPriority w:val="0"/>
    <w:rPr>
      <w:rFonts w:ascii="宋体" w:hAnsi="Courier New"/>
      <w:szCs w:val="20"/>
    </w:rPr>
  </w:style>
  <w:style w:type="paragraph" w:styleId="11">
    <w:name w:val="footer"/>
    <w:basedOn w:val="1"/>
    <w:link w:val="19"/>
    <w:autoRedefine/>
    <w:qFormat/>
    <w:uiPriority w:val="0"/>
    <w:pPr>
      <w:tabs>
        <w:tab w:val="center" w:pos="4153"/>
        <w:tab w:val="right" w:pos="8306"/>
      </w:tabs>
      <w:snapToGrid w:val="0"/>
      <w:jc w:val="left"/>
    </w:pPr>
    <w:rPr>
      <w:sz w:val="18"/>
      <w:szCs w:val="18"/>
    </w:rPr>
  </w:style>
  <w:style w:type="paragraph" w:styleId="12">
    <w:name w:val="header"/>
    <w:basedOn w:val="1"/>
    <w:link w:val="18"/>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toc 2"/>
    <w:basedOn w:val="1"/>
    <w:next w:val="1"/>
    <w:qFormat/>
    <w:uiPriority w:val="0"/>
    <w:pPr>
      <w:ind w:left="200" w:leftChars="200"/>
    </w:pPr>
  </w:style>
  <w:style w:type="paragraph" w:styleId="14">
    <w:name w:val="Normal (Web)"/>
    <w:basedOn w:val="1"/>
    <w:autoRedefine/>
    <w:qFormat/>
    <w:uiPriority w:val="0"/>
    <w:pPr>
      <w:spacing w:beforeAutospacing="1" w:afterAutospacing="1"/>
      <w:jc w:val="left"/>
    </w:pPr>
    <w:rPr>
      <w:rFonts w:cs="Times New Roman"/>
      <w:kern w:val="0"/>
      <w:sz w:val="24"/>
    </w:rPr>
  </w:style>
  <w:style w:type="paragraph" w:customStyle="1" w:styleId="17">
    <w:name w:val="Default"/>
    <w:basedOn w:val="1"/>
    <w:semiHidden/>
    <w:qFormat/>
    <w:uiPriority w:val="0"/>
    <w:pPr>
      <w:autoSpaceDE w:val="0"/>
      <w:autoSpaceDN w:val="0"/>
      <w:adjustRightInd w:val="0"/>
      <w:jc w:val="left"/>
    </w:pPr>
    <w:rPr>
      <w:rFonts w:ascii="宋体" w:hAnsi="Calibri" w:cs="宋体"/>
      <w:color w:val="000000"/>
      <w:kern w:val="0"/>
      <w:sz w:val="24"/>
    </w:rPr>
  </w:style>
  <w:style w:type="character" w:customStyle="1" w:styleId="18">
    <w:name w:val="页眉 Char"/>
    <w:basedOn w:val="16"/>
    <w:link w:val="12"/>
    <w:autoRedefine/>
    <w:qFormat/>
    <w:uiPriority w:val="0"/>
    <w:rPr>
      <w:rFonts w:asciiTheme="minorHAnsi" w:hAnsiTheme="minorHAnsi" w:eastAsiaTheme="minorEastAsia" w:cstheme="minorBidi"/>
      <w:kern w:val="2"/>
      <w:sz w:val="18"/>
      <w:szCs w:val="18"/>
    </w:rPr>
  </w:style>
  <w:style w:type="character" w:customStyle="1" w:styleId="19">
    <w:name w:val="页脚 Char"/>
    <w:basedOn w:val="16"/>
    <w:link w:val="11"/>
    <w:autoRedefine/>
    <w:qFormat/>
    <w:uiPriority w:val="0"/>
    <w:rPr>
      <w:rFonts w:asciiTheme="minorHAnsi" w:hAnsiTheme="minorHAnsi" w:eastAsiaTheme="minorEastAsia" w:cstheme="minorBidi"/>
      <w:kern w:val="2"/>
      <w:sz w:val="18"/>
      <w:szCs w:val="18"/>
    </w:rPr>
  </w:style>
  <w:style w:type="paragraph" w:customStyle="1" w:styleId="20">
    <w:name w:val="普通正文"/>
    <w:basedOn w:val="1"/>
    <w:autoRedefine/>
    <w:qFormat/>
    <w:uiPriority w:val="0"/>
    <w:pPr>
      <w:adjustRightInd w:val="0"/>
      <w:spacing w:before="120" w:after="120" w:line="360" w:lineRule="auto"/>
      <w:ind w:firstLine="480"/>
      <w:jc w:val="left"/>
    </w:pPr>
    <w:rPr>
      <w:rFonts w:ascii="Arial" w:hAnsi="Arial" w:eastAsia="等线" w:cs="Arial"/>
      <w:sz w:val="24"/>
      <w:szCs w:val="24"/>
    </w:rPr>
  </w:style>
  <w:style w:type="paragraph" w:customStyle="1" w:styleId="21">
    <w:name w:val="正文 A"/>
    <w:next w:val="1"/>
    <w:qFormat/>
    <w:uiPriority w:val="99"/>
    <w:pPr>
      <w:widowControl w:val="0"/>
      <w:pBdr>
        <w:top w:val="none" w:color="FFFFFF" w:sz="0" w:space="31"/>
        <w:left w:val="none" w:color="FFFFFF" w:sz="0" w:space="31"/>
        <w:bottom w:val="none" w:color="FFFFFF" w:sz="0" w:space="31"/>
        <w:right w:val="none" w:color="FFFFFF" w:sz="0" w:space="31"/>
      </w:pBdr>
      <w:jc w:val="both"/>
    </w:pPr>
    <w:rPr>
      <w:rFonts w:ascii="Times New Roman" w:hAnsi="Times New Roman" w:eastAsia="宋体" w:cs="Arial Unicode MS"/>
      <w:color w:val="000000"/>
      <w:kern w:val="2"/>
      <w:sz w:val="21"/>
      <w:szCs w:val="21"/>
      <w:lang w:val="en-US" w:eastAsia="zh-CN" w:bidi="ar-SA"/>
    </w:rPr>
  </w:style>
  <w:style w:type="paragraph" w:customStyle="1" w:styleId="22">
    <w:name w:val="普通(网站)1"/>
    <w:basedOn w:val="1"/>
    <w:qFormat/>
    <w:uiPriority w:val="99"/>
    <w:pPr>
      <w:widowControl/>
      <w:spacing w:before="100" w:beforeAutospacing="1" w:after="100" w:afterAutospacing="1"/>
      <w:jc w:val="left"/>
    </w:pPr>
    <w:rPr>
      <w:rFonts w:ascii="Times New Roman" w:hAnsi="Times New Roman" w:eastAsia="宋体" w:cs="Times New Roman"/>
      <w:sz w:val="24"/>
      <w:szCs w:val="24"/>
    </w:rPr>
  </w:style>
  <w:style w:type="paragraph" w:customStyle="1" w:styleId="23">
    <w:name w:val="列出段落1"/>
    <w:basedOn w:val="1"/>
    <w:autoRedefine/>
    <w:qFormat/>
    <w:uiPriority w:val="34"/>
    <w:pPr>
      <w:ind w:firstLine="420" w:firstLineChars="200"/>
    </w:pPr>
  </w:style>
  <w:style w:type="paragraph" w:customStyle="1" w:styleId="24">
    <w:name w:val="正文文本1"/>
    <w:basedOn w:val="1"/>
    <w:next w:val="1"/>
    <w:qFormat/>
    <w:uiPriority w:val="0"/>
    <w:pPr>
      <w:tabs>
        <w:tab w:val="left" w:pos="567"/>
      </w:tabs>
      <w:spacing w:before="120" w:line="22" w:lineRule="atLeast"/>
    </w:pPr>
    <w:rPr>
      <w:rFonts w:ascii="宋体" w:hAnsi="宋体"/>
      <w:sz w:val="24"/>
    </w:rPr>
  </w:style>
  <w:style w:type="paragraph" w:customStyle="1" w:styleId="25">
    <w:name w:val="Table Paragraph"/>
    <w:basedOn w:val="1"/>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Kingsoft</Company>
  <Pages>42</Pages>
  <Words>20808</Words>
  <Characters>22050</Characters>
  <Lines>167</Lines>
  <Paragraphs>47</Paragraphs>
  <TotalTime>6</TotalTime>
  <ScaleCrop>false</ScaleCrop>
  <LinksUpToDate>false</LinksUpToDate>
  <CharactersWithSpaces>23973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正式环境陈艳测试账号</dc:creator>
  <cp:lastModifiedBy>亭湖咨询--吉</cp:lastModifiedBy>
  <cp:lastPrinted>2025-09-23T02:24:00Z</cp:lastPrinted>
  <dcterms:modified xsi:type="dcterms:W3CDTF">2025-10-30T07:52:37Z</dcterms:modified>
  <cp:revision>272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65759699444F44BBBFCCC89CEABA8F49_13</vt:lpwstr>
  </property>
  <property fmtid="{D5CDD505-2E9C-101B-9397-08002B2CF9AE}" pid="4" name="KSOTemplateDocerSaveRecord">
    <vt:lpwstr>eyJoZGlkIjoiNTdiOTFlMGIyODhkYTI1OGVhYTA5ZTBlNzYwMGUwMGQiLCJ1c2VySWQiOiI1MTE4MDI5NjEifQ==</vt:lpwstr>
  </property>
</Properties>
</file>